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076027" w:displacedByCustomXml="next"/>
    <w:bookmarkEnd w:id="0" w:displacedByCustomXml="next"/>
    <w:bookmarkStart w:id="1" w:name="_Toc14076460" w:displacedByCustomXml="next"/>
    <w:bookmarkEnd w:id="1" w:displacedByCustomXml="next"/>
    <w:bookmarkStart w:id="2" w:name="_Toc14076529" w:displacedByCustomXml="next"/>
    <w:bookmarkEnd w:id="2" w:displacedByCustomXml="next"/>
    <w:bookmarkStart w:id="3" w:name="_Toc14076572" w:displacedByCustomXml="next"/>
    <w:bookmarkEnd w:id="3" w:displacedByCustomXml="next"/>
    <w:bookmarkStart w:id="4" w:name="_Toc14076718" w:displacedByCustomXml="next"/>
    <w:bookmarkEnd w:id="4" w:displacedByCustomXml="next"/>
    <w:bookmarkStart w:id="5" w:name="_Toc14076761" w:displacedByCustomXml="next"/>
    <w:bookmarkEnd w:id="5" w:displacedByCustomXml="next"/>
    <w:bookmarkStart w:id="6" w:name="_Toc14084340" w:displacedByCustomXml="next"/>
    <w:bookmarkEnd w:id="6" w:displacedByCustomXml="next"/>
    <w:bookmarkStart w:id="7" w:name="_Toc14085328" w:displacedByCustomXml="next"/>
    <w:bookmarkEnd w:id="7" w:displacedByCustomXml="next"/>
    <w:bookmarkStart w:id="8" w:name="_Toc14173421" w:displacedByCustomXml="next"/>
    <w:bookmarkEnd w:id="8" w:displacedByCustomXml="next"/>
    <w:bookmarkStart w:id="9" w:name="_Toc14173526" w:displacedByCustomXml="next"/>
    <w:bookmarkEnd w:id="9" w:displacedByCustomXml="next"/>
    <w:bookmarkStart w:id="10" w:name="_Toc14196468" w:displacedByCustomXml="next"/>
    <w:bookmarkEnd w:id="10" w:displacedByCustomXml="next"/>
    <w:bookmarkStart w:id="11" w:name="_Toc14196671" w:displacedByCustomXml="next"/>
    <w:bookmarkEnd w:id="11" w:displacedByCustomXml="next"/>
    <w:bookmarkStart w:id="12" w:name="_Toc14255226" w:displacedByCustomXml="next"/>
    <w:bookmarkEnd w:id="12" w:displacedByCustomXml="next"/>
    <w:bookmarkStart w:id="13" w:name="_Toc14255286" w:displacedByCustomXml="next"/>
    <w:bookmarkEnd w:id="13" w:displacedByCustomXml="next"/>
    <w:bookmarkStart w:id="14" w:name="_Toc14324648" w:displacedByCustomXml="next"/>
    <w:bookmarkEnd w:id="14" w:displacedByCustomXml="next"/>
    <w:bookmarkStart w:id="15" w:name="_Toc14351635" w:displacedByCustomXml="next"/>
    <w:bookmarkEnd w:id="15" w:displacedByCustomXml="next"/>
    <w:bookmarkStart w:id="16" w:name="_Toc14354854" w:displacedByCustomXml="next"/>
    <w:bookmarkEnd w:id="16" w:displacedByCustomXml="next"/>
    <w:bookmarkStart w:id="17" w:name="_Toc14354958" w:displacedByCustomXml="next"/>
    <w:bookmarkEnd w:id="17" w:displacedByCustomXml="next"/>
    <w:bookmarkStart w:id="18" w:name="_Toc14355060" w:displacedByCustomXml="next"/>
    <w:bookmarkEnd w:id="18" w:displacedByCustomXml="next"/>
    <w:bookmarkStart w:id="19" w:name="_Toc14355162" w:displacedByCustomXml="next"/>
    <w:bookmarkEnd w:id="19" w:displacedByCustomXml="next"/>
    <w:bookmarkStart w:id="20" w:name="_Toc14355260" w:displacedByCustomXml="next"/>
    <w:bookmarkEnd w:id="20" w:displacedByCustomXml="next"/>
    <w:bookmarkStart w:id="21" w:name="_Toc14384366" w:displacedByCustomXml="next"/>
    <w:bookmarkEnd w:id="21" w:displacedByCustomXml="next"/>
    <w:bookmarkStart w:id="22" w:name="_Toc14384473" w:displacedByCustomXml="next"/>
    <w:bookmarkEnd w:id="22" w:displacedByCustomXml="next"/>
    <w:bookmarkStart w:id="23" w:name="_Toc14463198" w:displacedByCustomXml="next"/>
    <w:bookmarkEnd w:id="23" w:displacedByCustomXml="next"/>
    <w:bookmarkStart w:id="24" w:name="_Toc14519343" w:displacedByCustomXml="next"/>
    <w:bookmarkEnd w:id="24" w:displacedByCustomXml="next"/>
    <w:bookmarkStart w:id="25" w:name="_Toc14519436" w:displacedByCustomXml="next"/>
    <w:bookmarkEnd w:id="25" w:displacedByCustomXml="next"/>
    <w:bookmarkStart w:id="26" w:name="_Toc14550556" w:displacedByCustomXml="next"/>
    <w:bookmarkEnd w:id="26" w:displacedByCustomXml="next"/>
    <w:bookmarkStart w:id="27" w:name="_Toc14684873" w:displacedByCustomXml="next"/>
    <w:bookmarkEnd w:id="27" w:displacedByCustomXml="next"/>
    <w:bookmarkStart w:id="28" w:name="_Toc14686456" w:displacedByCustomXml="next"/>
    <w:bookmarkEnd w:id="28" w:displacedByCustomXml="next"/>
    <w:bookmarkStart w:id="29" w:name="_Toc14686574" w:displacedByCustomXml="next"/>
    <w:bookmarkEnd w:id="29" w:displacedByCustomXml="next"/>
    <w:bookmarkStart w:id="30" w:name="_Toc14866098" w:displacedByCustomXml="next"/>
    <w:bookmarkEnd w:id="30" w:displacedByCustomXml="next"/>
    <w:bookmarkStart w:id="31" w:name="_Toc14866491" w:displacedByCustomXml="next"/>
    <w:bookmarkEnd w:id="31" w:displacedByCustomXml="next"/>
    <w:bookmarkStart w:id="32" w:name="_Toc14867719" w:displacedByCustomXml="next"/>
    <w:bookmarkEnd w:id="32" w:displacedByCustomXml="next"/>
    <w:bookmarkStart w:id="33" w:name="_Toc14867827" w:displacedByCustomXml="next"/>
    <w:bookmarkEnd w:id="33" w:displacedByCustomXml="next"/>
    <w:bookmarkStart w:id="34" w:name="_Toc14871527" w:displacedByCustomXml="next"/>
    <w:bookmarkEnd w:id="34" w:displacedByCustomXml="next"/>
    <w:bookmarkStart w:id="35" w:name="_Toc15649120" w:displacedByCustomXml="next"/>
    <w:bookmarkEnd w:id="35" w:displacedByCustomXml="next"/>
    <w:bookmarkStart w:id="36" w:name="_Toc15660635" w:displacedByCustomXml="next"/>
    <w:bookmarkEnd w:id="36" w:displacedByCustomXml="next"/>
    <w:bookmarkStart w:id="37" w:name="_Toc15660761" w:displacedByCustomXml="next"/>
    <w:bookmarkEnd w:id="37" w:displacedByCustomXml="next"/>
    <w:bookmarkStart w:id="38" w:name="_Toc15755732" w:displacedByCustomXml="next"/>
    <w:bookmarkEnd w:id="38" w:displacedByCustomXml="next"/>
    <w:bookmarkStart w:id="39" w:name="_Toc15885899" w:displacedByCustomXml="next"/>
    <w:bookmarkEnd w:id="39" w:displacedByCustomXml="next"/>
    <w:bookmarkStart w:id="40" w:name="_Toc15887680" w:displacedByCustomXml="next"/>
    <w:bookmarkEnd w:id="40" w:displacedByCustomXml="next"/>
    <w:bookmarkStart w:id="41" w:name="_Toc15891814" w:displacedByCustomXml="next"/>
    <w:bookmarkEnd w:id="41" w:displacedByCustomXml="next"/>
    <w:bookmarkStart w:id="42" w:name="_Toc15909441" w:displacedByCustomXml="next"/>
    <w:bookmarkEnd w:id="42" w:displacedByCustomXml="next"/>
    <w:bookmarkStart w:id="43" w:name="_Toc15910496" w:displacedByCustomXml="next"/>
    <w:bookmarkEnd w:id="43" w:displacedByCustomXml="next"/>
    <w:bookmarkStart w:id="44" w:name="_Toc15910625" w:displacedByCustomXml="next"/>
    <w:bookmarkEnd w:id="44" w:displacedByCustomXml="next"/>
    <w:bookmarkStart w:id="45" w:name="_Toc15921056" w:displacedByCustomXml="next"/>
    <w:bookmarkEnd w:id="45" w:displacedByCustomXml="next"/>
    <w:bookmarkStart w:id="46" w:name="_Toc15922275" w:displacedByCustomXml="next"/>
    <w:bookmarkEnd w:id="46" w:displacedByCustomXml="next"/>
    <w:bookmarkStart w:id="47" w:name="_Toc15924295" w:displacedByCustomXml="next"/>
    <w:bookmarkEnd w:id="47" w:displacedByCustomXml="next"/>
    <w:bookmarkStart w:id="48" w:name="_Toc15938636" w:displacedByCustomXml="next"/>
    <w:bookmarkEnd w:id="48" w:displacedByCustomXml="next"/>
    <w:bookmarkStart w:id="49" w:name="_Toc15968087" w:displacedByCustomXml="next"/>
    <w:bookmarkEnd w:id="49" w:displacedByCustomXml="next"/>
    <w:bookmarkStart w:id="50" w:name="_Toc15969271" w:displacedByCustomXml="next"/>
    <w:bookmarkEnd w:id="50" w:displacedByCustomXml="next"/>
    <w:bookmarkStart w:id="51" w:name="_Toc15969407" w:displacedByCustomXml="next"/>
    <w:bookmarkEnd w:id="51" w:displacedByCustomXml="next"/>
    <w:bookmarkStart w:id="52" w:name="_Toc15969543" w:displacedByCustomXml="next"/>
    <w:bookmarkEnd w:id="52" w:displacedByCustomXml="next"/>
    <w:bookmarkStart w:id="53" w:name="_Toc15971076" w:displacedByCustomXml="next"/>
    <w:bookmarkEnd w:id="53" w:displacedByCustomXml="next"/>
    <w:bookmarkStart w:id="54" w:name="_Toc15971533" w:displacedByCustomXml="next"/>
    <w:bookmarkEnd w:id="54" w:displacedByCustomXml="next"/>
    <w:bookmarkStart w:id="55" w:name="_Toc15971670" w:displacedByCustomXml="next"/>
    <w:bookmarkEnd w:id="55" w:displacedByCustomXml="next"/>
    <w:bookmarkStart w:id="56" w:name="_Toc15977881" w:displacedByCustomXml="next"/>
    <w:bookmarkEnd w:id="56" w:displacedByCustomXml="next"/>
    <w:bookmarkStart w:id="57" w:name="_Toc14324647" w:displacedByCustomXml="next"/>
    <w:bookmarkStart w:id="58" w:name="_Toc14354853" w:displacedByCustomXml="next"/>
    <w:bookmarkStart w:id="59" w:name="_Toc14871526" w:displacedByCustomXml="next"/>
    <w:bookmarkStart w:id="60" w:name="_Toc15660760" w:displacedByCustomXml="next"/>
    <w:bookmarkStart w:id="61" w:name="_Toc15977880" w:displacedByCustomXml="next"/>
    <w:sdt>
      <w:sdtPr>
        <w:id w:val="1670825580"/>
        <w:docPartObj>
          <w:docPartGallery w:val="Cover Pages"/>
          <w:docPartUnique/>
        </w:docPartObj>
      </w:sdtPr>
      <w:sdtEndPr>
        <w:rPr>
          <w:b/>
        </w:rPr>
      </w:sdtEndPr>
      <w:sdtContent>
        <w:p w14:paraId="440AA9AD" w14:textId="77777777" w:rsidR="00352859" w:rsidRPr="00352859" w:rsidRDefault="00352859" w:rsidP="00352859">
          <w:pPr>
            <w:spacing w:after="0" w:line="240" w:lineRule="auto"/>
            <w:jc w:val="center"/>
            <w:rPr>
              <w:rFonts w:cs="Times New Roman"/>
              <w:b/>
              <w:sz w:val="32"/>
              <w:szCs w:val="24"/>
            </w:rPr>
          </w:pPr>
          <w:r w:rsidRPr="00352859">
            <w:rPr>
              <w:rFonts w:cs="Times New Roman"/>
              <w:b/>
              <w:sz w:val="32"/>
              <w:szCs w:val="24"/>
            </w:rPr>
            <w:t>REPUBLIQUE DE GUINEE</w:t>
          </w:r>
        </w:p>
        <w:p w14:paraId="681C17AE" w14:textId="77777777" w:rsidR="00352859" w:rsidRPr="00352859" w:rsidRDefault="00352859" w:rsidP="00352859">
          <w:pPr>
            <w:jc w:val="center"/>
            <w:rPr>
              <w:rFonts w:cs="Times New Roman"/>
              <w:b/>
              <w:szCs w:val="24"/>
            </w:rPr>
          </w:pPr>
          <w:r w:rsidRPr="00352859">
            <w:rPr>
              <w:rFonts w:cs="Times New Roman"/>
              <w:noProof/>
              <w:lang w:eastAsia="fr-FR"/>
            </w:rPr>
            <w:drawing>
              <wp:anchor distT="0" distB="0" distL="114300" distR="114300" simplePos="0" relativeHeight="251659264" behindDoc="0" locked="0" layoutInCell="1" allowOverlap="1" wp14:anchorId="2B9B7163" wp14:editId="0559A415">
                <wp:simplePos x="0" y="0"/>
                <wp:positionH relativeFrom="margin">
                  <wp:align>center</wp:align>
                </wp:positionH>
                <wp:positionV relativeFrom="paragraph">
                  <wp:posOffset>9525</wp:posOffset>
                </wp:positionV>
                <wp:extent cx="993140" cy="10750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40" cy="1075055"/>
                        </a:xfrm>
                        <a:prstGeom prst="rect">
                          <a:avLst/>
                        </a:prstGeom>
                        <a:noFill/>
                      </pic:spPr>
                    </pic:pic>
                  </a:graphicData>
                </a:graphic>
                <wp14:sizeRelH relativeFrom="page">
                  <wp14:pctWidth>0</wp14:pctWidth>
                </wp14:sizeRelH>
                <wp14:sizeRelV relativeFrom="page">
                  <wp14:pctHeight>0</wp14:pctHeight>
                </wp14:sizeRelV>
              </wp:anchor>
            </w:drawing>
          </w:r>
        </w:p>
        <w:p w14:paraId="18C55324" w14:textId="77777777" w:rsidR="00352859" w:rsidRPr="00352859" w:rsidRDefault="00352859" w:rsidP="00352859">
          <w:pPr>
            <w:jc w:val="center"/>
            <w:rPr>
              <w:rFonts w:cs="Times New Roman"/>
              <w:b/>
              <w:szCs w:val="24"/>
            </w:rPr>
          </w:pPr>
        </w:p>
        <w:p w14:paraId="65135941" w14:textId="77777777" w:rsidR="00352859" w:rsidRPr="00352859" w:rsidRDefault="00352859" w:rsidP="00352859">
          <w:pPr>
            <w:jc w:val="center"/>
            <w:rPr>
              <w:rFonts w:cs="Times New Roman"/>
              <w:b/>
              <w:szCs w:val="24"/>
            </w:rPr>
          </w:pPr>
        </w:p>
        <w:p w14:paraId="3253EFE6" w14:textId="77777777" w:rsidR="00352859" w:rsidRPr="00352859" w:rsidRDefault="00352859" w:rsidP="00352859">
          <w:pPr>
            <w:jc w:val="center"/>
            <w:rPr>
              <w:rFonts w:cs="Times New Roman"/>
              <w:b/>
              <w:szCs w:val="24"/>
            </w:rPr>
          </w:pPr>
        </w:p>
        <w:p w14:paraId="592729DD" w14:textId="77777777" w:rsidR="00352859" w:rsidRPr="00352859" w:rsidRDefault="00352859" w:rsidP="00352859">
          <w:pPr>
            <w:spacing w:after="0" w:line="240" w:lineRule="auto"/>
            <w:jc w:val="center"/>
            <w:rPr>
              <w:rFonts w:cs="Times New Roman"/>
              <w:b/>
              <w:sz w:val="28"/>
              <w:szCs w:val="24"/>
            </w:rPr>
          </w:pPr>
          <w:r w:rsidRPr="00352859">
            <w:rPr>
              <w:rFonts w:cs="Times New Roman"/>
              <w:b/>
              <w:sz w:val="28"/>
              <w:szCs w:val="24"/>
            </w:rPr>
            <w:t>MINISTERE DE LA SANTE</w:t>
          </w:r>
        </w:p>
        <w:p w14:paraId="4E7DDEEC" w14:textId="4D0411BA" w:rsidR="00352859" w:rsidRPr="00352859" w:rsidRDefault="00352859" w:rsidP="00352859">
          <w:pPr>
            <w:spacing w:after="0" w:line="240" w:lineRule="auto"/>
            <w:jc w:val="center"/>
            <w:rPr>
              <w:rFonts w:cs="Times New Roman"/>
              <w:b/>
              <w:szCs w:val="24"/>
            </w:rPr>
          </w:pPr>
          <w:r w:rsidRPr="00352859">
            <w:rPr>
              <w:rFonts w:cs="Times New Roman"/>
              <w:b/>
              <w:szCs w:val="24"/>
            </w:rPr>
            <w:t>++++++++</w:t>
          </w:r>
        </w:p>
        <w:p w14:paraId="4DDDE331" w14:textId="77777777" w:rsidR="00352859" w:rsidRPr="00C9010A" w:rsidRDefault="00352859" w:rsidP="00352859">
          <w:pPr>
            <w:tabs>
              <w:tab w:val="num" w:pos="720"/>
            </w:tabs>
            <w:ind w:left="720" w:hanging="360"/>
            <w:rPr>
              <w:rFonts w:ascii="Times New Roman" w:hAnsi="Times New Roman" w:cs="Times New Roman"/>
              <w:b/>
            </w:rPr>
          </w:pPr>
        </w:p>
        <w:p w14:paraId="5461B860" w14:textId="77777777" w:rsidR="00352859" w:rsidRPr="00C9010A" w:rsidRDefault="00352859" w:rsidP="00352859">
          <w:pPr>
            <w:tabs>
              <w:tab w:val="num" w:pos="720"/>
            </w:tabs>
            <w:ind w:left="720" w:hanging="360"/>
            <w:rPr>
              <w:rFonts w:ascii="Times New Roman" w:hAnsi="Times New Roman" w:cs="Times New Roman"/>
              <w:b/>
            </w:rPr>
          </w:pPr>
        </w:p>
        <w:p w14:paraId="0BDEBF95" w14:textId="77777777" w:rsidR="003936F8" w:rsidRPr="00352859" w:rsidRDefault="003936F8" w:rsidP="003936F8">
          <w:pPr>
            <w:widowControl w:val="0"/>
            <w:spacing w:line="276" w:lineRule="auto"/>
            <w:jc w:val="center"/>
            <w:rPr>
              <w:b/>
              <w:color w:val="0070C0"/>
              <w:sz w:val="48"/>
              <w:szCs w:val="40"/>
            </w:rPr>
          </w:pPr>
          <w:r w:rsidRPr="00352859">
            <w:rPr>
              <w:b/>
              <w:color w:val="0070C0"/>
              <w:sz w:val="48"/>
              <w:szCs w:val="40"/>
            </w:rPr>
            <w:t>ETATS GENERAUX DE LA SANTE 2021</w:t>
          </w:r>
        </w:p>
        <w:p w14:paraId="7B68770A" w14:textId="23C304CD" w:rsidR="003936F8" w:rsidRDefault="003936F8" w:rsidP="003936F8">
          <w:pPr>
            <w:widowControl w:val="0"/>
            <w:spacing w:line="276" w:lineRule="auto"/>
            <w:jc w:val="center"/>
            <w:rPr>
              <w:b/>
              <w:color w:val="0070C0"/>
              <w:sz w:val="40"/>
              <w:szCs w:val="32"/>
            </w:rPr>
          </w:pPr>
        </w:p>
        <w:p w14:paraId="0B9BECB1" w14:textId="77777777" w:rsidR="00352859" w:rsidRPr="005B4F5E" w:rsidRDefault="00352859" w:rsidP="003936F8">
          <w:pPr>
            <w:widowControl w:val="0"/>
            <w:spacing w:line="276" w:lineRule="auto"/>
            <w:jc w:val="center"/>
            <w:rPr>
              <w:b/>
              <w:color w:val="0070C0"/>
              <w:sz w:val="40"/>
              <w:szCs w:val="32"/>
            </w:rPr>
          </w:pPr>
        </w:p>
        <w:p w14:paraId="0C9281EF" w14:textId="7BF06DED" w:rsidR="00352859" w:rsidRDefault="00352859" w:rsidP="00352859">
          <w:pPr>
            <w:tabs>
              <w:tab w:val="num" w:pos="720"/>
            </w:tabs>
            <w:ind w:left="720" w:hanging="360"/>
            <w:jc w:val="center"/>
            <w:rPr>
              <w:rFonts w:ascii="Times New Roman" w:hAnsi="Times New Roman" w:cs="Times New Roman"/>
              <w:b/>
              <w:sz w:val="32"/>
            </w:rPr>
          </w:pPr>
        </w:p>
        <w:p w14:paraId="6B8F6425" w14:textId="51B60E77" w:rsidR="00352859" w:rsidRPr="00C9010A" w:rsidRDefault="00316FDB" w:rsidP="00352859">
          <w:pPr>
            <w:tabs>
              <w:tab w:val="num" w:pos="720"/>
            </w:tabs>
            <w:ind w:left="720" w:hanging="360"/>
            <w:jc w:val="center"/>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60288" behindDoc="1" locked="0" layoutInCell="1" allowOverlap="1" wp14:anchorId="16E39330" wp14:editId="15B90570">
                    <wp:simplePos x="0" y="0"/>
                    <wp:positionH relativeFrom="margin">
                      <wp:align>left</wp:align>
                    </wp:positionH>
                    <wp:positionV relativeFrom="paragraph">
                      <wp:posOffset>125730</wp:posOffset>
                    </wp:positionV>
                    <wp:extent cx="6084570" cy="1146810"/>
                    <wp:effectExtent l="19050" t="19050" r="11430" b="15240"/>
                    <wp:wrapNone/>
                    <wp:docPr id="5" name="Rectangle : avec coin rogné 5"/>
                    <wp:cNvGraphicFramePr/>
                    <a:graphic xmlns:a="http://schemas.openxmlformats.org/drawingml/2006/main">
                      <a:graphicData uri="http://schemas.microsoft.com/office/word/2010/wordprocessingShape">
                        <wps:wsp>
                          <wps:cNvSpPr/>
                          <wps:spPr>
                            <a:xfrm>
                              <a:off x="0" y="0"/>
                              <a:ext cx="6084570" cy="1146810"/>
                            </a:xfrm>
                            <a:prstGeom prst="snip1Rect">
                              <a:avLst/>
                            </a:prstGeom>
                            <a:blipFill>
                              <a:blip r:embed="rId9"/>
                              <a:tile tx="0" ty="0" sx="100000" sy="100000" flip="none" algn="tl"/>
                            </a:blip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2FAC" id="Rectangle : avec coin rogné 5" o:spid="_x0000_s1026" style="position:absolute;margin-left:0;margin-top:9.9pt;width:479.1pt;height:90.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84570,114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" path="m,l5893431,r191139,191139l6084570,1146810,,1146810,,xe" strokecolor="#1f3763 [1604]" strokeweight="3pt">
                    <v:fill r:id="rId10" o:title="" recolor="t" rotate="t" type="tile"/>
                    <v:stroke joinstyle="miter"/>
                    <v:path arrowok="t" o:connecttype="custom" o:connectlocs="0,0;5893431,0;6084570,191139;6084570,1146810;0,1146810;0,0" o:connectangles="0,0,0,0,0,0"/>
                    <w10:wrap anchorx="margin"/>
                  </v:shape>
                </w:pict>
              </mc:Fallback>
            </mc:AlternateContent>
          </w:r>
        </w:p>
        <w:p w14:paraId="7701D3BA" w14:textId="23C3F7CE" w:rsidR="00352859" w:rsidRPr="005A4692" w:rsidRDefault="00352859" w:rsidP="005A4692">
          <w:pPr>
            <w:tabs>
              <w:tab w:val="num" w:pos="720"/>
            </w:tabs>
            <w:spacing w:after="0" w:line="240" w:lineRule="auto"/>
            <w:ind w:left="714" w:hanging="357"/>
            <w:jc w:val="center"/>
            <w:rPr>
              <w:rFonts w:cs="Times New Roman"/>
              <w:b/>
              <w:caps/>
              <w:color w:val="0070C0"/>
              <w:sz w:val="48"/>
              <w:szCs w:val="36"/>
            </w:rPr>
          </w:pPr>
          <w:r w:rsidRPr="00316FDB">
            <w:rPr>
              <w:rFonts w:cs="Times New Roman"/>
              <w:b/>
              <w:caps/>
              <w:color w:val="0070C0"/>
              <w:sz w:val="48"/>
              <w:szCs w:val="36"/>
            </w:rPr>
            <w:t>groupe THEMATIQUE</w:t>
          </w:r>
          <w:r w:rsidRPr="00316FDB">
            <w:rPr>
              <w:rFonts w:cs="Times New Roman"/>
              <w:b/>
              <w:i/>
              <w:caps/>
              <w:color w:val="0070C0"/>
              <w:sz w:val="48"/>
              <w:szCs w:val="36"/>
            </w:rPr>
            <w:t xml:space="preserve"> </w:t>
          </w:r>
          <w:r w:rsidRPr="005A4692">
            <w:rPr>
              <w:rFonts w:cs="Times New Roman"/>
              <w:b/>
              <w:caps/>
              <w:color w:val="0070C0"/>
              <w:sz w:val="48"/>
              <w:szCs w:val="36"/>
            </w:rPr>
            <w:t>FINANCEMENT de la Santé</w:t>
          </w:r>
        </w:p>
        <w:p w14:paraId="1C24832E" w14:textId="77777777" w:rsidR="00352859" w:rsidRPr="00C9010A" w:rsidRDefault="00352859" w:rsidP="00352859">
          <w:pPr>
            <w:tabs>
              <w:tab w:val="num" w:pos="720"/>
            </w:tabs>
            <w:ind w:left="720" w:hanging="360"/>
            <w:jc w:val="center"/>
            <w:rPr>
              <w:rFonts w:ascii="Times New Roman" w:hAnsi="Times New Roman" w:cs="Times New Roman"/>
              <w:b/>
            </w:rPr>
          </w:pPr>
        </w:p>
        <w:p w14:paraId="63D2596C" w14:textId="77777777" w:rsidR="003936F8" w:rsidRPr="00352859" w:rsidRDefault="003936F8" w:rsidP="003936F8">
          <w:pPr>
            <w:widowControl w:val="0"/>
            <w:spacing w:line="276" w:lineRule="auto"/>
            <w:jc w:val="center"/>
            <w:rPr>
              <w:rFonts w:cs="Tahoma"/>
              <w:b/>
              <w:i/>
              <w:szCs w:val="24"/>
            </w:rPr>
          </w:pPr>
        </w:p>
        <w:p w14:paraId="0E2EDD41" w14:textId="5F16AF78" w:rsidR="003936F8" w:rsidRPr="00B90B86" w:rsidRDefault="003936F8" w:rsidP="00352859">
          <w:pPr>
            <w:widowControl w:val="0"/>
            <w:spacing w:line="276" w:lineRule="auto"/>
            <w:rPr>
              <w:szCs w:val="24"/>
            </w:rPr>
          </w:pPr>
          <w:r w:rsidRPr="00B90B86">
            <w:rPr>
              <w:szCs w:val="24"/>
            </w:rPr>
            <w:t xml:space="preserve">                                                                                  </w:t>
          </w:r>
        </w:p>
        <w:p w14:paraId="36EAC16F" w14:textId="77777777" w:rsidR="003936F8" w:rsidRPr="00B90B86" w:rsidRDefault="003936F8" w:rsidP="003936F8">
          <w:pPr>
            <w:widowControl w:val="0"/>
            <w:spacing w:line="276" w:lineRule="auto"/>
            <w:jc w:val="right"/>
            <w:rPr>
              <w:szCs w:val="24"/>
            </w:rPr>
          </w:pPr>
        </w:p>
        <w:p w14:paraId="670B895A" w14:textId="77777777" w:rsidR="003936F8" w:rsidRPr="00B90B86" w:rsidRDefault="003936F8" w:rsidP="003936F8">
          <w:pPr>
            <w:widowControl w:val="0"/>
            <w:spacing w:line="276" w:lineRule="auto"/>
            <w:jc w:val="right"/>
            <w:rPr>
              <w:szCs w:val="24"/>
            </w:rPr>
          </w:pPr>
        </w:p>
        <w:p w14:paraId="40A12D38" w14:textId="77777777" w:rsidR="003936F8" w:rsidRPr="00B90B86" w:rsidRDefault="003936F8" w:rsidP="003936F8">
          <w:pPr>
            <w:widowControl w:val="0"/>
            <w:spacing w:line="276" w:lineRule="auto"/>
            <w:jc w:val="right"/>
            <w:rPr>
              <w:szCs w:val="24"/>
            </w:rPr>
          </w:pPr>
        </w:p>
        <w:p w14:paraId="025089ED" w14:textId="50B528CF" w:rsidR="003936F8" w:rsidRDefault="003936F8" w:rsidP="003936F8">
          <w:pPr>
            <w:widowControl w:val="0"/>
            <w:spacing w:line="276" w:lineRule="auto"/>
            <w:jc w:val="right"/>
            <w:rPr>
              <w:szCs w:val="24"/>
            </w:rPr>
          </w:pPr>
        </w:p>
        <w:p w14:paraId="50EB5E1F" w14:textId="7086ABB1" w:rsidR="00352859" w:rsidRDefault="00352859" w:rsidP="003936F8">
          <w:pPr>
            <w:widowControl w:val="0"/>
            <w:spacing w:line="276" w:lineRule="auto"/>
            <w:jc w:val="right"/>
            <w:rPr>
              <w:szCs w:val="24"/>
            </w:rPr>
          </w:pPr>
        </w:p>
        <w:p w14:paraId="79759CBC" w14:textId="76126237" w:rsidR="00352859" w:rsidRDefault="00352859" w:rsidP="003936F8">
          <w:pPr>
            <w:widowControl w:val="0"/>
            <w:spacing w:line="276" w:lineRule="auto"/>
            <w:jc w:val="right"/>
            <w:rPr>
              <w:szCs w:val="24"/>
            </w:rPr>
          </w:pPr>
        </w:p>
        <w:p w14:paraId="3A4ED197" w14:textId="7CCB6033" w:rsidR="005A4692" w:rsidRDefault="005A4692" w:rsidP="003936F8">
          <w:pPr>
            <w:widowControl w:val="0"/>
            <w:spacing w:line="276" w:lineRule="auto"/>
            <w:jc w:val="right"/>
            <w:rPr>
              <w:szCs w:val="24"/>
            </w:rPr>
          </w:pPr>
        </w:p>
        <w:p w14:paraId="21367645" w14:textId="77777777" w:rsidR="005A4692" w:rsidRPr="00B90B86" w:rsidRDefault="005A4692" w:rsidP="003936F8">
          <w:pPr>
            <w:widowControl w:val="0"/>
            <w:spacing w:line="276" w:lineRule="auto"/>
            <w:jc w:val="right"/>
            <w:rPr>
              <w:szCs w:val="24"/>
            </w:rPr>
          </w:pPr>
        </w:p>
        <w:p w14:paraId="66C7EEA2" w14:textId="77777777" w:rsidR="003936F8" w:rsidRPr="00B90B86" w:rsidRDefault="003936F8" w:rsidP="003936F8">
          <w:pPr>
            <w:widowControl w:val="0"/>
            <w:spacing w:line="276" w:lineRule="auto"/>
            <w:jc w:val="right"/>
            <w:rPr>
              <w:szCs w:val="24"/>
            </w:rPr>
          </w:pPr>
        </w:p>
        <w:p w14:paraId="256AE0A2" w14:textId="2BAA60CD" w:rsidR="003936F8" w:rsidRPr="003936F8" w:rsidRDefault="003936F8" w:rsidP="00352859">
          <w:pPr>
            <w:jc w:val="right"/>
            <w:rPr>
              <w:szCs w:val="24"/>
            </w:rPr>
          </w:pPr>
          <w:r w:rsidRPr="00B90B86">
            <w:rPr>
              <w:szCs w:val="24"/>
            </w:rPr>
            <w:t>Août 20</w:t>
          </w:r>
          <w:r>
            <w:rPr>
              <w:szCs w:val="24"/>
            </w:rPr>
            <w:t>21</w:t>
          </w:r>
        </w:p>
      </w:sdtContent>
    </w:sdt>
    <w:bookmarkEnd w:id="61"/>
    <w:bookmarkEnd w:id="60"/>
    <w:bookmarkEnd w:id="59"/>
    <w:bookmarkEnd w:id="58"/>
    <w:bookmarkEnd w:id="57"/>
    <w:p w14:paraId="497CABB4" w14:textId="77777777" w:rsidR="00A850CB" w:rsidRPr="00F11758" w:rsidRDefault="00A850CB" w:rsidP="00A850CB">
      <w:pPr>
        <w:pStyle w:val="Paragraphedeliste"/>
        <w:ind w:left="1428"/>
        <w:rPr>
          <w:rFonts w:ascii="Times New Roman" w:hAnsi="Times New Roman" w:cs="Times New Roman"/>
          <w:sz w:val="2"/>
          <w:szCs w:val="2"/>
        </w:rPr>
      </w:pPr>
    </w:p>
    <w:p w14:paraId="14DC649B" w14:textId="77777777" w:rsidR="00654821" w:rsidRPr="00B90B86" w:rsidRDefault="00654821" w:rsidP="00654821">
      <w:pPr>
        <w:pStyle w:val="Paragraphedeliste"/>
        <w:widowControl w:val="0"/>
        <w:numPr>
          <w:ilvl w:val="0"/>
          <w:numId w:val="3"/>
        </w:numPr>
        <w:spacing w:before="120" w:after="120" w:line="276" w:lineRule="auto"/>
        <w:contextualSpacing w:val="0"/>
        <w:jc w:val="both"/>
        <w:outlineLvl w:val="1"/>
        <w:rPr>
          <w:rFonts w:eastAsiaTheme="majorEastAsia" w:cstheme="majorBidi"/>
          <w:b/>
          <w:vanish/>
          <w:color w:val="002060"/>
          <w:szCs w:val="26"/>
        </w:rPr>
      </w:pPr>
      <w:bookmarkStart w:id="62" w:name="_Toc80611166"/>
      <w:bookmarkStart w:id="63" w:name="_Toc80611268"/>
      <w:bookmarkStart w:id="64" w:name="_Toc80787368"/>
      <w:bookmarkStart w:id="65" w:name="_Toc80788973"/>
      <w:bookmarkStart w:id="66" w:name="_Toc80789170"/>
      <w:bookmarkEnd w:id="62"/>
      <w:bookmarkEnd w:id="63"/>
      <w:bookmarkEnd w:id="64"/>
      <w:bookmarkEnd w:id="65"/>
      <w:bookmarkEnd w:id="66"/>
    </w:p>
    <w:p w14:paraId="660C4D9F" w14:textId="77777777" w:rsidR="00654821" w:rsidRPr="00B90B86" w:rsidRDefault="00654821" w:rsidP="00654821">
      <w:pPr>
        <w:pStyle w:val="Paragraphedeliste"/>
        <w:widowControl w:val="0"/>
        <w:numPr>
          <w:ilvl w:val="0"/>
          <w:numId w:val="3"/>
        </w:numPr>
        <w:spacing w:before="120" w:after="120" w:line="276" w:lineRule="auto"/>
        <w:contextualSpacing w:val="0"/>
        <w:jc w:val="both"/>
        <w:outlineLvl w:val="1"/>
        <w:rPr>
          <w:rFonts w:eastAsiaTheme="majorEastAsia" w:cstheme="majorBidi"/>
          <w:b/>
          <w:vanish/>
          <w:color w:val="002060"/>
          <w:szCs w:val="26"/>
        </w:rPr>
      </w:pPr>
      <w:bookmarkStart w:id="67" w:name="_Toc14076028"/>
      <w:bookmarkStart w:id="68" w:name="_Toc14076461"/>
      <w:bookmarkStart w:id="69" w:name="_Toc14076530"/>
      <w:bookmarkStart w:id="70" w:name="_Toc14076573"/>
      <w:bookmarkStart w:id="71" w:name="_Toc14076719"/>
      <w:bookmarkStart w:id="72" w:name="_Toc14076762"/>
      <w:bookmarkStart w:id="73" w:name="_Toc14084341"/>
      <w:bookmarkStart w:id="74" w:name="_Toc14085329"/>
      <w:bookmarkStart w:id="75" w:name="_Toc14173422"/>
      <w:bookmarkStart w:id="76" w:name="_Toc14173527"/>
      <w:bookmarkStart w:id="77" w:name="_Toc14196469"/>
      <w:bookmarkStart w:id="78" w:name="_Toc14196672"/>
      <w:bookmarkStart w:id="79" w:name="_Toc14255227"/>
      <w:bookmarkStart w:id="80" w:name="_Toc14255287"/>
      <w:bookmarkStart w:id="81" w:name="_Toc14324649"/>
      <w:bookmarkStart w:id="82" w:name="_Toc14351636"/>
      <w:bookmarkStart w:id="83" w:name="_Toc14354855"/>
      <w:bookmarkStart w:id="84" w:name="_Toc14354959"/>
      <w:bookmarkStart w:id="85" w:name="_Toc14355061"/>
      <w:bookmarkStart w:id="86" w:name="_Toc14355163"/>
      <w:bookmarkStart w:id="87" w:name="_Toc14355261"/>
      <w:bookmarkStart w:id="88" w:name="_Toc14384367"/>
      <w:bookmarkStart w:id="89" w:name="_Toc14384474"/>
      <w:bookmarkStart w:id="90" w:name="_Toc14463199"/>
      <w:bookmarkStart w:id="91" w:name="_Toc14519344"/>
      <w:bookmarkStart w:id="92" w:name="_Toc14519437"/>
      <w:bookmarkStart w:id="93" w:name="_Toc14550557"/>
      <w:bookmarkStart w:id="94" w:name="_Toc14684874"/>
      <w:bookmarkStart w:id="95" w:name="_Toc14686457"/>
      <w:bookmarkStart w:id="96" w:name="_Toc14686575"/>
      <w:bookmarkStart w:id="97" w:name="_Toc14866099"/>
      <w:bookmarkStart w:id="98" w:name="_Toc14866492"/>
      <w:bookmarkStart w:id="99" w:name="_Toc14867720"/>
      <w:bookmarkStart w:id="100" w:name="_Toc14867828"/>
      <w:bookmarkStart w:id="101" w:name="_Toc14871528"/>
      <w:bookmarkStart w:id="102" w:name="_Toc15649121"/>
      <w:bookmarkStart w:id="103" w:name="_Toc15660636"/>
      <w:bookmarkStart w:id="104" w:name="_Toc15660762"/>
      <w:bookmarkStart w:id="105" w:name="_Toc15755733"/>
      <w:bookmarkStart w:id="106" w:name="_Toc15885900"/>
      <w:bookmarkStart w:id="107" w:name="_Toc15887681"/>
      <w:bookmarkStart w:id="108" w:name="_Toc15891815"/>
      <w:bookmarkStart w:id="109" w:name="_Toc15909442"/>
      <w:bookmarkStart w:id="110" w:name="_Toc15910497"/>
      <w:bookmarkStart w:id="111" w:name="_Toc15910626"/>
      <w:bookmarkStart w:id="112" w:name="_Toc15921057"/>
      <w:bookmarkStart w:id="113" w:name="_Toc15922276"/>
      <w:bookmarkStart w:id="114" w:name="_Toc15924296"/>
      <w:bookmarkStart w:id="115" w:name="_Toc15938637"/>
      <w:bookmarkStart w:id="116" w:name="_Toc15968088"/>
      <w:bookmarkStart w:id="117" w:name="_Toc15969272"/>
      <w:bookmarkStart w:id="118" w:name="_Toc15969408"/>
      <w:bookmarkStart w:id="119" w:name="_Toc15969544"/>
      <w:bookmarkStart w:id="120" w:name="_Toc15971077"/>
      <w:bookmarkStart w:id="121" w:name="_Toc15971534"/>
      <w:bookmarkStart w:id="122" w:name="_Toc15971671"/>
      <w:bookmarkStart w:id="123" w:name="_Toc15977882"/>
      <w:bookmarkStart w:id="124" w:name="_Toc80611167"/>
      <w:bookmarkStart w:id="125" w:name="_Toc80611269"/>
      <w:bookmarkStart w:id="126" w:name="_Toc80787369"/>
      <w:bookmarkStart w:id="127" w:name="_Toc80788974"/>
      <w:bookmarkStart w:id="128" w:name="_Toc8078917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10AB943" w14:textId="77777777" w:rsidR="00654821" w:rsidRPr="00B90B86" w:rsidRDefault="00654821" w:rsidP="00654821">
      <w:pPr>
        <w:pStyle w:val="Paragraphedeliste"/>
        <w:widowControl w:val="0"/>
        <w:numPr>
          <w:ilvl w:val="0"/>
          <w:numId w:val="3"/>
        </w:numPr>
        <w:spacing w:before="120" w:after="120" w:line="276" w:lineRule="auto"/>
        <w:contextualSpacing w:val="0"/>
        <w:jc w:val="both"/>
        <w:outlineLvl w:val="1"/>
        <w:rPr>
          <w:rFonts w:eastAsiaTheme="majorEastAsia" w:cstheme="majorBidi"/>
          <w:b/>
          <w:vanish/>
          <w:color w:val="002060"/>
          <w:szCs w:val="26"/>
        </w:rPr>
      </w:pPr>
      <w:bookmarkStart w:id="129" w:name="_Toc14076029"/>
      <w:bookmarkStart w:id="130" w:name="_Toc14076462"/>
      <w:bookmarkStart w:id="131" w:name="_Toc14076531"/>
      <w:bookmarkStart w:id="132" w:name="_Toc14076574"/>
      <w:bookmarkStart w:id="133" w:name="_Toc14076720"/>
      <w:bookmarkStart w:id="134" w:name="_Toc14076763"/>
      <w:bookmarkStart w:id="135" w:name="_Toc14084342"/>
      <w:bookmarkStart w:id="136" w:name="_Toc14085330"/>
      <w:bookmarkStart w:id="137" w:name="_Toc14173423"/>
      <w:bookmarkStart w:id="138" w:name="_Toc14173528"/>
      <w:bookmarkStart w:id="139" w:name="_Toc14196470"/>
      <w:bookmarkStart w:id="140" w:name="_Toc14196673"/>
      <w:bookmarkStart w:id="141" w:name="_Toc14255228"/>
      <w:bookmarkStart w:id="142" w:name="_Toc14255288"/>
      <w:bookmarkStart w:id="143" w:name="_Toc14324650"/>
      <w:bookmarkStart w:id="144" w:name="_Toc14351637"/>
      <w:bookmarkStart w:id="145" w:name="_Toc14354856"/>
      <w:bookmarkStart w:id="146" w:name="_Toc14354960"/>
      <w:bookmarkStart w:id="147" w:name="_Toc14355062"/>
      <w:bookmarkStart w:id="148" w:name="_Toc14355164"/>
      <w:bookmarkStart w:id="149" w:name="_Toc14355262"/>
      <w:bookmarkStart w:id="150" w:name="_Toc14384368"/>
      <w:bookmarkStart w:id="151" w:name="_Toc14384475"/>
      <w:bookmarkStart w:id="152" w:name="_Toc14463200"/>
      <w:bookmarkStart w:id="153" w:name="_Toc14519345"/>
      <w:bookmarkStart w:id="154" w:name="_Toc14519438"/>
      <w:bookmarkStart w:id="155" w:name="_Toc14550558"/>
      <w:bookmarkStart w:id="156" w:name="_Toc14684875"/>
      <w:bookmarkStart w:id="157" w:name="_Toc14686458"/>
      <w:bookmarkStart w:id="158" w:name="_Toc14686576"/>
      <w:bookmarkStart w:id="159" w:name="_Toc14866100"/>
      <w:bookmarkStart w:id="160" w:name="_Toc14866493"/>
      <w:bookmarkStart w:id="161" w:name="_Toc14867721"/>
      <w:bookmarkStart w:id="162" w:name="_Toc14867829"/>
      <w:bookmarkStart w:id="163" w:name="_Toc14871529"/>
      <w:bookmarkStart w:id="164" w:name="_Toc15649122"/>
      <w:bookmarkStart w:id="165" w:name="_Toc15660637"/>
      <w:bookmarkStart w:id="166" w:name="_Toc15660763"/>
      <w:bookmarkStart w:id="167" w:name="_Toc15755734"/>
      <w:bookmarkStart w:id="168" w:name="_Toc15885901"/>
      <w:bookmarkStart w:id="169" w:name="_Toc15887682"/>
      <w:bookmarkStart w:id="170" w:name="_Toc15891816"/>
      <w:bookmarkStart w:id="171" w:name="_Toc15909443"/>
      <w:bookmarkStart w:id="172" w:name="_Toc15910498"/>
      <w:bookmarkStart w:id="173" w:name="_Toc15910627"/>
      <w:bookmarkStart w:id="174" w:name="_Toc15921058"/>
      <w:bookmarkStart w:id="175" w:name="_Toc15922277"/>
      <w:bookmarkStart w:id="176" w:name="_Toc15924297"/>
      <w:bookmarkStart w:id="177" w:name="_Toc15938638"/>
      <w:bookmarkStart w:id="178" w:name="_Toc15968089"/>
      <w:bookmarkStart w:id="179" w:name="_Toc15969273"/>
      <w:bookmarkStart w:id="180" w:name="_Toc15969409"/>
      <w:bookmarkStart w:id="181" w:name="_Toc15969545"/>
      <w:bookmarkStart w:id="182" w:name="_Toc15971078"/>
      <w:bookmarkStart w:id="183" w:name="_Toc15971535"/>
      <w:bookmarkStart w:id="184" w:name="_Toc15971672"/>
      <w:bookmarkStart w:id="185" w:name="_Toc15977883"/>
      <w:bookmarkStart w:id="186" w:name="_Toc80611168"/>
      <w:bookmarkStart w:id="187" w:name="_Toc80611270"/>
      <w:bookmarkStart w:id="188" w:name="_Toc80787370"/>
      <w:bookmarkStart w:id="189" w:name="_Toc80788975"/>
      <w:bookmarkStart w:id="190" w:name="_Toc8078917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1371F36B" w14:textId="77777777" w:rsidR="00654821" w:rsidRPr="00B90B86" w:rsidRDefault="00654821" w:rsidP="00654821">
      <w:pPr>
        <w:pStyle w:val="Paragraphedeliste"/>
        <w:widowControl w:val="0"/>
        <w:numPr>
          <w:ilvl w:val="0"/>
          <w:numId w:val="3"/>
        </w:numPr>
        <w:spacing w:before="120" w:after="120" w:line="276" w:lineRule="auto"/>
        <w:contextualSpacing w:val="0"/>
        <w:jc w:val="both"/>
        <w:outlineLvl w:val="1"/>
        <w:rPr>
          <w:rFonts w:eastAsiaTheme="majorEastAsia" w:cstheme="majorBidi"/>
          <w:b/>
          <w:vanish/>
          <w:color w:val="002060"/>
          <w:szCs w:val="26"/>
        </w:rPr>
      </w:pPr>
      <w:bookmarkStart w:id="191" w:name="_Toc14076030"/>
      <w:bookmarkStart w:id="192" w:name="_Toc14076463"/>
      <w:bookmarkStart w:id="193" w:name="_Toc14076532"/>
      <w:bookmarkStart w:id="194" w:name="_Toc14076575"/>
      <w:bookmarkStart w:id="195" w:name="_Toc14076721"/>
      <w:bookmarkStart w:id="196" w:name="_Toc14076764"/>
      <w:bookmarkStart w:id="197" w:name="_Toc14084343"/>
      <w:bookmarkStart w:id="198" w:name="_Toc14085331"/>
      <w:bookmarkStart w:id="199" w:name="_Toc14173424"/>
      <w:bookmarkStart w:id="200" w:name="_Toc14173529"/>
      <w:bookmarkStart w:id="201" w:name="_Toc14196471"/>
      <w:bookmarkStart w:id="202" w:name="_Toc14196674"/>
      <w:bookmarkStart w:id="203" w:name="_Toc14255229"/>
      <w:bookmarkStart w:id="204" w:name="_Toc14255289"/>
      <w:bookmarkStart w:id="205" w:name="_Toc14324651"/>
      <w:bookmarkStart w:id="206" w:name="_Toc14351638"/>
      <w:bookmarkStart w:id="207" w:name="_Toc14354857"/>
      <w:bookmarkStart w:id="208" w:name="_Toc14354961"/>
      <w:bookmarkStart w:id="209" w:name="_Toc14355063"/>
      <w:bookmarkStart w:id="210" w:name="_Toc14355165"/>
      <w:bookmarkStart w:id="211" w:name="_Toc14355263"/>
      <w:bookmarkStart w:id="212" w:name="_Toc14384369"/>
      <w:bookmarkStart w:id="213" w:name="_Toc14384476"/>
      <w:bookmarkStart w:id="214" w:name="_Toc14463201"/>
      <w:bookmarkStart w:id="215" w:name="_Toc14519346"/>
      <w:bookmarkStart w:id="216" w:name="_Toc14519439"/>
      <w:bookmarkStart w:id="217" w:name="_Toc14550559"/>
      <w:bookmarkStart w:id="218" w:name="_Toc14684876"/>
      <w:bookmarkStart w:id="219" w:name="_Toc14686459"/>
      <w:bookmarkStart w:id="220" w:name="_Toc14686577"/>
      <w:bookmarkStart w:id="221" w:name="_Toc14866101"/>
      <w:bookmarkStart w:id="222" w:name="_Toc14866494"/>
      <w:bookmarkStart w:id="223" w:name="_Toc14867722"/>
      <w:bookmarkStart w:id="224" w:name="_Toc14867830"/>
      <w:bookmarkStart w:id="225" w:name="_Toc14871530"/>
      <w:bookmarkStart w:id="226" w:name="_Toc15649123"/>
      <w:bookmarkStart w:id="227" w:name="_Toc15660638"/>
      <w:bookmarkStart w:id="228" w:name="_Toc15660764"/>
      <w:bookmarkStart w:id="229" w:name="_Toc15755735"/>
      <w:bookmarkStart w:id="230" w:name="_Toc15885902"/>
      <w:bookmarkStart w:id="231" w:name="_Toc15887683"/>
      <w:bookmarkStart w:id="232" w:name="_Toc15891817"/>
      <w:bookmarkStart w:id="233" w:name="_Toc15909444"/>
      <w:bookmarkStart w:id="234" w:name="_Toc15910499"/>
      <w:bookmarkStart w:id="235" w:name="_Toc15910628"/>
      <w:bookmarkStart w:id="236" w:name="_Toc15921059"/>
      <w:bookmarkStart w:id="237" w:name="_Toc15922278"/>
      <w:bookmarkStart w:id="238" w:name="_Toc15924298"/>
      <w:bookmarkStart w:id="239" w:name="_Toc15938639"/>
      <w:bookmarkStart w:id="240" w:name="_Toc15968090"/>
      <w:bookmarkStart w:id="241" w:name="_Toc15969274"/>
      <w:bookmarkStart w:id="242" w:name="_Toc15969410"/>
      <w:bookmarkStart w:id="243" w:name="_Toc15969546"/>
      <w:bookmarkStart w:id="244" w:name="_Toc15971079"/>
      <w:bookmarkStart w:id="245" w:name="_Toc15971536"/>
      <w:bookmarkStart w:id="246" w:name="_Toc15971673"/>
      <w:bookmarkStart w:id="247" w:name="_Toc15977884"/>
      <w:bookmarkStart w:id="248" w:name="_Toc80611169"/>
      <w:bookmarkStart w:id="249" w:name="_Toc80611271"/>
      <w:bookmarkStart w:id="250" w:name="_Toc80787371"/>
      <w:bookmarkStart w:id="251" w:name="_Toc80788976"/>
      <w:bookmarkStart w:id="252" w:name="_Toc8078917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5940C91" w14:textId="77777777" w:rsidR="00654821" w:rsidRPr="00B90B86" w:rsidRDefault="00654821" w:rsidP="00654821">
      <w:pPr>
        <w:pStyle w:val="Paragraphedeliste"/>
        <w:widowControl w:val="0"/>
        <w:numPr>
          <w:ilvl w:val="0"/>
          <w:numId w:val="3"/>
        </w:numPr>
        <w:spacing w:before="120" w:after="120" w:line="276" w:lineRule="auto"/>
        <w:contextualSpacing w:val="0"/>
        <w:jc w:val="both"/>
        <w:outlineLvl w:val="1"/>
        <w:rPr>
          <w:rFonts w:eastAsiaTheme="majorEastAsia" w:cstheme="majorBidi"/>
          <w:b/>
          <w:vanish/>
          <w:color w:val="002060"/>
          <w:szCs w:val="26"/>
        </w:rPr>
      </w:pPr>
      <w:bookmarkStart w:id="253" w:name="_Toc14076031"/>
      <w:bookmarkStart w:id="254" w:name="_Toc14076464"/>
      <w:bookmarkStart w:id="255" w:name="_Toc14076533"/>
      <w:bookmarkStart w:id="256" w:name="_Toc14076576"/>
      <w:bookmarkStart w:id="257" w:name="_Toc14076722"/>
      <w:bookmarkStart w:id="258" w:name="_Toc14076765"/>
      <w:bookmarkStart w:id="259" w:name="_Toc14084344"/>
      <w:bookmarkStart w:id="260" w:name="_Toc14085332"/>
      <w:bookmarkStart w:id="261" w:name="_Toc14173425"/>
      <w:bookmarkStart w:id="262" w:name="_Toc14173530"/>
      <w:bookmarkStart w:id="263" w:name="_Toc14196472"/>
      <w:bookmarkStart w:id="264" w:name="_Toc14196675"/>
      <w:bookmarkStart w:id="265" w:name="_Toc14255230"/>
      <w:bookmarkStart w:id="266" w:name="_Toc14255290"/>
      <w:bookmarkStart w:id="267" w:name="_Toc14324652"/>
      <w:bookmarkStart w:id="268" w:name="_Toc14351639"/>
      <w:bookmarkStart w:id="269" w:name="_Toc14354858"/>
      <w:bookmarkStart w:id="270" w:name="_Toc14354962"/>
      <w:bookmarkStart w:id="271" w:name="_Toc14355064"/>
      <w:bookmarkStart w:id="272" w:name="_Toc14355166"/>
      <w:bookmarkStart w:id="273" w:name="_Toc14355264"/>
      <w:bookmarkStart w:id="274" w:name="_Toc14384370"/>
      <w:bookmarkStart w:id="275" w:name="_Toc14384477"/>
      <w:bookmarkStart w:id="276" w:name="_Toc14463202"/>
      <w:bookmarkStart w:id="277" w:name="_Toc14519347"/>
      <w:bookmarkStart w:id="278" w:name="_Toc14519440"/>
      <w:bookmarkStart w:id="279" w:name="_Toc14550560"/>
      <w:bookmarkStart w:id="280" w:name="_Toc14684877"/>
      <w:bookmarkStart w:id="281" w:name="_Toc14686460"/>
      <w:bookmarkStart w:id="282" w:name="_Toc14686578"/>
      <w:bookmarkStart w:id="283" w:name="_Toc14866102"/>
      <w:bookmarkStart w:id="284" w:name="_Toc14866495"/>
      <w:bookmarkStart w:id="285" w:name="_Toc14867723"/>
      <w:bookmarkStart w:id="286" w:name="_Toc14867831"/>
      <w:bookmarkStart w:id="287" w:name="_Toc14871531"/>
      <w:bookmarkStart w:id="288" w:name="_Toc15649124"/>
      <w:bookmarkStart w:id="289" w:name="_Toc15660639"/>
      <w:bookmarkStart w:id="290" w:name="_Toc15660765"/>
      <w:bookmarkStart w:id="291" w:name="_Toc15755736"/>
      <w:bookmarkStart w:id="292" w:name="_Toc15885903"/>
      <w:bookmarkStart w:id="293" w:name="_Toc15887684"/>
      <w:bookmarkStart w:id="294" w:name="_Toc15891818"/>
      <w:bookmarkStart w:id="295" w:name="_Toc15909445"/>
      <w:bookmarkStart w:id="296" w:name="_Toc15910500"/>
      <w:bookmarkStart w:id="297" w:name="_Toc15910629"/>
      <w:bookmarkStart w:id="298" w:name="_Toc15921060"/>
      <w:bookmarkStart w:id="299" w:name="_Toc15922279"/>
      <w:bookmarkStart w:id="300" w:name="_Toc15924299"/>
      <w:bookmarkStart w:id="301" w:name="_Toc15938640"/>
      <w:bookmarkStart w:id="302" w:name="_Toc15968091"/>
      <w:bookmarkStart w:id="303" w:name="_Toc15969275"/>
      <w:bookmarkStart w:id="304" w:name="_Toc15969411"/>
      <w:bookmarkStart w:id="305" w:name="_Toc15969547"/>
      <w:bookmarkStart w:id="306" w:name="_Toc15971080"/>
      <w:bookmarkStart w:id="307" w:name="_Toc15971537"/>
      <w:bookmarkStart w:id="308" w:name="_Toc15971674"/>
      <w:bookmarkStart w:id="309" w:name="_Toc15977885"/>
      <w:bookmarkStart w:id="310" w:name="_Toc80611170"/>
      <w:bookmarkStart w:id="311" w:name="_Toc80611272"/>
      <w:bookmarkStart w:id="312" w:name="_Toc80787372"/>
      <w:bookmarkStart w:id="313" w:name="_Toc80788977"/>
      <w:bookmarkStart w:id="314" w:name="_Toc8078917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6BB2DA99" w14:textId="77777777" w:rsidR="00654821" w:rsidRPr="00B90B86" w:rsidRDefault="00654821" w:rsidP="00654821">
      <w:pPr>
        <w:pStyle w:val="Paragraphedeliste"/>
        <w:widowControl w:val="0"/>
        <w:numPr>
          <w:ilvl w:val="0"/>
          <w:numId w:val="15"/>
        </w:numPr>
        <w:spacing w:before="120" w:after="120" w:line="276" w:lineRule="auto"/>
        <w:contextualSpacing w:val="0"/>
        <w:jc w:val="both"/>
        <w:outlineLvl w:val="1"/>
        <w:rPr>
          <w:rFonts w:eastAsiaTheme="majorEastAsia" w:cstheme="majorBidi"/>
          <w:b/>
          <w:vanish/>
          <w:color w:val="002060"/>
          <w:szCs w:val="26"/>
        </w:rPr>
      </w:pPr>
      <w:bookmarkStart w:id="315" w:name="_Toc14354859"/>
      <w:bookmarkStart w:id="316" w:name="_Toc14354963"/>
      <w:bookmarkStart w:id="317" w:name="_Toc14355065"/>
      <w:bookmarkStart w:id="318" w:name="_Toc14355167"/>
      <w:bookmarkStart w:id="319" w:name="_Toc14355265"/>
      <w:bookmarkStart w:id="320" w:name="_Toc14384371"/>
      <w:bookmarkStart w:id="321" w:name="_Toc14384478"/>
      <w:bookmarkStart w:id="322" w:name="_Toc14463203"/>
      <w:bookmarkStart w:id="323" w:name="_Toc14519348"/>
      <w:bookmarkStart w:id="324" w:name="_Toc14519441"/>
      <w:bookmarkStart w:id="325" w:name="_Toc14550561"/>
      <w:bookmarkStart w:id="326" w:name="_Toc14684878"/>
      <w:bookmarkStart w:id="327" w:name="_Toc14686461"/>
      <w:bookmarkStart w:id="328" w:name="_Toc14686579"/>
      <w:bookmarkStart w:id="329" w:name="_Toc14866103"/>
      <w:bookmarkStart w:id="330" w:name="_Toc14866496"/>
      <w:bookmarkStart w:id="331" w:name="_Toc14867724"/>
      <w:bookmarkStart w:id="332" w:name="_Toc14867832"/>
      <w:bookmarkStart w:id="333" w:name="_Toc14871532"/>
      <w:bookmarkStart w:id="334" w:name="_Toc15649125"/>
      <w:bookmarkStart w:id="335" w:name="_Toc15660640"/>
      <w:bookmarkStart w:id="336" w:name="_Toc15660766"/>
      <w:bookmarkStart w:id="337" w:name="_Toc15755737"/>
      <w:bookmarkStart w:id="338" w:name="_Toc15885904"/>
      <w:bookmarkStart w:id="339" w:name="_Toc15887685"/>
      <w:bookmarkStart w:id="340" w:name="_Toc15891819"/>
      <w:bookmarkStart w:id="341" w:name="_Toc15909446"/>
      <w:bookmarkStart w:id="342" w:name="_Toc15910501"/>
      <w:bookmarkStart w:id="343" w:name="_Toc15910630"/>
      <w:bookmarkStart w:id="344" w:name="_Toc15921061"/>
      <w:bookmarkStart w:id="345" w:name="_Toc15922280"/>
      <w:bookmarkStart w:id="346" w:name="_Toc15924300"/>
      <w:bookmarkStart w:id="347" w:name="_Toc15938641"/>
      <w:bookmarkStart w:id="348" w:name="_Toc15968092"/>
      <w:bookmarkStart w:id="349" w:name="_Toc15969276"/>
      <w:bookmarkStart w:id="350" w:name="_Toc15969412"/>
      <w:bookmarkStart w:id="351" w:name="_Toc15969548"/>
      <w:bookmarkStart w:id="352" w:name="_Toc15971081"/>
      <w:bookmarkStart w:id="353" w:name="_Toc15971538"/>
      <w:bookmarkStart w:id="354" w:name="_Toc15971675"/>
      <w:bookmarkStart w:id="355" w:name="_Toc15977886"/>
      <w:bookmarkStart w:id="356" w:name="_Toc80611171"/>
      <w:bookmarkStart w:id="357" w:name="_Toc80611273"/>
      <w:bookmarkStart w:id="358" w:name="_Toc80787373"/>
      <w:bookmarkStart w:id="359" w:name="_Toc80788978"/>
      <w:bookmarkStart w:id="360" w:name="_Toc80789175"/>
      <w:bookmarkStart w:id="361" w:name="_Toc1432465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632CE04" w14:textId="77777777" w:rsidR="003936F8" w:rsidRPr="003936F8" w:rsidRDefault="003936F8" w:rsidP="003936F8">
      <w:pPr>
        <w:pStyle w:val="Titre1"/>
        <w:rPr>
          <w:sz w:val="28"/>
          <w:szCs w:val="36"/>
        </w:rPr>
      </w:pPr>
      <w:bookmarkStart w:id="362" w:name="_Toc80787374"/>
      <w:bookmarkStart w:id="363" w:name="_Toc80789176"/>
      <w:bookmarkEnd w:id="361"/>
      <w:r w:rsidRPr="003936F8">
        <w:rPr>
          <w:sz w:val="28"/>
          <w:szCs w:val="36"/>
        </w:rPr>
        <w:t>Introduction</w:t>
      </w:r>
      <w:bookmarkEnd w:id="362"/>
      <w:bookmarkEnd w:id="363"/>
    </w:p>
    <w:p w14:paraId="60457A41" w14:textId="2682D068" w:rsidR="006577B7" w:rsidRDefault="006577B7" w:rsidP="006577B7">
      <w:pPr>
        <w:spacing w:after="0" w:line="240" w:lineRule="auto"/>
        <w:jc w:val="both"/>
      </w:pPr>
      <w:bookmarkStart w:id="364" w:name="_Hlk80774142"/>
      <w:r w:rsidRPr="009C748A">
        <w:t>Le financement du système de santé constitue un des principaux déterminants de la performance des services de santé. L’analyse classique du financement de la santé consiste à examiner la cohérence entre les capacités de mobilisation des ressources, la mise en commun des fonds et l’achat stratégique des prestations, afin de jeter les bases d’une politique fondée sur les principes d’équité, de solidarité et d’efficience qui sont également les fondements d’une stratégie de lutte contre la pauvreté.</w:t>
      </w:r>
      <w:r w:rsidRPr="006577B7">
        <w:t xml:space="preserve"> </w:t>
      </w:r>
    </w:p>
    <w:p w14:paraId="0381E300" w14:textId="77777777" w:rsidR="006577B7" w:rsidRPr="00AE5691" w:rsidRDefault="006577B7" w:rsidP="006577B7">
      <w:pPr>
        <w:spacing w:after="0" w:line="240" w:lineRule="auto"/>
        <w:jc w:val="both"/>
        <w:rPr>
          <w:sz w:val="16"/>
          <w:szCs w:val="14"/>
        </w:rPr>
      </w:pPr>
    </w:p>
    <w:p w14:paraId="4778FF74" w14:textId="404633FE" w:rsidR="00654821" w:rsidRDefault="00654821" w:rsidP="00654821">
      <w:pPr>
        <w:widowControl w:val="0"/>
        <w:spacing w:line="276" w:lineRule="auto"/>
        <w:jc w:val="both"/>
      </w:pPr>
      <w:r w:rsidRPr="00B90B86">
        <w:t>Pour aborder les questions de financement, il faut rappeler que le gouvernement Guinéen s’est engagé avec ses pairs à la couverture sanitaire universelle à l’horizon 2030. C’est dans cette perspective que des réformes doivent être entreprises pour accroitre les contributions financières de l’Eta</w:t>
      </w:r>
      <w:r w:rsidR="00DE43C1">
        <w:t>t</w:t>
      </w:r>
      <w:r w:rsidRPr="00B90B86">
        <w:t xml:space="preserve">, l’engagement et le leadership du gouvernement afin d’assurer à l’ensemble des populations, notamment les plus vulnérables, des services de santé de qualité géographiquement et financièrement accessibles et culturellement acceptables. </w:t>
      </w:r>
    </w:p>
    <w:bookmarkEnd w:id="364"/>
    <w:p w14:paraId="4705B8B6" w14:textId="77777777" w:rsidR="00194F26" w:rsidRPr="00316FDB" w:rsidRDefault="00194F26" w:rsidP="00194F26">
      <w:pPr>
        <w:widowControl w:val="0"/>
        <w:pBdr>
          <w:top w:val="single" w:sz="4" w:space="1" w:color="auto"/>
          <w:left w:val="single" w:sz="4" w:space="4" w:color="auto"/>
          <w:bottom w:val="single" w:sz="4" w:space="1" w:color="auto"/>
          <w:right w:val="single" w:sz="4" w:space="4" w:color="auto"/>
        </w:pBdr>
        <w:spacing w:line="276" w:lineRule="auto"/>
        <w:jc w:val="both"/>
        <w:rPr>
          <w:bCs/>
          <w:i/>
          <w:iCs/>
          <w:color w:val="000000" w:themeColor="text1"/>
        </w:rPr>
      </w:pPr>
      <w:r w:rsidRPr="000239A9">
        <w:rPr>
          <w:b/>
          <w:i/>
          <w:iCs/>
        </w:rPr>
        <w:t>Question clé :</w:t>
      </w:r>
      <w:r w:rsidRPr="000239A9">
        <w:rPr>
          <w:b/>
        </w:rPr>
        <w:t xml:space="preserve"> </w:t>
      </w:r>
      <w:r w:rsidRPr="00316FDB">
        <w:rPr>
          <w:bCs/>
          <w:i/>
          <w:iCs/>
          <w:color w:val="000000" w:themeColor="text1"/>
        </w:rPr>
        <w:t>Le système de financement actuel du secteur de la santé permet-il d’améliorer l’accès aux soins ? Sinon, comment y parvenir et garantir la politique d’équité du Gouvernement ?</w:t>
      </w:r>
    </w:p>
    <w:p w14:paraId="418BF4CF" w14:textId="41B70064" w:rsidR="00194F26" w:rsidRPr="00B90B86" w:rsidRDefault="00194F26" w:rsidP="00194F26">
      <w:pPr>
        <w:widowControl w:val="0"/>
        <w:spacing w:line="276" w:lineRule="auto"/>
        <w:jc w:val="both"/>
      </w:pPr>
      <w:r w:rsidRPr="00B90B86">
        <w:t xml:space="preserve">Pour répondre à cette question, il </w:t>
      </w:r>
      <w:r>
        <w:t>sera</w:t>
      </w:r>
      <w:r w:rsidRPr="00B90B86">
        <w:t xml:space="preserve"> examiné le niveau de dépense actuelle de santé, l’évolution des prévisions et le niveau d’exécution des budgets de l’Etat, les contributions des</w:t>
      </w:r>
      <w:r>
        <w:t xml:space="preserve"> partenaires techniques et financiers, des</w:t>
      </w:r>
      <w:r w:rsidRPr="00B90B86">
        <w:t xml:space="preserve"> entreprises et des paiements directs des usagers.</w:t>
      </w:r>
    </w:p>
    <w:p w14:paraId="508CDCF6" w14:textId="4C733A69" w:rsidR="00194F26" w:rsidRDefault="00194F26" w:rsidP="00654821">
      <w:pPr>
        <w:widowControl w:val="0"/>
        <w:spacing w:line="276" w:lineRule="auto"/>
        <w:jc w:val="both"/>
      </w:pPr>
      <w:r w:rsidRPr="000F51BC">
        <w:t xml:space="preserve">Les </w:t>
      </w:r>
      <w:r w:rsidR="000F51BC" w:rsidRPr="000F51BC">
        <w:t>étapes consisteront</w:t>
      </w:r>
      <w:r w:rsidRPr="000F51BC">
        <w:t xml:space="preserve"> à faire une </w:t>
      </w:r>
      <w:bookmarkStart w:id="365" w:name="_Hlk80789526"/>
      <w:r w:rsidRPr="000F51BC">
        <w:t>description de la situation et à l’identification des problèmes et de leurs causes, assortie des approches de solutions</w:t>
      </w:r>
      <w:bookmarkEnd w:id="365"/>
      <w:r w:rsidRPr="000F51BC">
        <w:t>.</w:t>
      </w:r>
    </w:p>
    <w:p w14:paraId="7B94AF8C" w14:textId="4D08173B" w:rsidR="00310D85" w:rsidRPr="00C467E4" w:rsidRDefault="00310D85" w:rsidP="00685C03">
      <w:pPr>
        <w:pStyle w:val="Paragraphedeliste"/>
        <w:widowControl w:val="0"/>
        <w:numPr>
          <w:ilvl w:val="0"/>
          <w:numId w:val="31"/>
        </w:numPr>
        <w:spacing w:line="276" w:lineRule="auto"/>
        <w:jc w:val="both"/>
        <w:outlineLvl w:val="0"/>
        <w:rPr>
          <w:b/>
          <w:bCs/>
        </w:rPr>
      </w:pPr>
      <w:bookmarkStart w:id="366" w:name="_Toc80789177"/>
      <w:r w:rsidRPr="00C467E4">
        <w:rPr>
          <w:b/>
          <w:bCs/>
        </w:rPr>
        <w:t xml:space="preserve">Description </w:t>
      </w:r>
      <w:r w:rsidR="00C467E4">
        <w:rPr>
          <w:b/>
          <w:bCs/>
        </w:rPr>
        <w:t xml:space="preserve">de la situation </w:t>
      </w:r>
      <w:r w:rsidRPr="00C467E4">
        <w:rPr>
          <w:b/>
          <w:bCs/>
        </w:rPr>
        <w:t>du financement de la santé</w:t>
      </w:r>
      <w:bookmarkEnd w:id="366"/>
    </w:p>
    <w:p w14:paraId="056FFB38" w14:textId="354475C4" w:rsidR="00310D85" w:rsidRPr="00310D85" w:rsidRDefault="00310D85" w:rsidP="00310D85">
      <w:pPr>
        <w:widowControl w:val="0"/>
        <w:spacing w:before="120" w:after="120" w:line="276" w:lineRule="auto"/>
        <w:jc w:val="both"/>
        <w:rPr>
          <w:rFonts w:cs="Arial"/>
          <w:szCs w:val="24"/>
        </w:rPr>
      </w:pPr>
      <w:bookmarkStart w:id="367" w:name="_Hlk80789707"/>
      <w:r w:rsidRPr="00310D85">
        <w:rPr>
          <w:rFonts w:cs="Arial"/>
          <w:szCs w:val="24"/>
        </w:rPr>
        <w:t>Les fonds du système de soins guinéen proviennent de plusieurs sources qui comprennent l’Etat, les collectivités locales, les partenaires techniques et financiers, les donateurs, les ménages, les investisseurs privés et les ONG. Ces fonds sont mobilisés et mis en commun au niveau de plusieurs acteurs qui procèdent à l’organisation des achats des prestations pour la satisfaction des besoins de différentes cibles de la population.</w:t>
      </w:r>
    </w:p>
    <w:p w14:paraId="1215C2F5" w14:textId="6E08A3CA" w:rsidR="00310D85" w:rsidRPr="00685C03" w:rsidRDefault="00310D85" w:rsidP="00D238C3">
      <w:pPr>
        <w:pStyle w:val="Titre2"/>
        <w:numPr>
          <w:ilvl w:val="1"/>
          <w:numId w:val="31"/>
        </w:numPr>
      </w:pPr>
      <w:bookmarkStart w:id="368" w:name="_Toc80789178"/>
      <w:bookmarkStart w:id="369" w:name="_Hlk80789780"/>
      <w:bookmarkEnd w:id="367"/>
      <w:r w:rsidRPr="00685C03">
        <w:t>Mobilisation des ressources</w:t>
      </w:r>
      <w:bookmarkEnd w:id="368"/>
    </w:p>
    <w:p w14:paraId="73C22E71" w14:textId="0BD1EC37" w:rsidR="000E05AB" w:rsidRPr="000E05AB" w:rsidRDefault="000E05AB" w:rsidP="00685C03">
      <w:pPr>
        <w:pStyle w:val="Paragraphedeliste"/>
        <w:numPr>
          <w:ilvl w:val="0"/>
          <w:numId w:val="27"/>
        </w:numPr>
        <w:rPr>
          <w:rFonts w:cs="Times New Roman"/>
          <w:b/>
          <w:bCs/>
          <w:szCs w:val="24"/>
        </w:rPr>
      </w:pPr>
      <w:bookmarkStart w:id="370" w:name="_Toc80787375"/>
      <w:bookmarkStart w:id="371" w:name="_Hlk80774470"/>
      <w:bookmarkEnd w:id="369"/>
      <w:r w:rsidRPr="000E05AB">
        <w:rPr>
          <w:rFonts w:cs="Times New Roman"/>
          <w:b/>
          <w:bCs/>
          <w:szCs w:val="24"/>
        </w:rPr>
        <w:t>Evolution du PIB par rapport à la création des richesses</w:t>
      </w:r>
      <w:bookmarkEnd w:id="370"/>
      <w:r w:rsidRPr="000E05AB">
        <w:rPr>
          <w:rFonts w:cs="Times New Roman"/>
          <w:b/>
          <w:bCs/>
          <w:szCs w:val="24"/>
        </w:rPr>
        <w:t xml:space="preserve"> </w:t>
      </w:r>
    </w:p>
    <w:p w14:paraId="222CD4E5" w14:textId="45088AD0" w:rsidR="000E05AB" w:rsidRPr="00C467E4" w:rsidRDefault="000E05AB" w:rsidP="000E05AB">
      <w:pPr>
        <w:jc w:val="both"/>
      </w:pPr>
      <w:r w:rsidRPr="00A04638">
        <w:t xml:space="preserve">La part de la richesse nationale affectée à la santé est mesurée par la part du PIB dans la dépense totale de santé. Selon les résultats des comptes nationaux de santé de 2020, la </w:t>
      </w:r>
      <w:r w:rsidRPr="009C748A">
        <w:t xml:space="preserve">part du PIB dans la DTS est passé de </w:t>
      </w:r>
      <w:r w:rsidRPr="00C467E4">
        <w:t xml:space="preserve">6,34 % en 2015 à 4,27 % en 2019. </w:t>
      </w:r>
    </w:p>
    <w:p w14:paraId="2CF02AFC" w14:textId="77777777" w:rsidR="000E05AB" w:rsidRDefault="000E05AB" w:rsidP="000E05AB">
      <w:pPr>
        <w:jc w:val="both"/>
      </w:pPr>
      <w:r w:rsidRPr="009C748A">
        <w:t>Avec un tel résultat, la Guinée continue d’être l’un des pays de la sous-région qui mobilise le moins de sa capacité économique nationale en faveur de la santé.</w:t>
      </w:r>
    </w:p>
    <w:bookmarkEnd w:id="371"/>
    <w:p w14:paraId="58A8B685" w14:textId="77777777" w:rsidR="00316FDB" w:rsidRDefault="00310D85" w:rsidP="00310D85">
      <w:pPr>
        <w:widowControl w:val="0"/>
        <w:spacing w:before="60" w:after="60" w:line="276" w:lineRule="auto"/>
        <w:jc w:val="both"/>
        <w:rPr>
          <w:rFonts w:cs="Arial"/>
          <w:szCs w:val="24"/>
        </w:rPr>
      </w:pPr>
      <w:r w:rsidRPr="0019595F">
        <w:rPr>
          <w:rFonts w:cs="Arial"/>
          <w:color w:val="000000"/>
          <w:szCs w:val="24"/>
        </w:rPr>
        <w:t>En Guinée,</w:t>
      </w:r>
      <w:r>
        <w:rPr>
          <w:rFonts w:cs="Arial"/>
          <w:color w:val="000000"/>
          <w:szCs w:val="24"/>
        </w:rPr>
        <w:t xml:space="preserve"> </w:t>
      </w:r>
      <w:r w:rsidRPr="0019595F">
        <w:rPr>
          <w:rFonts w:cs="Arial"/>
          <w:color w:val="000000"/>
          <w:szCs w:val="24"/>
        </w:rPr>
        <w:t xml:space="preserve">la répartition de la DTS par source montre que </w:t>
      </w:r>
      <w:r w:rsidRPr="0019595F">
        <w:rPr>
          <w:rFonts w:cs="Arial"/>
          <w:szCs w:val="24"/>
        </w:rPr>
        <w:t>les ménages constituent la première source de financement des dépenses de santé par le paiement direct,</w:t>
      </w:r>
      <w:r>
        <w:rPr>
          <w:rFonts w:cs="Arial"/>
          <w:szCs w:val="24"/>
        </w:rPr>
        <w:t xml:space="preserve"> </w:t>
      </w:r>
      <w:r w:rsidRPr="0019595F">
        <w:rPr>
          <w:rFonts w:cs="Arial"/>
          <w:szCs w:val="24"/>
        </w:rPr>
        <w:t xml:space="preserve">avec 56,6% des dépenses, suivi de l’Administration publique avec 24,6% des dépenses de santé. </w:t>
      </w:r>
    </w:p>
    <w:p w14:paraId="4A074C9D" w14:textId="77777777" w:rsidR="00316FDB" w:rsidRDefault="00316FDB" w:rsidP="00310D85">
      <w:pPr>
        <w:widowControl w:val="0"/>
        <w:spacing w:before="60" w:after="60" w:line="276" w:lineRule="auto"/>
        <w:jc w:val="both"/>
        <w:rPr>
          <w:rFonts w:cs="Arial"/>
          <w:szCs w:val="24"/>
        </w:rPr>
      </w:pPr>
    </w:p>
    <w:p w14:paraId="67E4ED05" w14:textId="5B6EF058" w:rsidR="00310D85" w:rsidRDefault="00310D85" w:rsidP="00310D85">
      <w:pPr>
        <w:widowControl w:val="0"/>
        <w:spacing w:before="60" w:after="60" w:line="276" w:lineRule="auto"/>
        <w:jc w:val="both"/>
        <w:rPr>
          <w:rFonts w:cs="Arial"/>
          <w:szCs w:val="24"/>
        </w:rPr>
      </w:pPr>
      <w:r w:rsidRPr="0019595F">
        <w:rPr>
          <w:rFonts w:cs="Arial"/>
          <w:szCs w:val="24"/>
        </w:rPr>
        <w:lastRenderedPageBreak/>
        <w:t>Le reste du monde est la troisième source de financement de la santé avec 15,0% des dépenses de santé</w:t>
      </w:r>
      <w:r>
        <w:rPr>
          <w:rFonts w:cs="Arial"/>
          <w:szCs w:val="24"/>
        </w:rPr>
        <w:t>.</w:t>
      </w:r>
      <w:r w:rsidRPr="0019595F">
        <w:rPr>
          <w:rFonts w:cs="Arial"/>
          <w:szCs w:val="24"/>
        </w:rPr>
        <w:t xml:space="preserve"> </w:t>
      </w:r>
      <w:r>
        <w:rPr>
          <w:rFonts w:cs="Arial"/>
          <w:szCs w:val="24"/>
        </w:rPr>
        <w:t xml:space="preserve">Et les 3,8 % par les entreprises et </w:t>
      </w:r>
      <w:r w:rsidRPr="00A34671">
        <w:rPr>
          <w:rFonts w:cs="Arial"/>
          <w:szCs w:val="24"/>
        </w:rPr>
        <w:t>les Institutions sans but lucratifs aux services des ménages (ISBLLSM).</w:t>
      </w:r>
    </w:p>
    <w:p w14:paraId="177EEFB3" w14:textId="77777777" w:rsidR="00310D85" w:rsidRPr="000E05AB" w:rsidRDefault="00310D85" w:rsidP="004662E9">
      <w:pPr>
        <w:pStyle w:val="Paragraphedeliste"/>
        <w:numPr>
          <w:ilvl w:val="0"/>
          <w:numId w:val="27"/>
        </w:numPr>
        <w:rPr>
          <w:rFonts w:cs="Times New Roman"/>
          <w:b/>
          <w:bCs/>
          <w:szCs w:val="24"/>
        </w:rPr>
      </w:pPr>
      <w:bookmarkStart w:id="372" w:name="_Toc80787376"/>
      <w:bookmarkStart w:id="373" w:name="_Hlk80774223"/>
      <w:r w:rsidRPr="000E05AB">
        <w:rPr>
          <w:rFonts w:cs="Times New Roman"/>
          <w:b/>
          <w:bCs/>
          <w:szCs w:val="24"/>
        </w:rPr>
        <w:t>Dépenses totales de santé par habitant et par an</w:t>
      </w:r>
      <w:bookmarkEnd w:id="372"/>
    </w:p>
    <w:bookmarkEnd w:id="373"/>
    <w:p w14:paraId="7BBE6F74" w14:textId="77777777" w:rsidR="00310D85" w:rsidRPr="00A04638" w:rsidRDefault="00310D85" w:rsidP="00310D85">
      <w:pPr>
        <w:pStyle w:val="Paragraphedeliste"/>
        <w:outlineLvl w:val="0"/>
        <w:rPr>
          <w:rFonts w:cs="Times New Roman"/>
          <w:b/>
          <w:bCs/>
          <w:sz w:val="2"/>
          <w:szCs w:val="2"/>
        </w:rPr>
      </w:pPr>
    </w:p>
    <w:p w14:paraId="53C6B5A4" w14:textId="77777777" w:rsidR="00310D85" w:rsidRPr="00A04638" w:rsidRDefault="00310D85" w:rsidP="004662E9">
      <w:pPr>
        <w:rPr>
          <w:rFonts w:cs="Times New Roman"/>
          <w:szCs w:val="24"/>
        </w:rPr>
      </w:pPr>
      <w:bookmarkStart w:id="374" w:name="_Toc80787377"/>
      <w:bookmarkStart w:id="375" w:name="_Hlk80775145"/>
      <w:r w:rsidRPr="00375FBC">
        <w:t xml:space="preserve">La </w:t>
      </w:r>
      <w:r w:rsidRPr="00375FBC">
        <w:rPr>
          <w:rFonts w:cs="Times New Roman"/>
          <w:szCs w:val="24"/>
        </w:rPr>
        <w:t>Dépense Totale de Santé</w:t>
      </w:r>
      <w:r w:rsidRPr="00375FBC">
        <w:t xml:space="preserve"> </w:t>
      </w:r>
      <w:r w:rsidRPr="00375FBC">
        <w:rPr>
          <w:rFonts w:cs="Times New Roman"/>
          <w:szCs w:val="24"/>
        </w:rPr>
        <w:t>par an et par habitant</w:t>
      </w:r>
      <w:r w:rsidRPr="00375FBC">
        <w:t xml:space="preserve"> (</w:t>
      </w:r>
      <w:r>
        <w:t>DTS) est égale à la dépense courante de santé à laquelle on ajoute la formation brute de capital fixe (FBCF) du secteur hospitalier public et privée, les dépenses liées au handicap et à laquelle on retranche les indemnités journalières, les dépenses de recherche, dépenses d’enseignement, les dépenses de prévention collective alimentaire et le tout divisé par la population totale au cours d’une année.</w:t>
      </w:r>
      <w:bookmarkEnd w:id="374"/>
    </w:p>
    <w:p w14:paraId="09334234" w14:textId="77777777" w:rsidR="00310D85" w:rsidRPr="0019595F" w:rsidRDefault="00310D85" w:rsidP="00310D85">
      <w:pPr>
        <w:widowControl w:val="0"/>
        <w:spacing w:before="120" w:after="120" w:line="276" w:lineRule="auto"/>
        <w:jc w:val="both"/>
        <w:rPr>
          <w:rFonts w:cs="Arial"/>
          <w:color w:val="000000"/>
          <w:szCs w:val="24"/>
        </w:rPr>
      </w:pPr>
      <w:r>
        <w:rPr>
          <w:rFonts w:cs="Arial"/>
          <w:szCs w:val="24"/>
        </w:rPr>
        <w:t xml:space="preserve">En </w:t>
      </w:r>
      <w:r w:rsidRPr="00B958E4">
        <w:rPr>
          <w:rFonts w:cs="Arial"/>
          <w:szCs w:val="24"/>
        </w:rPr>
        <w:t>Guinée</w:t>
      </w:r>
      <w:r>
        <w:rPr>
          <w:rFonts w:cs="Arial"/>
          <w:szCs w:val="24"/>
        </w:rPr>
        <w:t>, selon les comptes nationaux de santé 2015 à 2019</w:t>
      </w:r>
      <w:r w:rsidRPr="00B958E4">
        <w:rPr>
          <w:rFonts w:cs="Arial"/>
          <w:szCs w:val="24"/>
        </w:rPr>
        <w:t xml:space="preserve">, la dépense totale en santé (DTS) par habitant et par an est estimée à </w:t>
      </w:r>
      <w:r w:rsidRPr="0080707B">
        <w:rPr>
          <w:rFonts w:cs="Arial"/>
          <w:szCs w:val="24"/>
        </w:rPr>
        <w:t>432 000 GNF</w:t>
      </w:r>
      <w:r w:rsidRPr="00B958E4">
        <w:rPr>
          <w:rFonts w:cs="Arial"/>
          <w:color w:val="000000"/>
          <w:szCs w:val="24"/>
        </w:rPr>
        <w:t xml:space="preserve"> en 201</w:t>
      </w:r>
      <w:r w:rsidRPr="0080707B">
        <w:rPr>
          <w:rFonts w:cs="Arial"/>
          <w:color w:val="000000"/>
          <w:szCs w:val="24"/>
        </w:rPr>
        <w:t>9</w:t>
      </w:r>
      <w:r w:rsidRPr="00B958E4">
        <w:rPr>
          <w:rFonts w:cs="Arial"/>
          <w:color w:val="000000"/>
          <w:szCs w:val="24"/>
        </w:rPr>
        <w:t>, soit 4</w:t>
      </w:r>
      <w:r w:rsidRPr="0080707B">
        <w:rPr>
          <w:rFonts w:cs="Arial"/>
          <w:color w:val="000000"/>
          <w:szCs w:val="24"/>
        </w:rPr>
        <w:t>4</w:t>
      </w:r>
      <w:r w:rsidRPr="00B958E4">
        <w:rPr>
          <w:rFonts w:cs="Arial"/>
          <w:color w:val="000000"/>
          <w:szCs w:val="24"/>
        </w:rPr>
        <w:t xml:space="preserve"> USD</w:t>
      </w:r>
      <w:r w:rsidRPr="00B958E4">
        <w:rPr>
          <w:rStyle w:val="Appelnotedebasdep"/>
          <w:rFonts w:cs="Arial"/>
          <w:color w:val="000000"/>
          <w:szCs w:val="24"/>
        </w:rPr>
        <w:footnoteReference w:id="1"/>
      </w:r>
      <w:r w:rsidRPr="00B958E4">
        <w:rPr>
          <w:rFonts w:cs="Arial"/>
          <w:color w:val="000000"/>
          <w:szCs w:val="24"/>
        </w:rPr>
        <w:t xml:space="preserve">. Elle correspond à </w:t>
      </w:r>
      <w:r w:rsidRPr="0080707B">
        <w:rPr>
          <w:rFonts w:cs="Arial"/>
          <w:szCs w:val="24"/>
        </w:rPr>
        <w:t>4</w:t>
      </w:r>
      <w:r w:rsidRPr="00B958E4">
        <w:rPr>
          <w:rFonts w:cs="Arial"/>
          <w:szCs w:val="24"/>
        </w:rPr>
        <w:t>,</w:t>
      </w:r>
      <w:r w:rsidRPr="0080707B">
        <w:rPr>
          <w:rFonts w:cs="Arial"/>
          <w:szCs w:val="24"/>
        </w:rPr>
        <w:t>27</w:t>
      </w:r>
      <w:r w:rsidRPr="00B958E4">
        <w:rPr>
          <w:rFonts w:cs="Arial"/>
          <w:szCs w:val="24"/>
        </w:rPr>
        <w:t>%</w:t>
      </w:r>
      <w:r w:rsidRPr="00B958E4">
        <w:rPr>
          <w:rFonts w:cs="Arial"/>
          <w:color w:val="000000"/>
          <w:szCs w:val="24"/>
        </w:rPr>
        <w:t xml:space="preserve"> du PIB. </w:t>
      </w:r>
    </w:p>
    <w:bookmarkEnd w:id="375"/>
    <w:p w14:paraId="0E7F6E67" w14:textId="77777777" w:rsidR="00310D85" w:rsidRDefault="00310D85" w:rsidP="00310D85">
      <w:pPr>
        <w:jc w:val="center"/>
        <w:rPr>
          <w:rFonts w:ascii="Times New Roman" w:hAnsi="Times New Roman" w:cs="Times New Roman"/>
          <w:b/>
          <w:bCs/>
          <w:sz w:val="28"/>
          <w:szCs w:val="28"/>
        </w:rPr>
      </w:pPr>
    </w:p>
    <w:p w14:paraId="49BB3105" w14:textId="77777777" w:rsidR="00310D85" w:rsidRDefault="00310D85" w:rsidP="00310D85">
      <w:pPr>
        <w:jc w:val="center"/>
        <w:rPr>
          <w:rFonts w:ascii="Times New Roman" w:hAnsi="Times New Roman" w:cs="Times New Roman"/>
          <w:b/>
          <w:bCs/>
          <w:sz w:val="28"/>
          <w:szCs w:val="28"/>
        </w:rPr>
      </w:pPr>
      <w:r w:rsidRPr="00723B4A">
        <w:rPr>
          <w:rFonts w:ascii="Times New Roman" w:hAnsi="Times New Roman" w:cs="Times New Roman"/>
          <w:noProof/>
          <w:szCs w:val="24"/>
          <w:lang w:eastAsia="fr-FR"/>
        </w:rPr>
        <w:drawing>
          <wp:inline distT="0" distB="0" distL="0" distR="0" wp14:anchorId="7686A978" wp14:editId="4C080C8B">
            <wp:extent cx="4862195" cy="2109470"/>
            <wp:effectExtent l="0" t="0" r="14605" b="5080"/>
            <wp:docPr id="25" name="Graphique 25">
              <a:extLst xmlns:a="http://schemas.openxmlformats.org/drawingml/2006/main">
                <a:ext uri="{FF2B5EF4-FFF2-40B4-BE49-F238E27FC236}">
                  <a16:creationId xmlns:a16="http://schemas.microsoft.com/office/drawing/2014/main" id="{3EC9E456-F906-4F8C-B7EC-AD354B5EBB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547139" w14:textId="77777777" w:rsidR="00310D85" w:rsidRPr="00FE487F" w:rsidRDefault="00310D85" w:rsidP="00310D85">
      <w:pPr>
        <w:pStyle w:val="Lgende"/>
        <w:rPr>
          <w:i/>
          <w:iCs/>
        </w:rPr>
      </w:pPr>
      <w:r>
        <w:t xml:space="preserve">Graphique </w:t>
      </w:r>
      <w:fldSimple w:instr=" SEQ Graphique \* ARABIC ">
        <w:r>
          <w:rPr>
            <w:noProof/>
          </w:rPr>
          <w:t>1</w:t>
        </w:r>
      </w:fldSimple>
      <w:r>
        <w:t xml:space="preserve"> : </w:t>
      </w:r>
      <w:r w:rsidRPr="00C40B06">
        <w:t>Evolution de la Dépense totale en santé par habitant et par an de 2015 à 2019</w:t>
      </w:r>
    </w:p>
    <w:p w14:paraId="1B885A78" w14:textId="77777777" w:rsidR="00310D85" w:rsidRPr="00D54933" w:rsidRDefault="00310D85" w:rsidP="00310D85">
      <w:pPr>
        <w:jc w:val="both"/>
      </w:pPr>
      <w:r w:rsidRPr="00D54933">
        <w:t xml:space="preserve">Ce graphique </w:t>
      </w:r>
      <w:r w:rsidRPr="00FE487F">
        <w:rPr>
          <w:i/>
          <w:iCs/>
        </w:rPr>
        <w:t>montre</w:t>
      </w:r>
      <w:r w:rsidRPr="00D54933">
        <w:t xml:space="preserve"> que la Guinée est en voie d’atteindre la cible visée de 54 USD en 2020 par habitant et par an. Si cette tendance se maintient il y a des chances d’atteindre 58 USD par habitant à l’horizon 2024. </w:t>
      </w:r>
    </w:p>
    <w:p w14:paraId="4608989C" w14:textId="57795B02" w:rsidR="00310D85" w:rsidRDefault="00310D85" w:rsidP="00132526">
      <w:pPr>
        <w:jc w:val="both"/>
      </w:pPr>
      <w:r w:rsidRPr="00D54933">
        <w:t>Cette performance s’explique par les efforts conjugués des principaux pourvoyeurs de fonds du système de Santé notamment l’Etat, les Bailleurs de fonds extérieurs et les Ménages à travers le paiement direct des soins.</w:t>
      </w:r>
    </w:p>
    <w:p w14:paraId="5465C59D" w14:textId="1203062C" w:rsidR="00310D85" w:rsidRPr="00352859" w:rsidRDefault="00310D85" w:rsidP="00310D85">
      <w:pPr>
        <w:widowControl w:val="0"/>
        <w:spacing w:before="120" w:after="120" w:line="276" w:lineRule="auto"/>
        <w:jc w:val="both"/>
        <w:rPr>
          <w:rFonts w:eastAsiaTheme="majorEastAsia" w:cstheme="majorBidi"/>
          <w:b/>
          <w:bCs/>
          <w:vanish/>
          <w:color w:val="002060"/>
          <w:szCs w:val="24"/>
        </w:rPr>
      </w:pPr>
      <w:bookmarkStart w:id="376" w:name="_Toc15660652"/>
      <w:bookmarkStart w:id="377" w:name="_Toc15660778"/>
      <w:bookmarkStart w:id="378" w:name="_Toc15755750"/>
      <w:bookmarkStart w:id="379" w:name="_Toc15885917"/>
      <w:bookmarkStart w:id="380" w:name="_Toc15887698"/>
      <w:bookmarkStart w:id="381" w:name="_Toc15891832"/>
      <w:bookmarkStart w:id="382" w:name="_Toc15909459"/>
      <w:bookmarkStart w:id="383" w:name="_Toc15910514"/>
      <w:bookmarkStart w:id="384" w:name="_Toc15910643"/>
      <w:bookmarkStart w:id="385" w:name="_Toc15921074"/>
      <w:bookmarkStart w:id="386" w:name="_Toc15922293"/>
      <w:bookmarkStart w:id="387" w:name="_Toc15924313"/>
      <w:bookmarkStart w:id="388" w:name="_Toc15938654"/>
      <w:bookmarkStart w:id="389" w:name="_Toc15968105"/>
      <w:bookmarkStart w:id="390" w:name="_Toc15969290"/>
      <w:bookmarkStart w:id="391" w:name="_Toc15969426"/>
      <w:bookmarkStart w:id="392" w:name="_Toc15969562"/>
      <w:bookmarkStart w:id="393" w:name="_Toc15971095"/>
      <w:bookmarkStart w:id="394" w:name="_Toc15971552"/>
      <w:bookmarkStart w:id="395" w:name="_Toc15971689"/>
      <w:bookmarkStart w:id="396" w:name="_Toc14354861"/>
      <w:bookmarkStart w:id="397" w:name="_Toc14867834"/>
      <w:bookmarkStart w:id="398" w:name="_Toc14871534"/>
      <w:bookmarkStart w:id="399" w:name="_Toc1566078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352859">
        <w:rPr>
          <w:rFonts w:cs="Arial"/>
          <w:b/>
          <w:bCs/>
          <w:szCs w:val="24"/>
        </w:rPr>
        <w:t xml:space="preserve">1.1.1 </w:t>
      </w:r>
    </w:p>
    <w:p w14:paraId="5F5AE7FB" w14:textId="77777777" w:rsidR="00310D85" w:rsidRPr="00AD3BDC" w:rsidRDefault="00310D85" w:rsidP="00310D85">
      <w:pPr>
        <w:pStyle w:val="Paragraphedeliste"/>
        <w:widowControl w:val="0"/>
        <w:numPr>
          <w:ilvl w:val="0"/>
          <w:numId w:val="13"/>
        </w:numPr>
        <w:spacing w:before="120" w:after="120" w:line="276" w:lineRule="auto"/>
        <w:contextualSpacing w:val="0"/>
        <w:jc w:val="both"/>
        <w:outlineLvl w:val="2"/>
        <w:rPr>
          <w:rFonts w:eastAsiaTheme="majorEastAsia" w:cstheme="majorBidi"/>
          <w:b/>
          <w:vanish/>
          <w:color w:val="002060"/>
          <w:szCs w:val="24"/>
        </w:rPr>
      </w:pPr>
      <w:bookmarkStart w:id="400" w:name="_Toc15969291"/>
      <w:bookmarkStart w:id="401" w:name="_Toc15969427"/>
      <w:bookmarkStart w:id="402" w:name="_Toc15969563"/>
      <w:bookmarkStart w:id="403" w:name="_Toc15971096"/>
      <w:bookmarkStart w:id="404" w:name="_Toc15971553"/>
      <w:bookmarkStart w:id="405" w:name="_Toc15971690"/>
      <w:bookmarkStart w:id="406" w:name="_Toc15977907"/>
      <w:bookmarkEnd w:id="400"/>
      <w:bookmarkEnd w:id="401"/>
      <w:bookmarkEnd w:id="402"/>
      <w:bookmarkEnd w:id="403"/>
      <w:bookmarkEnd w:id="404"/>
      <w:bookmarkEnd w:id="405"/>
      <w:bookmarkEnd w:id="406"/>
    </w:p>
    <w:p w14:paraId="3D82811E" w14:textId="77777777" w:rsidR="00310D85" w:rsidRPr="00AD3BDC" w:rsidRDefault="00310D85" w:rsidP="00310D85">
      <w:pPr>
        <w:pStyle w:val="Paragraphedeliste"/>
        <w:widowControl w:val="0"/>
        <w:numPr>
          <w:ilvl w:val="0"/>
          <w:numId w:val="13"/>
        </w:numPr>
        <w:spacing w:before="120" w:after="120" w:line="276" w:lineRule="auto"/>
        <w:contextualSpacing w:val="0"/>
        <w:jc w:val="both"/>
        <w:outlineLvl w:val="2"/>
        <w:rPr>
          <w:rFonts w:eastAsiaTheme="majorEastAsia" w:cstheme="majorBidi"/>
          <w:b/>
          <w:vanish/>
          <w:color w:val="002060"/>
          <w:szCs w:val="24"/>
        </w:rPr>
      </w:pPr>
      <w:bookmarkStart w:id="407" w:name="_Toc15969292"/>
      <w:bookmarkStart w:id="408" w:name="_Toc15969428"/>
      <w:bookmarkStart w:id="409" w:name="_Toc15969564"/>
      <w:bookmarkStart w:id="410" w:name="_Toc15971097"/>
      <w:bookmarkStart w:id="411" w:name="_Toc15971554"/>
      <w:bookmarkStart w:id="412" w:name="_Toc15971691"/>
      <w:bookmarkStart w:id="413" w:name="_Toc15977908"/>
      <w:bookmarkEnd w:id="407"/>
      <w:bookmarkEnd w:id="408"/>
      <w:bookmarkEnd w:id="409"/>
      <w:bookmarkEnd w:id="410"/>
      <w:bookmarkEnd w:id="411"/>
      <w:bookmarkEnd w:id="412"/>
      <w:bookmarkEnd w:id="413"/>
    </w:p>
    <w:p w14:paraId="52A03C2E" w14:textId="77777777" w:rsidR="00310D85" w:rsidRPr="00AD3BDC" w:rsidRDefault="00310D85" w:rsidP="00310D85">
      <w:pPr>
        <w:pStyle w:val="Paragraphedeliste"/>
        <w:widowControl w:val="0"/>
        <w:numPr>
          <w:ilvl w:val="0"/>
          <w:numId w:val="13"/>
        </w:numPr>
        <w:spacing w:before="120" w:after="120" w:line="276" w:lineRule="auto"/>
        <w:contextualSpacing w:val="0"/>
        <w:jc w:val="both"/>
        <w:outlineLvl w:val="2"/>
        <w:rPr>
          <w:rFonts w:eastAsiaTheme="majorEastAsia" w:cstheme="majorBidi"/>
          <w:b/>
          <w:vanish/>
          <w:color w:val="002060"/>
          <w:szCs w:val="24"/>
        </w:rPr>
      </w:pPr>
      <w:bookmarkStart w:id="414" w:name="_Toc15969293"/>
      <w:bookmarkStart w:id="415" w:name="_Toc15969429"/>
      <w:bookmarkStart w:id="416" w:name="_Toc15969565"/>
      <w:bookmarkStart w:id="417" w:name="_Toc15971098"/>
      <w:bookmarkStart w:id="418" w:name="_Toc15971555"/>
      <w:bookmarkStart w:id="419" w:name="_Toc15971692"/>
      <w:bookmarkStart w:id="420" w:name="_Toc15977909"/>
      <w:bookmarkEnd w:id="414"/>
      <w:bookmarkEnd w:id="415"/>
      <w:bookmarkEnd w:id="416"/>
      <w:bookmarkEnd w:id="417"/>
      <w:bookmarkEnd w:id="418"/>
      <w:bookmarkEnd w:id="419"/>
      <w:bookmarkEnd w:id="420"/>
    </w:p>
    <w:p w14:paraId="68319A35" w14:textId="77777777" w:rsidR="00310D85" w:rsidRPr="00AD3BDC" w:rsidRDefault="00310D85" w:rsidP="00310D85">
      <w:pPr>
        <w:pStyle w:val="Paragraphedeliste"/>
        <w:widowControl w:val="0"/>
        <w:numPr>
          <w:ilvl w:val="0"/>
          <w:numId w:val="13"/>
        </w:numPr>
        <w:spacing w:before="120" w:after="120" w:line="276" w:lineRule="auto"/>
        <w:contextualSpacing w:val="0"/>
        <w:jc w:val="both"/>
        <w:outlineLvl w:val="2"/>
        <w:rPr>
          <w:rFonts w:eastAsiaTheme="majorEastAsia" w:cstheme="majorBidi"/>
          <w:b/>
          <w:vanish/>
          <w:color w:val="002060"/>
          <w:szCs w:val="24"/>
        </w:rPr>
      </w:pPr>
      <w:bookmarkStart w:id="421" w:name="_Toc15969294"/>
      <w:bookmarkStart w:id="422" w:name="_Toc15969430"/>
      <w:bookmarkStart w:id="423" w:name="_Toc15969566"/>
      <w:bookmarkStart w:id="424" w:name="_Toc15971099"/>
      <w:bookmarkStart w:id="425" w:name="_Toc15971556"/>
      <w:bookmarkStart w:id="426" w:name="_Toc15971693"/>
      <w:bookmarkStart w:id="427" w:name="_Toc15977910"/>
      <w:bookmarkEnd w:id="421"/>
      <w:bookmarkEnd w:id="422"/>
      <w:bookmarkEnd w:id="423"/>
      <w:bookmarkEnd w:id="424"/>
      <w:bookmarkEnd w:id="425"/>
      <w:bookmarkEnd w:id="426"/>
      <w:bookmarkEnd w:id="427"/>
    </w:p>
    <w:p w14:paraId="51F5D9DD" w14:textId="77777777" w:rsidR="00310D85" w:rsidRPr="00AD3BDC" w:rsidRDefault="00310D85" w:rsidP="00310D85">
      <w:pPr>
        <w:pStyle w:val="Paragraphedeliste"/>
        <w:widowControl w:val="0"/>
        <w:numPr>
          <w:ilvl w:val="0"/>
          <w:numId w:val="13"/>
        </w:numPr>
        <w:spacing w:before="120" w:after="120" w:line="276" w:lineRule="auto"/>
        <w:contextualSpacing w:val="0"/>
        <w:jc w:val="both"/>
        <w:outlineLvl w:val="2"/>
        <w:rPr>
          <w:rFonts w:eastAsiaTheme="majorEastAsia" w:cstheme="majorBidi"/>
          <w:b/>
          <w:vanish/>
          <w:color w:val="002060"/>
          <w:szCs w:val="24"/>
        </w:rPr>
      </w:pPr>
      <w:bookmarkStart w:id="428" w:name="_Toc15969295"/>
      <w:bookmarkStart w:id="429" w:name="_Toc15969431"/>
      <w:bookmarkStart w:id="430" w:name="_Toc15969567"/>
      <w:bookmarkStart w:id="431" w:name="_Toc15971100"/>
      <w:bookmarkStart w:id="432" w:name="_Toc15971557"/>
      <w:bookmarkStart w:id="433" w:name="_Toc15971694"/>
      <w:bookmarkStart w:id="434" w:name="_Toc15977911"/>
      <w:bookmarkEnd w:id="428"/>
      <w:bookmarkEnd w:id="429"/>
      <w:bookmarkEnd w:id="430"/>
      <w:bookmarkEnd w:id="431"/>
      <w:bookmarkEnd w:id="432"/>
      <w:bookmarkEnd w:id="433"/>
      <w:bookmarkEnd w:id="434"/>
    </w:p>
    <w:p w14:paraId="5FB3E1BA" w14:textId="77777777" w:rsidR="00310D85" w:rsidRPr="00AD3BDC" w:rsidRDefault="00310D85" w:rsidP="00310D85">
      <w:pPr>
        <w:pStyle w:val="Paragraphedeliste"/>
        <w:widowControl w:val="0"/>
        <w:numPr>
          <w:ilvl w:val="1"/>
          <w:numId w:val="13"/>
        </w:numPr>
        <w:spacing w:before="120" w:after="120" w:line="276" w:lineRule="auto"/>
        <w:contextualSpacing w:val="0"/>
        <w:jc w:val="both"/>
        <w:outlineLvl w:val="2"/>
        <w:rPr>
          <w:rFonts w:eastAsiaTheme="majorEastAsia" w:cstheme="majorBidi"/>
          <w:b/>
          <w:vanish/>
          <w:color w:val="002060"/>
          <w:szCs w:val="24"/>
        </w:rPr>
      </w:pPr>
      <w:bookmarkStart w:id="435" w:name="_Toc15977912"/>
      <w:bookmarkEnd w:id="435"/>
    </w:p>
    <w:p w14:paraId="12E792BC" w14:textId="287A16C5" w:rsidR="00310D85" w:rsidRPr="00B90B86" w:rsidRDefault="00310D85" w:rsidP="00310D85">
      <w:pPr>
        <w:widowControl w:val="0"/>
        <w:spacing w:before="120" w:after="120" w:line="276" w:lineRule="auto"/>
        <w:jc w:val="both"/>
        <w:rPr>
          <w:b/>
        </w:rPr>
      </w:pPr>
      <w:bookmarkStart w:id="436" w:name="_Toc14354862"/>
      <w:bookmarkEnd w:id="396"/>
      <w:bookmarkEnd w:id="397"/>
      <w:bookmarkEnd w:id="398"/>
      <w:bookmarkEnd w:id="399"/>
      <w:r w:rsidRPr="00B90B86">
        <w:rPr>
          <w:b/>
          <w:color w:val="002060"/>
        </w:rPr>
        <w:t>Etat</w:t>
      </w:r>
      <w:bookmarkEnd w:id="436"/>
      <w:r w:rsidRPr="00B90B86">
        <w:rPr>
          <w:b/>
        </w:rPr>
        <w:tab/>
      </w:r>
    </w:p>
    <w:p w14:paraId="58F4FAEE" w14:textId="15130B6A" w:rsidR="00310D85" w:rsidRDefault="00310D85" w:rsidP="00310D85">
      <w:pPr>
        <w:widowControl w:val="0"/>
        <w:spacing w:before="60" w:after="60" w:line="276" w:lineRule="auto"/>
        <w:jc w:val="both"/>
        <w:rPr>
          <w:rFonts w:cs="Arial"/>
          <w:szCs w:val="24"/>
        </w:rPr>
      </w:pPr>
      <w:r w:rsidRPr="00BE285E">
        <w:rPr>
          <w:rFonts w:cs="Arial"/>
          <w:szCs w:val="24"/>
        </w:rPr>
        <w:t xml:space="preserve">En 2019, sa contribution </w:t>
      </w:r>
      <w:r>
        <w:rPr>
          <w:rFonts w:cs="Arial"/>
          <w:szCs w:val="24"/>
        </w:rPr>
        <w:t xml:space="preserve">à travers les impôts </w:t>
      </w:r>
      <w:r w:rsidRPr="00BE285E">
        <w:rPr>
          <w:rFonts w:cs="Arial"/>
          <w:szCs w:val="24"/>
        </w:rPr>
        <w:t>représente 2,91% du PIB</w:t>
      </w:r>
      <w:r>
        <w:rPr>
          <w:rFonts w:cs="Arial"/>
          <w:szCs w:val="24"/>
        </w:rPr>
        <w:t xml:space="preserve"> (GUINEE, CNS 2020)</w:t>
      </w:r>
      <w:r w:rsidRPr="00BE285E">
        <w:rPr>
          <w:rFonts w:cs="Arial"/>
          <w:szCs w:val="24"/>
        </w:rPr>
        <w:t>.</w:t>
      </w:r>
      <w:r>
        <w:rPr>
          <w:rFonts w:cs="Arial"/>
          <w:szCs w:val="24"/>
        </w:rPr>
        <w:t xml:space="preserve"> Et l</w:t>
      </w:r>
      <w:r w:rsidRPr="00B90B86">
        <w:rPr>
          <w:rFonts w:cs="Arial"/>
          <w:szCs w:val="24"/>
        </w:rPr>
        <w:t xml:space="preserve">e budget de l’Etat alloué à la santé est structuré en quatre titres : traitements et salaires du personnel, achat des biens et services, subventions et transferts courants et investissements. </w:t>
      </w:r>
    </w:p>
    <w:p w14:paraId="16A995F6" w14:textId="77777777" w:rsidR="00316FDB" w:rsidRDefault="00316FDB" w:rsidP="00310D85">
      <w:pPr>
        <w:widowControl w:val="0"/>
        <w:spacing w:before="60" w:after="60" w:line="276" w:lineRule="auto"/>
        <w:jc w:val="both"/>
        <w:rPr>
          <w:rFonts w:cs="Arial"/>
          <w:szCs w:val="24"/>
        </w:rPr>
      </w:pPr>
    </w:p>
    <w:p w14:paraId="494B64FC" w14:textId="77777777" w:rsidR="00310D85" w:rsidRPr="00B90B86" w:rsidRDefault="00310D85" w:rsidP="00310D85">
      <w:pPr>
        <w:pStyle w:val="Paragraphedeliste"/>
        <w:widowControl w:val="0"/>
        <w:numPr>
          <w:ilvl w:val="0"/>
          <w:numId w:val="4"/>
        </w:numPr>
        <w:spacing w:after="60" w:line="276" w:lineRule="auto"/>
        <w:ind w:left="425" w:hanging="425"/>
        <w:rPr>
          <w:b/>
          <w:color w:val="002060"/>
        </w:rPr>
      </w:pPr>
      <w:r w:rsidRPr="00B90B86">
        <w:rPr>
          <w:b/>
          <w:color w:val="002060"/>
        </w:rPr>
        <w:lastRenderedPageBreak/>
        <w:t>Evolution du budget de la santé par rapport au budget de l’Etat</w:t>
      </w:r>
    </w:p>
    <w:p w14:paraId="6C6E004B" w14:textId="77777777" w:rsidR="00310D85" w:rsidRPr="00B90B86" w:rsidRDefault="00310D85" w:rsidP="00310D85">
      <w:pPr>
        <w:widowControl w:val="0"/>
        <w:spacing w:before="120" w:after="120" w:line="276" w:lineRule="auto"/>
        <w:jc w:val="both"/>
        <w:rPr>
          <w:rFonts w:cs="Arial"/>
          <w:szCs w:val="24"/>
        </w:rPr>
      </w:pPr>
      <w:bookmarkStart w:id="437" w:name="_Hlk80775937"/>
      <w:r w:rsidRPr="00BE285E">
        <w:rPr>
          <w:rFonts w:cs="Arial"/>
          <w:szCs w:val="24"/>
        </w:rPr>
        <w:t xml:space="preserve">L’expérience des </w:t>
      </w:r>
      <w:r>
        <w:rPr>
          <w:rFonts w:cs="Arial"/>
          <w:szCs w:val="24"/>
        </w:rPr>
        <w:t xml:space="preserve">six </w:t>
      </w:r>
      <w:r w:rsidRPr="00BE285E">
        <w:rPr>
          <w:rFonts w:cs="Arial"/>
          <w:szCs w:val="24"/>
        </w:rPr>
        <w:t>années 201</w:t>
      </w:r>
      <w:r>
        <w:rPr>
          <w:rFonts w:cs="Arial"/>
          <w:szCs w:val="24"/>
        </w:rPr>
        <w:t>5</w:t>
      </w:r>
      <w:r w:rsidRPr="00BE285E">
        <w:rPr>
          <w:rFonts w:cs="Arial"/>
          <w:szCs w:val="24"/>
        </w:rPr>
        <w:t xml:space="preserve"> à 2020 montre que la part du budget de l’Etat alloué à la santé a augmenté</w:t>
      </w:r>
      <w:r>
        <w:rPr>
          <w:rFonts w:cs="Arial"/>
          <w:szCs w:val="24"/>
        </w:rPr>
        <w:t>,</w:t>
      </w:r>
      <w:r w:rsidRPr="00BE285E">
        <w:rPr>
          <w:rFonts w:cs="Arial"/>
          <w:szCs w:val="24"/>
        </w:rPr>
        <w:t xml:space="preserve"> passant de </w:t>
      </w:r>
      <w:r>
        <w:rPr>
          <w:rFonts w:cs="Arial"/>
          <w:szCs w:val="24"/>
        </w:rPr>
        <w:t>3</w:t>
      </w:r>
      <w:r w:rsidRPr="00BE285E">
        <w:rPr>
          <w:rFonts w:cs="Arial"/>
          <w:szCs w:val="24"/>
        </w:rPr>
        <w:t>,</w:t>
      </w:r>
      <w:r>
        <w:rPr>
          <w:rFonts w:cs="Arial"/>
          <w:szCs w:val="24"/>
        </w:rPr>
        <w:t>88</w:t>
      </w:r>
      <w:r w:rsidRPr="00BE285E">
        <w:rPr>
          <w:rFonts w:cs="Arial"/>
          <w:szCs w:val="24"/>
        </w:rPr>
        <w:t>% en 201</w:t>
      </w:r>
      <w:r>
        <w:rPr>
          <w:rFonts w:cs="Arial"/>
          <w:szCs w:val="24"/>
        </w:rPr>
        <w:t>5</w:t>
      </w:r>
      <w:r w:rsidRPr="00BE285E">
        <w:rPr>
          <w:rFonts w:cs="Arial"/>
          <w:szCs w:val="24"/>
        </w:rPr>
        <w:t xml:space="preserve"> à 10,02% en 2020</w:t>
      </w:r>
      <w:r>
        <w:rPr>
          <w:rFonts w:cs="Arial"/>
          <w:szCs w:val="24"/>
        </w:rPr>
        <w:t xml:space="preserve"> (Chaine de dépenses, Ministère du Budget).</w:t>
      </w:r>
      <w:r w:rsidRPr="00B90B86">
        <w:rPr>
          <w:rFonts w:cs="Arial"/>
          <w:szCs w:val="24"/>
        </w:rPr>
        <w:t xml:space="preserve"> </w:t>
      </w:r>
      <w:bookmarkEnd w:id="437"/>
      <w:r w:rsidRPr="00B90B86">
        <w:rPr>
          <w:rFonts w:cs="Arial"/>
          <w:szCs w:val="24"/>
        </w:rPr>
        <w:t xml:space="preserve">D’autres dépenses de santé telles que celles des services de santé des armées, la santé scolaire et universitaire, les affaires sociales ... ne sont pas connues du département de la santé. </w:t>
      </w:r>
    </w:p>
    <w:p w14:paraId="530E3AE6" w14:textId="77777777" w:rsidR="00310D85" w:rsidRPr="00BE285E" w:rsidRDefault="00310D85" w:rsidP="00310D85">
      <w:pPr>
        <w:widowControl w:val="0"/>
        <w:spacing w:after="80" w:line="276" w:lineRule="auto"/>
        <w:rPr>
          <w:sz w:val="4"/>
          <w:szCs w:val="2"/>
        </w:rPr>
      </w:pPr>
    </w:p>
    <w:p w14:paraId="63F67AEB" w14:textId="77777777" w:rsidR="00310D85" w:rsidRDefault="00310D85" w:rsidP="00310D85">
      <w:pPr>
        <w:widowControl w:val="0"/>
        <w:spacing w:after="60" w:line="276" w:lineRule="auto"/>
        <w:jc w:val="center"/>
        <w:rPr>
          <w:szCs w:val="24"/>
        </w:rPr>
      </w:pPr>
      <w:r>
        <w:rPr>
          <w:noProof/>
        </w:rPr>
        <w:drawing>
          <wp:inline distT="0" distB="0" distL="0" distR="0" wp14:anchorId="20E49508" wp14:editId="777CEBBF">
            <wp:extent cx="3602567" cy="2235200"/>
            <wp:effectExtent l="0" t="0" r="17145" b="12700"/>
            <wp:docPr id="3" name="Graphique 3">
              <a:extLst xmlns:a="http://schemas.openxmlformats.org/drawingml/2006/main">
                <a:ext uri="{FF2B5EF4-FFF2-40B4-BE49-F238E27FC236}">
                  <a16:creationId xmlns:a16="http://schemas.microsoft.com/office/drawing/2014/main" id="{2EE86DE3-2B65-4BEE-A141-A651429D6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D682C2" w14:textId="77777777" w:rsidR="00310D85" w:rsidRDefault="00310D85" w:rsidP="00310D85">
      <w:pPr>
        <w:pStyle w:val="Lgende"/>
        <w:rPr>
          <w:szCs w:val="24"/>
        </w:rPr>
      </w:pPr>
      <w:r>
        <w:t xml:space="preserve">Graphique </w:t>
      </w:r>
      <w:fldSimple w:instr=" SEQ Graphique \* ARABIC ">
        <w:r>
          <w:rPr>
            <w:noProof/>
          </w:rPr>
          <w:t>2</w:t>
        </w:r>
      </w:fldSimple>
      <w:r>
        <w:t xml:space="preserve"> : </w:t>
      </w:r>
      <w:r w:rsidRPr="0008797B">
        <w:t>Evolution de la part du budget de l’Etat allouée au Ministère de la Santé</w:t>
      </w:r>
    </w:p>
    <w:p w14:paraId="1D6309D8" w14:textId="77777777" w:rsidR="00310D85" w:rsidRPr="00EA1B03" w:rsidRDefault="00310D85" w:rsidP="00310D85">
      <w:pPr>
        <w:pStyle w:val="Paragraphedeliste"/>
        <w:widowControl w:val="0"/>
        <w:spacing w:after="60" w:line="276" w:lineRule="auto"/>
        <w:ind w:left="425"/>
        <w:rPr>
          <w:b/>
          <w:color w:val="002060"/>
          <w:sz w:val="4"/>
          <w:szCs w:val="2"/>
        </w:rPr>
      </w:pPr>
    </w:p>
    <w:p w14:paraId="7B7D743E" w14:textId="77777777" w:rsidR="00310D85" w:rsidRPr="00B90B86" w:rsidRDefault="00310D85" w:rsidP="00310D85">
      <w:pPr>
        <w:pStyle w:val="Paragraphedeliste"/>
        <w:widowControl w:val="0"/>
        <w:numPr>
          <w:ilvl w:val="0"/>
          <w:numId w:val="4"/>
        </w:numPr>
        <w:spacing w:after="60" w:line="276" w:lineRule="auto"/>
        <w:ind w:left="425" w:hanging="425"/>
        <w:rPr>
          <w:b/>
          <w:color w:val="002060"/>
        </w:rPr>
      </w:pPr>
      <w:r w:rsidRPr="00B90B86">
        <w:rPr>
          <w:b/>
          <w:color w:val="002060"/>
        </w:rPr>
        <w:t>Evolution du décaissement par rapport au budget alloué à la santé de 201</w:t>
      </w:r>
      <w:r>
        <w:rPr>
          <w:b/>
          <w:color w:val="002060"/>
        </w:rPr>
        <w:t>5</w:t>
      </w:r>
      <w:r w:rsidRPr="00B90B86">
        <w:rPr>
          <w:b/>
          <w:color w:val="002060"/>
        </w:rPr>
        <w:t>-20</w:t>
      </w:r>
      <w:r>
        <w:rPr>
          <w:b/>
          <w:color w:val="002060"/>
        </w:rPr>
        <w:t>20</w:t>
      </w:r>
    </w:p>
    <w:p w14:paraId="16E15806" w14:textId="77777777" w:rsidR="00310D85" w:rsidRPr="006577B7" w:rsidRDefault="00310D85" w:rsidP="00310D85">
      <w:pPr>
        <w:pStyle w:val="Lgende"/>
        <w:keepNext/>
        <w:rPr>
          <w:sz w:val="22"/>
          <w:szCs w:val="22"/>
        </w:rPr>
      </w:pPr>
      <w:bookmarkStart w:id="438" w:name="_Toc15970689"/>
      <w:r>
        <w:t xml:space="preserve">Tableau </w:t>
      </w:r>
      <w:fldSimple w:instr=" SEQ Tableau \* ARABIC ">
        <w:r>
          <w:rPr>
            <w:noProof/>
          </w:rPr>
          <w:t>1</w:t>
        </w:r>
      </w:fldSimple>
      <w:r>
        <w:t xml:space="preserve"> :  </w:t>
      </w:r>
      <w:r w:rsidRPr="006577B7">
        <w:rPr>
          <w:sz w:val="22"/>
          <w:szCs w:val="22"/>
        </w:rPr>
        <w:t>Evolution des allocations de crédits et décaissements pour le Ministère de la Santé de 2015 à 2020</w:t>
      </w:r>
      <w:bookmarkEnd w:id="438"/>
    </w:p>
    <w:tbl>
      <w:tblPr>
        <w:tblW w:w="9120" w:type="dxa"/>
        <w:tblCellMar>
          <w:left w:w="70" w:type="dxa"/>
          <w:right w:w="70" w:type="dxa"/>
        </w:tblCellMar>
        <w:tblLook w:val="04A0" w:firstRow="1" w:lastRow="0" w:firstColumn="1" w:lastColumn="0" w:noHBand="0" w:noVBand="1"/>
      </w:tblPr>
      <w:tblGrid>
        <w:gridCol w:w="1498"/>
        <w:gridCol w:w="2871"/>
        <w:gridCol w:w="2693"/>
        <w:gridCol w:w="2058"/>
      </w:tblGrid>
      <w:tr w:rsidR="00310D85" w:rsidRPr="00E2233A" w14:paraId="64C5BE7E" w14:textId="77777777" w:rsidTr="000B0299">
        <w:trPr>
          <w:trHeight w:val="994"/>
        </w:trPr>
        <w:tc>
          <w:tcPr>
            <w:tcW w:w="1498"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5DFAAE6D" w14:textId="77777777" w:rsidR="00310D85" w:rsidRPr="00E2233A" w:rsidRDefault="00310D85" w:rsidP="000B0299">
            <w:pPr>
              <w:spacing w:after="0" w:line="240" w:lineRule="auto"/>
              <w:jc w:val="center"/>
              <w:rPr>
                <w:rFonts w:eastAsia="Times New Roman" w:cs="Calibri"/>
                <w:b/>
                <w:bCs/>
                <w:color w:val="000000"/>
                <w:szCs w:val="24"/>
                <w:lang w:eastAsia="fr-FR"/>
              </w:rPr>
            </w:pPr>
            <w:r w:rsidRPr="00E2233A">
              <w:rPr>
                <w:rFonts w:eastAsia="Times New Roman" w:cs="Calibri"/>
                <w:b/>
                <w:bCs/>
                <w:color w:val="000000"/>
                <w:szCs w:val="24"/>
                <w:lang w:eastAsia="fr-FR"/>
              </w:rPr>
              <w:t>Années</w:t>
            </w:r>
          </w:p>
        </w:tc>
        <w:tc>
          <w:tcPr>
            <w:tcW w:w="2871" w:type="dxa"/>
            <w:tcBorders>
              <w:top w:val="single" w:sz="8" w:space="0" w:color="auto"/>
              <w:left w:val="nil"/>
              <w:bottom w:val="double" w:sz="6" w:space="0" w:color="auto"/>
              <w:right w:val="single" w:sz="8" w:space="0" w:color="auto"/>
            </w:tcBorders>
            <w:shd w:val="clear" w:color="auto" w:fill="auto"/>
            <w:vAlign w:val="center"/>
            <w:hideMark/>
          </w:tcPr>
          <w:p w14:paraId="75027A0A" w14:textId="77777777" w:rsidR="00310D85" w:rsidRPr="00E2233A" w:rsidRDefault="00310D85" w:rsidP="000B0299">
            <w:pPr>
              <w:spacing w:after="0" w:line="240" w:lineRule="auto"/>
              <w:jc w:val="center"/>
              <w:rPr>
                <w:rFonts w:eastAsia="Times New Roman" w:cs="Calibri"/>
                <w:b/>
                <w:bCs/>
                <w:color w:val="000000"/>
                <w:szCs w:val="24"/>
                <w:lang w:eastAsia="fr-FR"/>
              </w:rPr>
            </w:pPr>
            <w:r w:rsidRPr="00E2233A">
              <w:rPr>
                <w:rFonts w:eastAsia="Times New Roman" w:cs="Calibri"/>
                <w:b/>
                <w:bCs/>
                <w:color w:val="000000"/>
                <w:szCs w:val="24"/>
                <w:lang w:eastAsia="fr-FR"/>
              </w:rPr>
              <w:t>Prévisions de Crédit</w:t>
            </w:r>
          </w:p>
        </w:tc>
        <w:tc>
          <w:tcPr>
            <w:tcW w:w="2693" w:type="dxa"/>
            <w:tcBorders>
              <w:top w:val="single" w:sz="8" w:space="0" w:color="auto"/>
              <w:left w:val="nil"/>
              <w:bottom w:val="double" w:sz="6" w:space="0" w:color="auto"/>
              <w:right w:val="single" w:sz="8" w:space="0" w:color="auto"/>
            </w:tcBorders>
            <w:shd w:val="clear" w:color="auto" w:fill="auto"/>
            <w:noWrap/>
            <w:vAlign w:val="center"/>
            <w:hideMark/>
          </w:tcPr>
          <w:p w14:paraId="7B10C7CB" w14:textId="77777777" w:rsidR="00310D85" w:rsidRPr="00E2233A" w:rsidRDefault="00310D85" w:rsidP="000B0299">
            <w:pPr>
              <w:spacing w:after="0" w:line="240" w:lineRule="auto"/>
              <w:jc w:val="center"/>
              <w:rPr>
                <w:rFonts w:eastAsia="Times New Roman" w:cs="Calibri"/>
                <w:b/>
                <w:bCs/>
                <w:color w:val="000000"/>
                <w:szCs w:val="24"/>
                <w:lang w:eastAsia="fr-FR"/>
              </w:rPr>
            </w:pPr>
            <w:r w:rsidRPr="00E2233A">
              <w:rPr>
                <w:rFonts w:eastAsia="Times New Roman" w:cs="Calibri"/>
                <w:b/>
                <w:bCs/>
                <w:color w:val="000000"/>
                <w:szCs w:val="24"/>
                <w:lang w:eastAsia="fr-FR"/>
              </w:rPr>
              <w:t>Montant payé</w:t>
            </w:r>
          </w:p>
        </w:tc>
        <w:tc>
          <w:tcPr>
            <w:tcW w:w="2058" w:type="dxa"/>
            <w:tcBorders>
              <w:top w:val="single" w:sz="8" w:space="0" w:color="auto"/>
              <w:left w:val="nil"/>
              <w:bottom w:val="double" w:sz="6" w:space="0" w:color="auto"/>
              <w:right w:val="single" w:sz="8" w:space="0" w:color="auto"/>
            </w:tcBorders>
            <w:shd w:val="clear" w:color="auto" w:fill="auto"/>
            <w:vAlign w:val="center"/>
            <w:hideMark/>
          </w:tcPr>
          <w:p w14:paraId="4DCDA1D1" w14:textId="77777777" w:rsidR="00310D85" w:rsidRPr="00E2233A" w:rsidRDefault="00310D85" w:rsidP="000B0299">
            <w:pPr>
              <w:spacing w:after="0" w:line="240" w:lineRule="auto"/>
              <w:jc w:val="center"/>
              <w:rPr>
                <w:rFonts w:eastAsia="Times New Roman" w:cs="Calibri"/>
                <w:b/>
                <w:bCs/>
                <w:color w:val="000000"/>
                <w:szCs w:val="24"/>
                <w:lang w:eastAsia="fr-FR"/>
              </w:rPr>
            </w:pPr>
            <w:r w:rsidRPr="00E2233A">
              <w:rPr>
                <w:rFonts w:eastAsia="Times New Roman" w:cs="Calibri"/>
                <w:b/>
                <w:bCs/>
                <w:color w:val="000000"/>
                <w:szCs w:val="24"/>
                <w:lang w:eastAsia="fr-FR"/>
              </w:rPr>
              <w:t>Taux de décaissement</w:t>
            </w:r>
          </w:p>
        </w:tc>
      </w:tr>
      <w:tr w:rsidR="00310D85" w:rsidRPr="00E2233A" w14:paraId="4D58ED53" w14:textId="77777777" w:rsidTr="000B0299">
        <w:trPr>
          <w:trHeight w:val="327"/>
        </w:trPr>
        <w:tc>
          <w:tcPr>
            <w:tcW w:w="1498" w:type="dxa"/>
            <w:tcBorders>
              <w:top w:val="nil"/>
              <w:left w:val="single" w:sz="8" w:space="0" w:color="auto"/>
              <w:bottom w:val="dotted" w:sz="4" w:space="0" w:color="auto"/>
              <w:right w:val="single" w:sz="8" w:space="0" w:color="auto"/>
            </w:tcBorders>
            <w:shd w:val="clear" w:color="auto" w:fill="auto"/>
            <w:noWrap/>
            <w:vAlign w:val="center"/>
            <w:hideMark/>
          </w:tcPr>
          <w:p w14:paraId="1129D360" w14:textId="77777777" w:rsidR="00310D85" w:rsidRPr="00F00A9D" w:rsidRDefault="00310D85" w:rsidP="000B0299">
            <w:pPr>
              <w:spacing w:after="0" w:line="240" w:lineRule="auto"/>
              <w:jc w:val="center"/>
              <w:rPr>
                <w:rFonts w:eastAsia="Times New Roman" w:cs="Calibri"/>
                <w:color w:val="000000"/>
                <w:szCs w:val="24"/>
                <w:lang w:eastAsia="fr-FR"/>
              </w:rPr>
            </w:pPr>
            <w:r w:rsidRPr="00F00A9D">
              <w:rPr>
                <w:rFonts w:eastAsia="Times New Roman" w:cs="Calibri"/>
                <w:color w:val="000000"/>
                <w:szCs w:val="24"/>
                <w:lang w:eastAsia="fr-FR"/>
              </w:rPr>
              <w:t>2015</w:t>
            </w:r>
          </w:p>
        </w:tc>
        <w:tc>
          <w:tcPr>
            <w:tcW w:w="2871" w:type="dxa"/>
            <w:tcBorders>
              <w:top w:val="nil"/>
              <w:left w:val="nil"/>
              <w:bottom w:val="dotted" w:sz="4" w:space="0" w:color="auto"/>
              <w:right w:val="single" w:sz="8" w:space="0" w:color="auto"/>
            </w:tcBorders>
            <w:shd w:val="clear" w:color="auto" w:fill="auto"/>
            <w:noWrap/>
            <w:vAlign w:val="center"/>
            <w:hideMark/>
          </w:tcPr>
          <w:p w14:paraId="0C9EB70F" w14:textId="77777777" w:rsidR="00310D85" w:rsidRPr="00F00A9D" w:rsidRDefault="00310D85" w:rsidP="000B0299">
            <w:pPr>
              <w:spacing w:after="0" w:line="240" w:lineRule="auto"/>
              <w:jc w:val="right"/>
              <w:rPr>
                <w:rFonts w:eastAsia="Times New Roman" w:cs="Calibri"/>
                <w:color w:val="000000"/>
                <w:szCs w:val="24"/>
                <w:lang w:eastAsia="fr-FR"/>
              </w:rPr>
            </w:pPr>
            <w:r w:rsidRPr="00F00A9D">
              <w:rPr>
                <w:rFonts w:eastAsia="Times New Roman" w:cs="Calibri"/>
                <w:color w:val="000000"/>
                <w:szCs w:val="24"/>
                <w:lang w:eastAsia="fr-FR"/>
              </w:rPr>
              <w:t>484 604 788 115</w:t>
            </w:r>
          </w:p>
        </w:tc>
        <w:tc>
          <w:tcPr>
            <w:tcW w:w="2693" w:type="dxa"/>
            <w:tcBorders>
              <w:top w:val="nil"/>
              <w:left w:val="nil"/>
              <w:bottom w:val="dotted" w:sz="4" w:space="0" w:color="auto"/>
              <w:right w:val="single" w:sz="8" w:space="0" w:color="auto"/>
            </w:tcBorders>
            <w:shd w:val="clear" w:color="auto" w:fill="auto"/>
            <w:noWrap/>
            <w:vAlign w:val="center"/>
            <w:hideMark/>
          </w:tcPr>
          <w:p w14:paraId="3FE1823B" w14:textId="77777777" w:rsidR="00310D85" w:rsidRPr="00F00A9D" w:rsidRDefault="00310D85" w:rsidP="000B0299">
            <w:pPr>
              <w:spacing w:after="0" w:line="240" w:lineRule="auto"/>
              <w:jc w:val="right"/>
              <w:rPr>
                <w:rFonts w:eastAsia="Times New Roman" w:cs="Calibri"/>
                <w:color w:val="000000"/>
                <w:szCs w:val="24"/>
                <w:lang w:eastAsia="fr-FR"/>
              </w:rPr>
            </w:pPr>
            <w:r w:rsidRPr="00F00A9D">
              <w:rPr>
                <w:rFonts w:eastAsia="Times New Roman" w:cs="Calibri"/>
                <w:color w:val="000000"/>
                <w:szCs w:val="24"/>
                <w:lang w:eastAsia="fr-FR"/>
              </w:rPr>
              <w:t>297 714 352 969</w:t>
            </w:r>
          </w:p>
        </w:tc>
        <w:tc>
          <w:tcPr>
            <w:tcW w:w="2058" w:type="dxa"/>
            <w:tcBorders>
              <w:top w:val="nil"/>
              <w:left w:val="nil"/>
              <w:bottom w:val="dotted" w:sz="4" w:space="0" w:color="auto"/>
              <w:right w:val="single" w:sz="8" w:space="0" w:color="auto"/>
            </w:tcBorders>
            <w:shd w:val="clear" w:color="auto" w:fill="auto"/>
            <w:noWrap/>
            <w:vAlign w:val="center"/>
            <w:hideMark/>
          </w:tcPr>
          <w:p w14:paraId="494DEBB9" w14:textId="77777777" w:rsidR="00310D85" w:rsidRPr="00F00A9D" w:rsidRDefault="00310D85" w:rsidP="000B0299">
            <w:pPr>
              <w:spacing w:after="0" w:line="240" w:lineRule="auto"/>
              <w:jc w:val="center"/>
              <w:rPr>
                <w:rFonts w:eastAsia="Times New Roman" w:cs="Calibri"/>
                <w:color w:val="000000"/>
                <w:szCs w:val="24"/>
                <w:lang w:eastAsia="fr-FR"/>
              </w:rPr>
            </w:pPr>
            <w:r w:rsidRPr="00F00A9D">
              <w:rPr>
                <w:rFonts w:eastAsia="Times New Roman" w:cs="Calibri"/>
                <w:color w:val="000000"/>
                <w:szCs w:val="24"/>
                <w:lang w:eastAsia="fr-FR"/>
              </w:rPr>
              <w:t>61%</w:t>
            </w:r>
          </w:p>
        </w:tc>
      </w:tr>
      <w:tr w:rsidR="00310D85" w:rsidRPr="00E2233A" w14:paraId="097542E2" w14:textId="77777777" w:rsidTr="000B0299">
        <w:trPr>
          <w:trHeight w:val="327"/>
        </w:trPr>
        <w:tc>
          <w:tcPr>
            <w:tcW w:w="1498" w:type="dxa"/>
            <w:tcBorders>
              <w:top w:val="nil"/>
              <w:left w:val="single" w:sz="8" w:space="0" w:color="auto"/>
              <w:bottom w:val="dotted" w:sz="4" w:space="0" w:color="auto"/>
              <w:right w:val="single" w:sz="8" w:space="0" w:color="auto"/>
            </w:tcBorders>
            <w:shd w:val="clear" w:color="auto" w:fill="auto"/>
            <w:noWrap/>
            <w:vAlign w:val="center"/>
            <w:hideMark/>
          </w:tcPr>
          <w:p w14:paraId="6795702D"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2016</w:t>
            </w:r>
          </w:p>
        </w:tc>
        <w:tc>
          <w:tcPr>
            <w:tcW w:w="2871" w:type="dxa"/>
            <w:tcBorders>
              <w:top w:val="nil"/>
              <w:left w:val="nil"/>
              <w:bottom w:val="dotted" w:sz="4" w:space="0" w:color="auto"/>
              <w:right w:val="single" w:sz="8" w:space="0" w:color="auto"/>
            </w:tcBorders>
            <w:shd w:val="clear" w:color="auto" w:fill="auto"/>
            <w:noWrap/>
            <w:vAlign w:val="center"/>
            <w:hideMark/>
          </w:tcPr>
          <w:p w14:paraId="6AFD652E"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628 169 414 192</w:t>
            </w:r>
          </w:p>
        </w:tc>
        <w:tc>
          <w:tcPr>
            <w:tcW w:w="2693" w:type="dxa"/>
            <w:tcBorders>
              <w:top w:val="nil"/>
              <w:left w:val="nil"/>
              <w:bottom w:val="dotted" w:sz="4" w:space="0" w:color="auto"/>
              <w:right w:val="single" w:sz="8" w:space="0" w:color="auto"/>
            </w:tcBorders>
            <w:shd w:val="clear" w:color="auto" w:fill="auto"/>
            <w:noWrap/>
            <w:vAlign w:val="center"/>
            <w:hideMark/>
          </w:tcPr>
          <w:p w14:paraId="161F9910"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555 057 052 974</w:t>
            </w:r>
          </w:p>
        </w:tc>
        <w:tc>
          <w:tcPr>
            <w:tcW w:w="2058" w:type="dxa"/>
            <w:tcBorders>
              <w:top w:val="nil"/>
              <w:left w:val="nil"/>
              <w:bottom w:val="dotted" w:sz="4" w:space="0" w:color="auto"/>
              <w:right w:val="single" w:sz="8" w:space="0" w:color="auto"/>
            </w:tcBorders>
            <w:shd w:val="clear" w:color="auto" w:fill="auto"/>
            <w:noWrap/>
            <w:vAlign w:val="center"/>
            <w:hideMark/>
          </w:tcPr>
          <w:p w14:paraId="553FBE52"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88%</w:t>
            </w:r>
          </w:p>
        </w:tc>
      </w:tr>
      <w:tr w:rsidR="00310D85" w:rsidRPr="00E2233A" w14:paraId="00FEA250" w14:textId="77777777" w:rsidTr="000B0299">
        <w:trPr>
          <w:trHeight w:val="327"/>
        </w:trPr>
        <w:tc>
          <w:tcPr>
            <w:tcW w:w="1498" w:type="dxa"/>
            <w:tcBorders>
              <w:top w:val="nil"/>
              <w:left w:val="single" w:sz="8" w:space="0" w:color="auto"/>
              <w:bottom w:val="nil"/>
              <w:right w:val="single" w:sz="8" w:space="0" w:color="auto"/>
            </w:tcBorders>
            <w:shd w:val="clear" w:color="auto" w:fill="auto"/>
            <w:noWrap/>
            <w:vAlign w:val="center"/>
            <w:hideMark/>
          </w:tcPr>
          <w:p w14:paraId="72938B93"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2017</w:t>
            </w:r>
          </w:p>
        </w:tc>
        <w:tc>
          <w:tcPr>
            <w:tcW w:w="2871" w:type="dxa"/>
            <w:tcBorders>
              <w:top w:val="nil"/>
              <w:left w:val="nil"/>
              <w:bottom w:val="nil"/>
              <w:right w:val="single" w:sz="8" w:space="0" w:color="auto"/>
            </w:tcBorders>
            <w:shd w:val="clear" w:color="auto" w:fill="auto"/>
            <w:noWrap/>
            <w:vAlign w:val="center"/>
            <w:hideMark/>
          </w:tcPr>
          <w:p w14:paraId="215E7E71"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761 146 132 187</w:t>
            </w:r>
          </w:p>
        </w:tc>
        <w:tc>
          <w:tcPr>
            <w:tcW w:w="2693" w:type="dxa"/>
            <w:tcBorders>
              <w:top w:val="nil"/>
              <w:left w:val="nil"/>
              <w:bottom w:val="nil"/>
              <w:right w:val="single" w:sz="8" w:space="0" w:color="auto"/>
            </w:tcBorders>
            <w:shd w:val="clear" w:color="auto" w:fill="auto"/>
            <w:noWrap/>
            <w:vAlign w:val="center"/>
            <w:hideMark/>
          </w:tcPr>
          <w:p w14:paraId="4125683A"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591 984 452 810</w:t>
            </w:r>
          </w:p>
        </w:tc>
        <w:tc>
          <w:tcPr>
            <w:tcW w:w="2058" w:type="dxa"/>
            <w:tcBorders>
              <w:top w:val="nil"/>
              <w:left w:val="nil"/>
              <w:bottom w:val="dotted" w:sz="4" w:space="0" w:color="auto"/>
              <w:right w:val="single" w:sz="8" w:space="0" w:color="auto"/>
            </w:tcBorders>
            <w:shd w:val="clear" w:color="auto" w:fill="auto"/>
            <w:noWrap/>
            <w:vAlign w:val="center"/>
            <w:hideMark/>
          </w:tcPr>
          <w:p w14:paraId="531C553B"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78%</w:t>
            </w:r>
          </w:p>
        </w:tc>
      </w:tr>
      <w:tr w:rsidR="00310D85" w:rsidRPr="00E2233A" w14:paraId="5B99FF0F" w14:textId="77777777" w:rsidTr="000B0299">
        <w:trPr>
          <w:trHeight w:val="327"/>
        </w:trPr>
        <w:tc>
          <w:tcPr>
            <w:tcW w:w="149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A57D6D"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2018</w:t>
            </w:r>
          </w:p>
        </w:tc>
        <w:tc>
          <w:tcPr>
            <w:tcW w:w="2871" w:type="dxa"/>
            <w:tcBorders>
              <w:top w:val="single" w:sz="4" w:space="0" w:color="auto"/>
              <w:left w:val="nil"/>
              <w:bottom w:val="single" w:sz="4" w:space="0" w:color="auto"/>
              <w:right w:val="single" w:sz="4" w:space="0" w:color="auto"/>
            </w:tcBorders>
            <w:shd w:val="clear" w:color="auto" w:fill="auto"/>
            <w:noWrap/>
            <w:vAlign w:val="center"/>
            <w:hideMark/>
          </w:tcPr>
          <w:p w14:paraId="3EC99870"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1 060 566 325 491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6E9DDD3"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759 100 114 154</w:t>
            </w:r>
          </w:p>
        </w:tc>
        <w:tc>
          <w:tcPr>
            <w:tcW w:w="2058" w:type="dxa"/>
            <w:tcBorders>
              <w:top w:val="nil"/>
              <w:left w:val="nil"/>
              <w:bottom w:val="dotted" w:sz="4" w:space="0" w:color="auto"/>
              <w:right w:val="single" w:sz="8" w:space="0" w:color="auto"/>
            </w:tcBorders>
            <w:shd w:val="clear" w:color="auto" w:fill="auto"/>
            <w:noWrap/>
            <w:vAlign w:val="center"/>
            <w:hideMark/>
          </w:tcPr>
          <w:p w14:paraId="64EFB906"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72%</w:t>
            </w:r>
          </w:p>
        </w:tc>
      </w:tr>
      <w:tr w:rsidR="00310D85" w:rsidRPr="00E2233A" w14:paraId="6EC07C18" w14:textId="77777777" w:rsidTr="000B0299">
        <w:trPr>
          <w:trHeight w:val="327"/>
        </w:trPr>
        <w:tc>
          <w:tcPr>
            <w:tcW w:w="1498" w:type="dxa"/>
            <w:tcBorders>
              <w:top w:val="nil"/>
              <w:left w:val="single" w:sz="4" w:space="0" w:color="auto"/>
              <w:bottom w:val="single" w:sz="4" w:space="0" w:color="auto"/>
              <w:right w:val="single" w:sz="4" w:space="0" w:color="auto"/>
            </w:tcBorders>
            <w:shd w:val="clear" w:color="000000" w:fill="F2F2F2"/>
            <w:noWrap/>
            <w:vAlign w:val="center"/>
            <w:hideMark/>
          </w:tcPr>
          <w:p w14:paraId="3DDAC129"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2019</w:t>
            </w:r>
          </w:p>
        </w:tc>
        <w:tc>
          <w:tcPr>
            <w:tcW w:w="2871" w:type="dxa"/>
            <w:tcBorders>
              <w:top w:val="nil"/>
              <w:left w:val="nil"/>
              <w:bottom w:val="single" w:sz="4" w:space="0" w:color="auto"/>
              <w:right w:val="single" w:sz="4" w:space="0" w:color="auto"/>
            </w:tcBorders>
            <w:shd w:val="clear" w:color="auto" w:fill="auto"/>
            <w:noWrap/>
            <w:vAlign w:val="center"/>
            <w:hideMark/>
          </w:tcPr>
          <w:p w14:paraId="0C310C27"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1 444 073 521 056</w:t>
            </w:r>
          </w:p>
        </w:tc>
        <w:tc>
          <w:tcPr>
            <w:tcW w:w="2693" w:type="dxa"/>
            <w:tcBorders>
              <w:top w:val="nil"/>
              <w:left w:val="nil"/>
              <w:bottom w:val="single" w:sz="4" w:space="0" w:color="auto"/>
              <w:right w:val="single" w:sz="4" w:space="0" w:color="auto"/>
            </w:tcBorders>
            <w:shd w:val="clear" w:color="auto" w:fill="auto"/>
            <w:noWrap/>
            <w:vAlign w:val="center"/>
            <w:hideMark/>
          </w:tcPr>
          <w:p w14:paraId="50ABE7DE"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963 520 497 028</w:t>
            </w:r>
          </w:p>
        </w:tc>
        <w:tc>
          <w:tcPr>
            <w:tcW w:w="2058" w:type="dxa"/>
            <w:tcBorders>
              <w:top w:val="nil"/>
              <w:left w:val="nil"/>
              <w:bottom w:val="dotted" w:sz="4" w:space="0" w:color="auto"/>
              <w:right w:val="single" w:sz="8" w:space="0" w:color="auto"/>
            </w:tcBorders>
            <w:shd w:val="clear" w:color="auto" w:fill="auto"/>
            <w:noWrap/>
            <w:vAlign w:val="center"/>
            <w:hideMark/>
          </w:tcPr>
          <w:p w14:paraId="6DEB1639"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67%</w:t>
            </w:r>
          </w:p>
        </w:tc>
      </w:tr>
      <w:tr w:rsidR="00310D85" w:rsidRPr="00E2233A" w14:paraId="28872FBB" w14:textId="77777777" w:rsidTr="000B0299">
        <w:trPr>
          <w:trHeight w:val="327"/>
        </w:trPr>
        <w:tc>
          <w:tcPr>
            <w:tcW w:w="1498" w:type="dxa"/>
            <w:tcBorders>
              <w:top w:val="nil"/>
              <w:left w:val="single" w:sz="4" w:space="0" w:color="auto"/>
              <w:bottom w:val="single" w:sz="4" w:space="0" w:color="auto"/>
              <w:right w:val="single" w:sz="4" w:space="0" w:color="auto"/>
            </w:tcBorders>
            <w:shd w:val="clear" w:color="000000" w:fill="F2F2F2"/>
            <w:noWrap/>
            <w:vAlign w:val="center"/>
            <w:hideMark/>
          </w:tcPr>
          <w:p w14:paraId="69659A6E"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2020</w:t>
            </w:r>
          </w:p>
        </w:tc>
        <w:tc>
          <w:tcPr>
            <w:tcW w:w="2871" w:type="dxa"/>
            <w:tcBorders>
              <w:top w:val="nil"/>
              <w:left w:val="nil"/>
              <w:bottom w:val="single" w:sz="4" w:space="0" w:color="auto"/>
              <w:right w:val="single" w:sz="4" w:space="0" w:color="auto"/>
            </w:tcBorders>
            <w:shd w:val="clear" w:color="auto" w:fill="auto"/>
            <w:noWrap/>
            <w:vAlign w:val="center"/>
            <w:hideMark/>
          </w:tcPr>
          <w:p w14:paraId="79E25595"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2 605 035 133 767</w:t>
            </w:r>
          </w:p>
        </w:tc>
        <w:tc>
          <w:tcPr>
            <w:tcW w:w="2693" w:type="dxa"/>
            <w:tcBorders>
              <w:top w:val="nil"/>
              <w:left w:val="nil"/>
              <w:bottom w:val="single" w:sz="4" w:space="0" w:color="auto"/>
              <w:right w:val="single" w:sz="4" w:space="0" w:color="auto"/>
            </w:tcBorders>
            <w:shd w:val="clear" w:color="auto" w:fill="auto"/>
            <w:noWrap/>
            <w:vAlign w:val="center"/>
            <w:hideMark/>
          </w:tcPr>
          <w:p w14:paraId="7AFA3D58" w14:textId="77777777" w:rsidR="00310D85" w:rsidRPr="00E2233A" w:rsidRDefault="00310D85" w:rsidP="000B0299">
            <w:pPr>
              <w:spacing w:after="0" w:line="240" w:lineRule="auto"/>
              <w:jc w:val="right"/>
              <w:rPr>
                <w:rFonts w:eastAsia="Times New Roman" w:cs="Calibri"/>
                <w:color w:val="000000"/>
                <w:szCs w:val="24"/>
                <w:lang w:eastAsia="fr-FR"/>
              </w:rPr>
            </w:pPr>
            <w:r w:rsidRPr="00E2233A">
              <w:rPr>
                <w:rFonts w:eastAsia="Times New Roman" w:cs="Calibri"/>
                <w:color w:val="000000"/>
                <w:szCs w:val="24"/>
                <w:lang w:eastAsia="fr-FR"/>
              </w:rPr>
              <w:t>1 202 956 140 741</w:t>
            </w:r>
          </w:p>
        </w:tc>
        <w:tc>
          <w:tcPr>
            <w:tcW w:w="2058" w:type="dxa"/>
            <w:tcBorders>
              <w:top w:val="nil"/>
              <w:left w:val="nil"/>
              <w:bottom w:val="dotted" w:sz="4" w:space="0" w:color="auto"/>
              <w:right w:val="single" w:sz="8" w:space="0" w:color="auto"/>
            </w:tcBorders>
            <w:shd w:val="clear" w:color="auto" w:fill="auto"/>
            <w:noWrap/>
            <w:vAlign w:val="center"/>
            <w:hideMark/>
          </w:tcPr>
          <w:p w14:paraId="6D1061DC" w14:textId="77777777" w:rsidR="00310D85" w:rsidRPr="00E2233A" w:rsidRDefault="00310D85" w:rsidP="000B0299">
            <w:pPr>
              <w:spacing w:after="0" w:line="240" w:lineRule="auto"/>
              <w:jc w:val="center"/>
              <w:rPr>
                <w:rFonts w:eastAsia="Times New Roman" w:cs="Calibri"/>
                <w:color w:val="000000"/>
                <w:szCs w:val="24"/>
                <w:lang w:eastAsia="fr-FR"/>
              </w:rPr>
            </w:pPr>
            <w:r w:rsidRPr="00E2233A">
              <w:rPr>
                <w:rFonts w:eastAsia="Times New Roman" w:cs="Calibri"/>
                <w:color w:val="000000"/>
                <w:szCs w:val="24"/>
                <w:lang w:eastAsia="fr-FR"/>
              </w:rPr>
              <w:t>46%</w:t>
            </w:r>
          </w:p>
        </w:tc>
      </w:tr>
    </w:tbl>
    <w:p w14:paraId="653EE7AE" w14:textId="77777777" w:rsidR="00310D85" w:rsidRPr="00631EB3" w:rsidRDefault="00310D85" w:rsidP="00310D85">
      <w:pPr>
        <w:rPr>
          <w:sz w:val="8"/>
          <w:szCs w:val="6"/>
          <w:lang w:eastAsia="fr-FR"/>
        </w:rPr>
      </w:pPr>
    </w:p>
    <w:p w14:paraId="394AFABE" w14:textId="77777777" w:rsidR="00310D85" w:rsidRPr="00352859" w:rsidRDefault="00310D85" w:rsidP="00310D85">
      <w:pPr>
        <w:widowControl w:val="0"/>
        <w:spacing w:after="240" w:line="276" w:lineRule="auto"/>
        <w:rPr>
          <w:b/>
          <w:bCs/>
          <w:i/>
          <w:iCs/>
          <w:sz w:val="20"/>
          <w:szCs w:val="18"/>
          <w:lang w:eastAsia="fr-FR"/>
        </w:rPr>
      </w:pPr>
      <w:r w:rsidRPr="00352859">
        <w:rPr>
          <w:b/>
          <w:bCs/>
          <w:i/>
          <w:iCs/>
          <w:sz w:val="20"/>
          <w:szCs w:val="18"/>
          <w:lang w:eastAsia="fr-FR"/>
        </w:rPr>
        <w:t>Source : Chaine des dépenses</w:t>
      </w:r>
    </w:p>
    <w:p w14:paraId="0C822085" w14:textId="77777777" w:rsidR="00310D85" w:rsidRPr="00917F72" w:rsidRDefault="00310D85" w:rsidP="00310D85">
      <w:pPr>
        <w:pStyle w:val="Lgende"/>
        <w:widowControl w:val="0"/>
        <w:spacing w:line="276" w:lineRule="auto"/>
        <w:jc w:val="center"/>
        <w:rPr>
          <w:noProof/>
        </w:rPr>
      </w:pPr>
      <w:bookmarkStart w:id="439" w:name="_Toc15970691"/>
      <w:r>
        <w:rPr>
          <w:noProof/>
        </w:rPr>
        <w:lastRenderedPageBreak/>
        <w:drawing>
          <wp:inline distT="0" distB="0" distL="0" distR="0" wp14:anchorId="42E80831" wp14:editId="5A8F1A63">
            <wp:extent cx="4381500" cy="2012950"/>
            <wp:effectExtent l="0" t="0" r="0" b="6350"/>
            <wp:docPr id="1" name="Graphique 1">
              <a:extLst xmlns:a="http://schemas.openxmlformats.org/drawingml/2006/main">
                <a:ext uri="{FF2B5EF4-FFF2-40B4-BE49-F238E27FC236}">
                  <a16:creationId xmlns:a16="http://schemas.microsoft.com/office/drawing/2014/main" id="{F3EDCFB3-08E8-48E7-983A-069A4A18B5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439"/>
    <w:p w14:paraId="77264B74" w14:textId="77777777" w:rsidR="00310D85" w:rsidRDefault="00310D85" w:rsidP="00310D85">
      <w:pPr>
        <w:pStyle w:val="Lgende"/>
      </w:pPr>
      <w:r>
        <w:t xml:space="preserve">Graphique </w:t>
      </w:r>
      <w:fldSimple w:instr=" SEQ Graphique \* ARABIC ">
        <w:r>
          <w:rPr>
            <w:noProof/>
          </w:rPr>
          <w:t>3</w:t>
        </w:r>
      </w:fldSimple>
      <w:r>
        <w:t xml:space="preserve"> : </w:t>
      </w:r>
      <w:r w:rsidRPr="00382DCA">
        <w:t>Evolution des taux de décaissement de 2015 à 2020.</w:t>
      </w:r>
      <w:r>
        <w:t xml:space="preserve">                               </w:t>
      </w:r>
    </w:p>
    <w:p w14:paraId="1329A9BD" w14:textId="77777777" w:rsidR="00310D85" w:rsidRPr="00357A04" w:rsidRDefault="00310D85" w:rsidP="00310D85">
      <w:pPr>
        <w:pStyle w:val="Lgende"/>
        <w:rPr>
          <w:rFonts w:ascii="Maiandra GD" w:eastAsiaTheme="minorHAnsi" w:hAnsi="Maiandra GD" w:cstheme="minorBidi"/>
          <w:bCs w:val="0"/>
          <w:color w:val="002060"/>
          <w:sz w:val="24"/>
          <w:szCs w:val="22"/>
          <w:lang w:eastAsia="en-US"/>
        </w:rPr>
      </w:pPr>
      <w:r w:rsidRPr="00357A04">
        <w:rPr>
          <w:rFonts w:ascii="Maiandra GD" w:eastAsiaTheme="minorHAnsi" w:hAnsi="Maiandra GD" w:cstheme="minorBidi"/>
          <w:bCs w:val="0"/>
          <w:color w:val="002060"/>
          <w:sz w:val="24"/>
          <w:szCs w:val="22"/>
          <w:lang w:eastAsia="en-US"/>
        </w:rPr>
        <w:t>Répartition du budget de l’Etat pour la santé par titre, en prévision et en exécution</w:t>
      </w:r>
    </w:p>
    <w:p w14:paraId="4061703B" w14:textId="77777777" w:rsidR="00310D85" w:rsidRDefault="00310D85" w:rsidP="00310D85">
      <w:pPr>
        <w:widowControl w:val="0"/>
        <w:spacing w:before="120" w:after="120" w:line="276" w:lineRule="auto"/>
        <w:rPr>
          <w:rFonts w:cs="Arial"/>
          <w:szCs w:val="24"/>
        </w:rPr>
      </w:pPr>
      <w:r w:rsidRPr="00B90B86">
        <w:rPr>
          <w:rFonts w:cs="Arial"/>
          <w:szCs w:val="24"/>
        </w:rPr>
        <w:t xml:space="preserve">La structure du budget de l’état </w:t>
      </w:r>
      <w:r>
        <w:rPr>
          <w:rFonts w:cs="Arial"/>
          <w:szCs w:val="24"/>
        </w:rPr>
        <w:t xml:space="preserve">par catégories des dépenses </w:t>
      </w:r>
      <w:r w:rsidRPr="00B90B86">
        <w:rPr>
          <w:rFonts w:cs="Arial"/>
          <w:szCs w:val="24"/>
        </w:rPr>
        <w:t>alloué</w:t>
      </w:r>
      <w:r>
        <w:rPr>
          <w:rFonts w:cs="Arial"/>
          <w:szCs w:val="24"/>
        </w:rPr>
        <w:t>e</w:t>
      </w:r>
      <w:r w:rsidRPr="00B90B86">
        <w:rPr>
          <w:rFonts w:cs="Arial"/>
          <w:szCs w:val="24"/>
        </w:rPr>
        <w:t xml:space="preserve"> à la santé et illustrée par les données relatives </w:t>
      </w:r>
      <w:r>
        <w:rPr>
          <w:rFonts w:cs="Arial"/>
          <w:szCs w:val="24"/>
        </w:rPr>
        <w:t xml:space="preserve">de 2015 </w:t>
      </w:r>
      <w:r w:rsidRPr="00B90B86">
        <w:rPr>
          <w:rFonts w:cs="Arial"/>
          <w:szCs w:val="24"/>
        </w:rPr>
        <w:t>à 20</w:t>
      </w:r>
      <w:r>
        <w:rPr>
          <w:rFonts w:cs="Arial"/>
          <w:szCs w:val="24"/>
        </w:rPr>
        <w:t>20</w:t>
      </w:r>
      <w:r w:rsidRPr="00B90B86">
        <w:rPr>
          <w:rFonts w:cs="Arial"/>
          <w:szCs w:val="24"/>
        </w:rPr>
        <w:t xml:space="preserve"> se présente ci-après : </w:t>
      </w:r>
    </w:p>
    <w:p w14:paraId="751B6697" w14:textId="77777777" w:rsidR="00310D85" w:rsidRDefault="00310D85" w:rsidP="00310D85">
      <w:pPr>
        <w:rPr>
          <w:lang w:eastAsia="fr-FR"/>
        </w:rPr>
      </w:pPr>
      <w:bookmarkStart w:id="440" w:name="_Toc15970692"/>
      <w:r>
        <w:rPr>
          <w:noProof/>
          <w:lang w:eastAsia="fr-FR"/>
        </w:rPr>
        <w:drawing>
          <wp:inline distT="0" distB="0" distL="0" distR="0" wp14:anchorId="3EF438F5" wp14:editId="3A39E58C">
            <wp:extent cx="5760720" cy="3247791"/>
            <wp:effectExtent l="0" t="0" r="11430" b="1016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3BA2EC" w14:textId="77777777" w:rsidR="00310D85" w:rsidRPr="00316FDB" w:rsidRDefault="00310D85" w:rsidP="00310D85">
      <w:pPr>
        <w:pStyle w:val="Lgende"/>
        <w:rPr>
          <w:rFonts w:ascii="Maiandra GD" w:hAnsi="Maiandra GD"/>
          <w:bCs w:val="0"/>
        </w:rPr>
      </w:pPr>
      <w:r w:rsidRPr="00316FDB">
        <w:t xml:space="preserve">Graphique </w:t>
      </w:r>
      <w:fldSimple w:instr=" SEQ Graphique \* ARABIC ">
        <w:r w:rsidRPr="00316FDB">
          <w:rPr>
            <w:noProof/>
          </w:rPr>
          <w:t>4</w:t>
        </w:r>
      </w:fldSimple>
      <w:r w:rsidRPr="00316FDB">
        <w:t xml:space="preserve"> : Répartition du budget de 2015 à 2020 du Ministère de la Santé par titre en termes d’allocation et d’exécution.</w:t>
      </w:r>
    </w:p>
    <w:p w14:paraId="05E5F927" w14:textId="77777777" w:rsidR="00310D85" w:rsidRPr="00D00460" w:rsidRDefault="00310D85" w:rsidP="00310D85">
      <w:pPr>
        <w:pStyle w:val="Default"/>
        <w:jc w:val="both"/>
        <w:rPr>
          <w:rFonts w:ascii="Maiandra GD" w:eastAsia="Times New Roman" w:hAnsi="Maiandra GD" w:cs="Times New Roman"/>
          <w:bCs/>
          <w:color w:val="auto"/>
          <w:lang w:eastAsia="fr-FR"/>
        </w:rPr>
      </w:pPr>
      <w:r w:rsidRPr="00D00460">
        <w:rPr>
          <w:rFonts w:ascii="Maiandra GD" w:eastAsia="Times New Roman" w:hAnsi="Maiandra GD" w:cs="Times New Roman"/>
          <w:bCs/>
          <w:color w:val="auto"/>
          <w:lang w:eastAsia="fr-FR"/>
        </w:rPr>
        <w:t xml:space="preserve">Ce graphique montre que durant la période 2015 à 2020, le fonctionnement absorbe en moyenne 74% du budget santé décaissé et contre 26% pour l’investissement. </w:t>
      </w:r>
    </w:p>
    <w:bookmarkEnd w:id="440"/>
    <w:p w14:paraId="6293F03C" w14:textId="6F635B39" w:rsidR="00310D85" w:rsidRDefault="00310D85" w:rsidP="00310D85">
      <w:pPr>
        <w:rPr>
          <w:sz w:val="14"/>
          <w:szCs w:val="12"/>
          <w:lang w:eastAsia="fr-FR"/>
        </w:rPr>
      </w:pPr>
    </w:p>
    <w:p w14:paraId="51AF96E5" w14:textId="583C9E8A" w:rsidR="00316FDB" w:rsidRDefault="00316FDB" w:rsidP="00310D85">
      <w:pPr>
        <w:rPr>
          <w:sz w:val="14"/>
          <w:szCs w:val="12"/>
          <w:lang w:eastAsia="fr-FR"/>
        </w:rPr>
      </w:pPr>
    </w:p>
    <w:p w14:paraId="289AFBAF" w14:textId="5CB64376" w:rsidR="00316FDB" w:rsidRDefault="00316FDB" w:rsidP="00310D85">
      <w:pPr>
        <w:rPr>
          <w:sz w:val="14"/>
          <w:szCs w:val="12"/>
          <w:lang w:eastAsia="fr-FR"/>
        </w:rPr>
      </w:pPr>
    </w:p>
    <w:p w14:paraId="5746EC5E" w14:textId="56E6BE92" w:rsidR="00316FDB" w:rsidRDefault="00316FDB" w:rsidP="00310D85">
      <w:pPr>
        <w:rPr>
          <w:sz w:val="14"/>
          <w:szCs w:val="12"/>
          <w:lang w:eastAsia="fr-FR"/>
        </w:rPr>
      </w:pPr>
    </w:p>
    <w:p w14:paraId="6D29BA82" w14:textId="74E4F466" w:rsidR="00316FDB" w:rsidRDefault="00316FDB" w:rsidP="00310D85">
      <w:pPr>
        <w:rPr>
          <w:sz w:val="14"/>
          <w:szCs w:val="12"/>
          <w:lang w:eastAsia="fr-FR"/>
        </w:rPr>
      </w:pPr>
    </w:p>
    <w:p w14:paraId="0E80F1E8" w14:textId="03CD06B6" w:rsidR="00316FDB" w:rsidRDefault="00316FDB" w:rsidP="00310D85">
      <w:pPr>
        <w:rPr>
          <w:sz w:val="14"/>
          <w:szCs w:val="12"/>
          <w:lang w:eastAsia="fr-FR"/>
        </w:rPr>
      </w:pPr>
    </w:p>
    <w:p w14:paraId="6B8714C9" w14:textId="3835445A" w:rsidR="00316FDB" w:rsidRDefault="00316FDB" w:rsidP="00310D85">
      <w:pPr>
        <w:rPr>
          <w:sz w:val="14"/>
          <w:szCs w:val="12"/>
          <w:lang w:eastAsia="fr-FR"/>
        </w:rPr>
      </w:pPr>
    </w:p>
    <w:p w14:paraId="6E8C08BC" w14:textId="0D37FE8C" w:rsidR="00316FDB" w:rsidRDefault="00316FDB" w:rsidP="00310D85">
      <w:pPr>
        <w:rPr>
          <w:sz w:val="14"/>
          <w:szCs w:val="12"/>
          <w:lang w:eastAsia="fr-FR"/>
        </w:rPr>
      </w:pPr>
    </w:p>
    <w:p w14:paraId="382D0A37" w14:textId="77777777" w:rsidR="00316FDB" w:rsidRPr="00A879CE" w:rsidRDefault="00316FDB" w:rsidP="00310D85">
      <w:pPr>
        <w:rPr>
          <w:sz w:val="14"/>
          <w:szCs w:val="12"/>
          <w:lang w:eastAsia="fr-FR"/>
        </w:rPr>
      </w:pPr>
    </w:p>
    <w:p w14:paraId="607407EF" w14:textId="61CBB7AE" w:rsidR="00310D85" w:rsidRDefault="00310D85" w:rsidP="00310D85">
      <w:pPr>
        <w:widowControl w:val="0"/>
        <w:spacing w:before="120" w:after="120" w:line="276" w:lineRule="auto"/>
        <w:jc w:val="both"/>
        <w:rPr>
          <w:rFonts w:cs="Arial"/>
          <w:b/>
          <w:bCs/>
          <w:szCs w:val="24"/>
        </w:rPr>
      </w:pPr>
      <w:r>
        <w:rPr>
          <w:rFonts w:cs="Arial"/>
          <w:szCs w:val="24"/>
        </w:rPr>
        <w:lastRenderedPageBreak/>
        <w:t>1</w:t>
      </w:r>
      <w:r w:rsidRPr="00AC5CAB">
        <w:rPr>
          <w:rFonts w:cs="Arial"/>
          <w:szCs w:val="24"/>
        </w:rPr>
        <w:t>.1.2.</w:t>
      </w:r>
      <w:r w:rsidRPr="0047030E">
        <w:rPr>
          <w:rFonts w:cs="Arial"/>
          <w:b/>
          <w:bCs/>
          <w:szCs w:val="24"/>
        </w:rPr>
        <w:t xml:space="preserve">  </w:t>
      </w:r>
      <w:bookmarkStart w:id="441" w:name="_Hlk80776530"/>
      <w:r w:rsidRPr="000239A9">
        <w:rPr>
          <w:rFonts w:cs="Times New Roman"/>
          <w:b/>
          <w:bCs/>
          <w:szCs w:val="24"/>
        </w:rPr>
        <w:t>La contribution au financement de la santé par les ménages sous forme de paiement direct de soins</w:t>
      </w:r>
      <w:r w:rsidRPr="000319C2">
        <w:rPr>
          <w:rFonts w:cs="Arial"/>
          <w:b/>
          <w:bCs/>
          <w:szCs w:val="24"/>
        </w:rPr>
        <w:t> </w:t>
      </w:r>
    </w:p>
    <w:bookmarkEnd w:id="441"/>
    <w:p w14:paraId="5E61495E" w14:textId="77777777" w:rsidR="00310D85" w:rsidRPr="00A879CE" w:rsidRDefault="00310D85" w:rsidP="00310D85">
      <w:pPr>
        <w:widowControl w:val="0"/>
        <w:spacing w:before="120" w:after="120" w:line="276" w:lineRule="auto"/>
        <w:jc w:val="both"/>
        <w:rPr>
          <w:rFonts w:cs="Arial"/>
          <w:b/>
          <w:bCs/>
          <w:szCs w:val="24"/>
        </w:rPr>
      </w:pPr>
      <w:r>
        <w:rPr>
          <w:noProof/>
        </w:rPr>
        <w:drawing>
          <wp:inline distT="0" distB="0" distL="0" distR="0" wp14:anchorId="5A27FDD4" wp14:editId="3BCAB292">
            <wp:extent cx="5676900" cy="2613660"/>
            <wp:effectExtent l="0" t="0" r="0" b="15240"/>
            <wp:docPr id="6" name="Graphique 6">
              <a:extLst xmlns:a="http://schemas.openxmlformats.org/drawingml/2006/main">
                <a:ext uri="{FF2B5EF4-FFF2-40B4-BE49-F238E27FC236}">
                  <a16:creationId xmlns:a16="http://schemas.microsoft.com/office/drawing/2014/main" id="{A3AC662A-3A6F-4535-ABB5-4A62B9F70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488A6A" w14:textId="77777777" w:rsidR="00310D85" w:rsidRDefault="00310D85" w:rsidP="00310D85">
      <w:pPr>
        <w:pStyle w:val="Lgende"/>
        <w:rPr>
          <w:rFonts w:cs="Arial"/>
          <w:szCs w:val="24"/>
          <w:highlight w:val="yellow"/>
        </w:rPr>
      </w:pPr>
      <w:r>
        <w:t xml:space="preserve">Graphique </w:t>
      </w:r>
      <w:fldSimple w:instr=" SEQ Graphique \* ARABIC ">
        <w:r>
          <w:rPr>
            <w:noProof/>
          </w:rPr>
          <w:t>5</w:t>
        </w:r>
      </w:fldSimple>
      <w:r>
        <w:t xml:space="preserve"> : </w:t>
      </w:r>
      <w:r w:rsidRPr="00F955D2">
        <w:t xml:space="preserve"> Paiement direct des soins par les ménages en % des dépenses totales de santé</w:t>
      </w:r>
    </w:p>
    <w:p w14:paraId="5AF2FA98" w14:textId="77777777" w:rsidR="00310D85" w:rsidRPr="000319C2" w:rsidRDefault="00310D85" w:rsidP="00310D85">
      <w:pPr>
        <w:autoSpaceDE w:val="0"/>
        <w:autoSpaceDN w:val="0"/>
        <w:adjustRightInd w:val="0"/>
        <w:spacing w:after="0" w:line="276" w:lineRule="auto"/>
        <w:jc w:val="both"/>
        <w:rPr>
          <w:rFonts w:cs="Arial"/>
          <w:szCs w:val="24"/>
        </w:rPr>
      </w:pPr>
      <w:bookmarkStart w:id="442" w:name="_Hlk80776691"/>
      <w:r w:rsidRPr="000319C2">
        <w:rPr>
          <w:rFonts w:cs="Arial"/>
          <w:szCs w:val="24"/>
        </w:rPr>
        <w:t>De 2015 à 20</w:t>
      </w:r>
      <w:r>
        <w:rPr>
          <w:rFonts w:cs="Arial"/>
          <w:szCs w:val="24"/>
        </w:rPr>
        <w:t>19</w:t>
      </w:r>
      <w:r w:rsidRPr="000319C2">
        <w:rPr>
          <w:rFonts w:cs="Arial"/>
          <w:szCs w:val="24"/>
        </w:rPr>
        <w:t xml:space="preserve">, les ménages représentent la principale source de financement du secteur de la santé en Guinée avec des apports variant de </w:t>
      </w:r>
      <w:r w:rsidRPr="00357A04">
        <w:rPr>
          <w:rFonts w:cs="Arial"/>
          <w:szCs w:val="24"/>
        </w:rPr>
        <w:t>45,19% en 2015</w:t>
      </w:r>
      <w:r w:rsidRPr="000319C2">
        <w:rPr>
          <w:rFonts w:cs="Arial"/>
          <w:szCs w:val="24"/>
        </w:rPr>
        <w:t xml:space="preserve"> à 56,6% en 2019. Ce niveau de contribution des ménages dans la DTS reste encore très élevé, nettement au-dessus de l’objectif du Plan National de Développement Sanitaire (PNDS) 2015-2024 qui est de </w:t>
      </w:r>
      <w:r w:rsidRPr="00357A04">
        <w:rPr>
          <w:rFonts w:cs="Arial"/>
          <w:szCs w:val="24"/>
        </w:rPr>
        <w:t>43,5% pour 2019.</w:t>
      </w:r>
      <w:r w:rsidRPr="000319C2">
        <w:rPr>
          <w:rFonts w:cs="Arial"/>
          <w:szCs w:val="24"/>
        </w:rPr>
        <w:t xml:space="preserve"> Cette forte dépendance du financement du système de santé au paiement direct des soins par les ménages, s’explique par la quasi absence de mécanismes assurantiels, la surfacturation des soins et le niveau encore insuffisant du financement public au regard des objectifs d’Abuja qui est de 15% du budget de l’Etat alloué à la santé.</w:t>
      </w:r>
    </w:p>
    <w:bookmarkEnd w:id="442"/>
    <w:p w14:paraId="36847D40" w14:textId="77777777" w:rsidR="00310D85" w:rsidRPr="000319C2" w:rsidRDefault="00310D85" w:rsidP="00310D85">
      <w:pPr>
        <w:autoSpaceDE w:val="0"/>
        <w:autoSpaceDN w:val="0"/>
        <w:adjustRightInd w:val="0"/>
        <w:spacing w:after="0" w:line="240" w:lineRule="auto"/>
        <w:jc w:val="both"/>
        <w:rPr>
          <w:rFonts w:ascii="Times New Roman" w:hAnsi="Times New Roman" w:cs="Times New Roman"/>
          <w:color w:val="000000"/>
          <w:sz w:val="16"/>
          <w:szCs w:val="16"/>
        </w:rPr>
      </w:pPr>
    </w:p>
    <w:p w14:paraId="13C5C689" w14:textId="77777777" w:rsidR="00310D85" w:rsidRPr="00B90B86" w:rsidRDefault="00310D85" w:rsidP="00310D85">
      <w:pPr>
        <w:widowControl w:val="0"/>
        <w:spacing w:before="60" w:after="60" w:line="276" w:lineRule="auto"/>
        <w:jc w:val="both"/>
        <w:rPr>
          <w:rFonts w:cs="Arial"/>
          <w:szCs w:val="24"/>
        </w:rPr>
      </w:pPr>
      <w:r w:rsidRPr="00B90B86">
        <w:rPr>
          <w:rFonts w:cs="Arial"/>
          <w:szCs w:val="24"/>
        </w:rPr>
        <w:t xml:space="preserve">Les populations prennent en charge une partie des infrastructures sanitaires et, à travers le système de recouvrement des coûts, une partie des coûts de fonctionnement des établissements de soins, notamment le rachat des produits pharmaceutiques, la motivation du personnel, les dépenses d’entretien et de maintenance et les outils de gestion. A cela s’ajoutent les dépenses, inconnues mais importantes, des ménages dans les structures privées pour soins, examens complémentaires et achat de médicaments. </w:t>
      </w:r>
    </w:p>
    <w:p w14:paraId="255E37C9" w14:textId="77777777" w:rsidR="00310D85" w:rsidRPr="000319C2" w:rsidRDefault="00310D85" w:rsidP="00310D85">
      <w:pPr>
        <w:autoSpaceDE w:val="0"/>
        <w:autoSpaceDN w:val="0"/>
        <w:adjustRightInd w:val="0"/>
        <w:spacing w:after="0" w:line="240" w:lineRule="auto"/>
        <w:jc w:val="both"/>
        <w:rPr>
          <w:rFonts w:ascii="Times New Roman" w:hAnsi="Times New Roman" w:cs="Times New Roman"/>
          <w:color w:val="000000"/>
          <w:sz w:val="8"/>
          <w:szCs w:val="8"/>
        </w:rPr>
      </w:pPr>
    </w:p>
    <w:p w14:paraId="2A8ECE79" w14:textId="77777777" w:rsidR="00310D85" w:rsidRPr="000319C2" w:rsidRDefault="00310D85" w:rsidP="00310D85">
      <w:pPr>
        <w:autoSpaceDE w:val="0"/>
        <w:autoSpaceDN w:val="0"/>
        <w:adjustRightInd w:val="0"/>
        <w:spacing w:after="0" w:line="240" w:lineRule="auto"/>
        <w:jc w:val="both"/>
        <w:rPr>
          <w:rFonts w:ascii="Times New Roman" w:hAnsi="Times New Roman" w:cs="Times New Roman"/>
          <w:color w:val="000000"/>
          <w:sz w:val="2"/>
          <w:szCs w:val="2"/>
        </w:rPr>
      </w:pPr>
    </w:p>
    <w:p w14:paraId="4393B121" w14:textId="35AAA8E1" w:rsidR="00310D85" w:rsidRPr="000319C2" w:rsidRDefault="00310D85" w:rsidP="00310D85">
      <w:pPr>
        <w:widowControl w:val="0"/>
        <w:spacing w:before="120" w:after="120" w:line="276" w:lineRule="auto"/>
        <w:jc w:val="both"/>
        <w:rPr>
          <w:rFonts w:cs="Arial"/>
          <w:b/>
          <w:bCs/>
          <w:szCs w:val="24"/>
        </w:rPr>
      </w:pPr>
      <w:bookmarkStart w:id="443" w:name="_Toc14354863"/>
      <w:r>
        <w:rPr>
          <w:rFonts w:cs="Arial"/>
          <w:b/>
          <w:bCs/>
          <w:szCs w:val="24"/>
        </w:rPr>
        <w:t xml:space="preserve">1.1.3. </w:t>
      </w:r>
      <w:bookmarkStart w:id="444" w:name="_Hlk80776736"/>
      <w:r w:rsidRPr="000239A9">
        <w:rPr>
          <w:rFonts w:cs="Times New Roman"/>
          <w:b/>
          <w:bCs/>
          <w:szCs w:val="24"/>
        </w:rPr>
        <w:t>Les collectivités locales</w:t>
      </w:r>
      <w:bookmarkEnd w:id="443"/>
      <w:bookmarkEnd w:id="444"/>
    </w:p>
    <w:p w14:paraId="13FF092C" w14:textId="77777777" w:rsidR="00310D85" w:rsidRPr="00B90B86" w:rsidRDefault="00310D85" w:rsidP="00310D85">
      <w:pPr>
        <w:widowControl w:val="0"/>
        <w:spacing w:before="120" w:after="120" w:line="276" w:lineRule="auto"/>
        <w:jc w:val="both"/>
        <w:rPr>
          <w:rFonts w:cs="Arial"/>
          <w:szCs w:val="24"/>
        </w:rPr>
      </w:pPr>
      <w:bookmarkStart w:id="445" w:name="_Hlk80776832"/>
      <w:r w:rsidRPr="00B90B86">
        <w:rPr>
          <w:rFonts w:cs="Arial"/>
          <w:szCs w:val="24"/>
        </w:rPr>
        <w:t xml:space="preserve">La responsabilisation des communautés dans le développement de leurs localités, en général, et des services de santé de proximité, en particulier, a été une option des gouvernements successifs avec notamment le lancement du PEV/SSP/ME en 1988. Cependant, les collectivités locales n’ont pas un niveau de participation significatif au financement de la santé. Elles ont une part de financement relativement faible qui, généralement, se limite à la prise en charge des salaires d’une partie du personnel contractuel, même si on relève un engagement bénéfique pour le secteur, en termes de réalisation (centres de santé, postes de santé et points d’eau), soit à partir de leurs ressources propres soit en exploitant la filière de la coopération décentralisée et les associations des ressortissants. </w:t>
      </w:r>
    </w:p>
    <w:p w14:paraId="3A0F89B8" w14:textId="77777777" w:rsidR="00310D85" w:rsidRPr="00B90B86" w:rsidRDefault="00310D85" w:rsidP="00310D85">
      <w:pPr>
        <w:widowControl w:val="0"/>
        <w:spacing w:before="60" w:after="60" w:line="276" w:lineRule="auto"/>
        <w:jc w:val="both"/>
        <w:rPr>
          <w:rFonts w:cs="Arial"/>
          <w:szCs w:val="24"/>
        </w:rPr>
      </w:pPr>
      <w:r w:rsidRPr="00B90B86">
        <w:rPr>
          <w:rFonts w:cs="Arial"/>
          <w:szCs w:val="24"/>
        </w:rPr>
        <w:lastRenderedPageBreak/>
        <w:t xml:space="preserve">Le Ministère de la Santé pourrait profiter des opportunités qu’offrent le code révisé des collectivités, la politique de décentralisation, le plan de Décentralisation et de déconcentration (DD) et le financement des communes à travers l’Agence nationale de Financement des Collectivités (ANAFIC).  </w:t>
      </w:r>
    </w:p>
    <w:p w14:paraId="01231C2F" w14:textId="5B04722E" w:rsidR="00310D85" w:rsidRPr="000319C2" w:rsidRDefault="00310D85" w:rsidP="00310D85">
      <w:pPr>
        <w:widowControl w:val="0"/>
        <w:spacing w:before="120" w:after="120" w:line="276" w:lineRule="auto"/>
        <w:jc w:val="both"/>
        <w:rPr>
          <w:rFonts w:cs="Arial"/>
          <w:b/>
          <w:bCs/>
          <w:szCs w:val="24"/>
        </w:rPr>
      </w:pPr>
      <w:bookmarkStart w:id="446" w:name="_Toc14354864"/>
      <w:bookmarkEnd w:id="445"/>
      <w:r>
        <w:rPr>
          <w:rFonts w:cs="Arial"/>
          <w:b/>
          <w:bCs/>
          <w:szCs w:val="24"/>
        </w:rPr>
        <w:t xml:space="preserve">1.1.4. </w:t>
      </w:r>
      <w:bookmarkStart w:id="447" w:name="_Hlk80776921"/>
      <w:r w:rsidRPr="000239A9">
        <w:rPr>
          <w:rFonts w:cs="Times New Roman"/>
          <w:b/>
          <w:bCs/>
          <w:szCs w:val="24"/>
        </w:rPr>
        <w:t>Le privé</w:t>
      </w:r>
      <w:bookmarkEnd w:id="446"/>
    </w:p>
    <w:p w14:paraId="3AFCDD5D" w14:textId="77777777" w:rsidR="00310D85" w:rsidRPr="00B90B86" w:rsidRDefault="00310D85" w:rsidP="00310D85">
      <w:pPr>
        <w:widowControl w:val="0"/>
        <w:spacing w:before="60" w:after="60" w:line="276" w:lineRule="auto"/>
        <w:jc w:val="both"/>
        <w:rPr>
          <w:rFonts w:cs="Arial"/>
          <w:b/>
          <w:bCs/>
          <w:szCs w:val="24"/>
        </w:rPr>
      </w:pPr>
      <w:bookmarkStart w:id="448" w:name="_Hlk80776973"/>
      <w:bookmarkEnd w:id="447"/>
      <w:r w:rsidRPr="00B90B86">
        <w:rPr>
          <w:rFonts w:cs="Arial"/>
          <w:szCs w:val="24"/>
        </w:rPr>
        <w:t>Il faut distinguer à ce niveau, différents composants qui concourent tous au financement de la santé :</w:t>
      </w:r>
    </w:p>
    <w:p w14:paraId="11C50BA9" w14:textId="77777777" w:rsidR="00310D85" w:rsidRDefault="00310D85" w:rsidP="00310D85">
      <w:pPr>
        <w:pStyle w:val="Paragraphedeliste"/>
        <w:widowControl w:val="0"/>
        <w:numPr>
          <w:ilvl w:val="0"/>
          <w:numId w:val="22"/>
        </w:numPr>
        <w:spacing w:line="276" w:lineRule="auto"/>
        <w:jc w:val="both"/>
      </w:pPr>
      <w:r w:rsidRPr="00AC5CAB">
        <w:rPr>
          <w:b/>
        </w:rPr>
        <w:t>Les entreprises </w:t>
      </w:r>
      <w:r w:rsidRPr="00B90B86">
        <w:t>: Les fonds d’investissement privés dans le développement de l’offre de soin constituent un complément, à ne pas négliger dans la satisfaction de la demande solvable. Ces fonds restent encore timides quoiqu’ils se développent</w:t>
      </w:r>
      <w:bookmarkEnd w:id="448"/>
      <w:r w:rsidRPr="00B90B86">
        <w:t>. Le Ministère de la santé manque d’information concernant ce secteur. Seuls les comptes de la santé permettent d’estimer leur contribution. Compte tenu de l’importance grandissante de l’industrie minière dans le pays, il est urgent que le Ministère de la Santé soit informé sur le niveau et les prévisions d’investissement de ce secteur dans le domaine de la santé.</w:t>
      </w:r>
    </w:p>
    <w:p w14:paraId="4F5D0D4A" w14:textId="77777777" w:rsidR="00310D85" w:rsidRPr="00B90B86" w:rsidRDefault="00310D85" w:rsidP="00310D85">
      <w:pPr>
        <w:pStyle w:val="Paragraphedeliste"/>
        <w:widowControl w:val="0"/>
        <w:numPr>
          <w:ilvl w:val="0"/>
          <w:numId w:val="22"/>
        </w:numPr>
        <w:spacing w:line="276" w:lineRule="auto"/>
        <w:jc w:val="both"/>
      </w:pPr>
      <w:r w:rsidRPr="00B90B86">
        <w:t xml:space="preserve"> </w:t>
      </w:r>
      <w:bookmarkStart w:id="449" w:name="_Hlk80777054"/>
      <w:r w:rsidRPr="00AC5CAB">
        <w:rPr>
          <w:b/>
        </w:rPr>
        <w:t>Les dons et legs :</w:t>
      </w:r>
      <w:r w:rsidRPr="00AC5CAB">
        <w:rPr>
          <w:b/>
          <w:i/>
        </w:rPr>
        <w:t xml:space="preserve"> </w:t>
      </w:r>
      <w:r w:rsidRPr="00B90B86">
        <w:t>Le privé au titre des dons et legs finance des actions de santé timidement.</w:t>
      </w:r>
      <w:bookmarkEnd w:id="449"/>
      <w:r w:rsidRPr="00B90B86">
        <w:t xml:space="preserve"> Dans ce domaine, le Ministère de la santé et ses partenaires sectoriels ne profitent pas assez des opportunités de plus en plus disponibles avec le développement des investissements privés comme les secteurs miniers et de la téléphonie…  </w:t>
      </w:r>
    </w:p>
    <w:p w14:paraId="3FD3A0E1" w14:textId="3028CCDB" w:rsidR="00310D85" w:rsidRPr="00AC5CAB" w:rsidRDefault="00310D85" w:rsidP="00310D85">
      <w:pPr>
        <w:widowControl w:val="0"/>
        <w:spacing w:before="120" w:after="120" w:line="276" w:lineRule="auto"/>
        <w:jc w:val="both"/>
        <w:rPr>
          <w:rFonts w:cs="Arial"/>
          <w:b/>
          <w:bCs/>
          <w:szCs w:val="24"/>
        </w:rPr>
      </w:pPr>
      <w:bookmarkStart w:id="450" w:name="_Toc14354865"/>
      <w:r>
        <w:rPr>
          <w:rFonts w:cs="Arial"/>
          <w:b/>
          <w:bCs/>
          <w:szCs w:val="24"/>
        </w:rPr>
        <w:t xml:space="preserve">1.1.5. </w:t>
      </w:r>
      <w:r w:rsidRPr="00AC5CAB">
        <w:rPr>
          <w:rFonts w:cs="Arial"/>
          <w:b/>
          <w:bCs/>
          <w:szCs w:val="24"/>
        </w:rPr>
        <w:t xml:space="preserve">Les </w:t>
      </w:r>
      <w:bookmarkEnd w:id="450"/>
      <w:r w:rsidRPr="00AC5CAB">
        <w:rPr>
          <w:rFonts w:cs="Arial"/>
          <w:b/>
          <w:bCs/>
          <w:szCs w:val="24"/>
        </w:rPr>
        <w:t xml:space="preserve">partenaires techniques et financiers </w:t>
      </w:r>
    </w:p>
    <w:p w14:paraId="005183C9" w14:textId="0691610A" w:rsidR="00310D85" w:rsidRPr="000E05AB" w:rsidRDefault="00310D85" w:rsidP="000E05AB">
      <w:pPr>
        <w:widowControl w:val="0"/>
        <w:spacing w:before="120" w:after="120" w:line="276" w:lineRule="auto"/>
        <w:jc w:val="both"/>
        <w:rPr>
          <w:rFonts w:cs="Arial"/>
          <w:szCs w:val="24"/>
        </w:rPr>
      </w:pPr>
      <w:r w:rsidRPr="00163570">
        <w:rPr>
          <w:rFonts w:cs="Arial"/>
          <w:szCs w:val="24"/>
        </w:rPr>
        <w:t>Les PTF, avec 15,0 % de contribution dans les dépenses de santé en 2019, constituent une source importante du financement de la santé. Ils financent l’assistance technique, les infrastructures, les équipements, les médicaments et les fonds d’indigence.</w:t>
      </w:r>
    </w:p>
    <w:p w14:paraId="012C452E" w14:textId="77777777" w:rsidR="00654821" w:rsidRPr="00B90B86" w:rsidRDefault="00654821" w:rsidP="00ED136F">
      <w:pPr>
        <w:pStyle w:val="Paragraphedeliste"/>
        <w:widowControl w:val="0"/>
        <w:numPr>
          <w:ilvl w:val="0"/>
          <w:numId w:val="30"/>
        </w:numPr>
        <w:spacing w:before="120" w:after="120" w:line="276" w:lineRule="auto"/>
        <w:contextualSpacing w:val="0"/>
        <w:jc w:val="both"/>
        <w:outlineLvl w:val="1"/>
        <w:rPr>
          <w:rFonts w:eastAsiaTheme="majorEastAsia" w:cstheme="majorBidi"/>
          <w:b/>
          <w:vanish/>
          <w:color w:val="002060"/>
          <w:szCs w:val="26"/>
        </w:rPr>
      </w:pPr>
      <w:bookmarkStart w:id="451" w:name="_Toc15660641"/>
      <w:bookmarkStart w:id="452" w:name="_Toc15660767"/>
      <w:bookmarkStart w:id="453" w:name="_Toc15755738"/>
      <w:bookmarkStart w:id="454" w:name="_Toc15885905"/>
      <w:bookmarkStart w:id="455" w:name="_Toc15887686"/>
      <w:bookmarkStart w:id="456" w:name="_Toc15891820"/>
      <w:bookmarkStart w:id="457" w:name="_Toc15909447"/>
      <w:bookmarkStart w:id="458" w:name="_Toc15910502"/>
      <w:bookmarkStart w:id="459" w:name="_Toc15910631"/>
      <w:bookmarkStart w:id="460" w:name="_Toc15921062"/>
      <w:bookmarkStart w:id="461" w:name="_Toc15922281"/>
      <w:bookmarkStart w:id="462" w:name="_Toc15924301"/>
      <w:bookmarkStart w:id="463" w:name="_Toc15938642"/>
      <w:bookmarkStart w:id="464" w:name="_Toc15968093"/>
      <w:bookmarkStart w:id="465" w:name="_Toc15969277"/>
      <w:bookmarkStart w:id="466" w:name="_Toc15969413"/>
      <w:bookmarkStart w:id="467" w:name="_Toc15969549"/>
      <w:bookmarkStart w:id="468" w:name="_Toc15971082"/>
      <w:bookmarkStart w:id="469" w:name="_Toc15971539"/>
      <w:bookmarkStart w:id="470" w:name="_Toc15971676"/>
      <w:bookmarkStart w:id="471" w:name="_Toc15977887"/>
      <w:bookmarkStart w:id="472" w:name="_Toc80611174"/>
      <w:bookmarkStart w:id="473" w:name="_Toc80611277"/>
      <w:bookmarkStart w:id="474" w:name="_Toc80787378"/>
      <w:bookmarkStart w:id="475" w:name="_Toc80788982"/>
      <w:bookmarkStart w:id="476" w:name="_Toc80789179"/>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1A66A3A5" w14:textId="77777777" w:rsidR="00654821" w:rsidRPr="00B90B86" w:rsidRDefault="00654821" w:rsidP="00ED136F">
      <w:pPr>
        <w:pStyle w:val="Paragraphedeliste"/>
        <w:widowControl w:val="0"/>
        <w:numPr>
          <w:ilvl w:val="0"/>
          <w:numId w:val="30"/>
        </w:numPr>
        <w:spacing w:before="120" w:after="120" w:line="276" w:lineRule="auto"/>
        <w:contextualSpacing w:val="0"/>
        <w:jc w:val="both"/>
        <w:outlineLvl w:val="1"/>
        <w:rPr>
          <w:rFonts w:eastAsiaTheme="majorEastAsia" w:cstheme="majorBidi"/>
          <w:b/>
          <w:vanish/>
          <w:color w:val="002060"/>
          <w:szCs w:val="26"/>
        </w:rPr>
      </w:pPr>
      <w:bookmarkStart w:id="477" w:name="_Toc15660642"/>
      <w:bookmarkStart w:id="478" w:name="_Toc15660768"/>
      <w:bookmarkStart w:id="479" w:name="_Toc15755739"/>
      <w:bookmarkStart w:id="480" w:name="_Toc15885906"/>
      <w:bookmarkStart w:id="481" w:name="_Toc15887687"/>
      <w:bookmarkStart w:id="482" w:name="_Toc15891821"/>
      <w:bookmarkStart w:id="483" w:name="_Toc15909448"/>
      <w:bookmarkStart w:id="484" w:name="_Toc15910503"/>
      <w:bookmarkStart w:id="485" w:name="_Toc15910632"/>
      <w:bookmarkStart w:id="486" w:name="_Toc15921063"/>
      <w:bookmarkStart w:id="487" w:name="_Toc15922282"/>
      <w:bookmarkStart w:id="488" w:name="_Toc15924302"/>
      <w:bookmarkStart w:id="489" w:name="_Toc15938643"/>
      <w:bookmarkStart w:id="490" w:name="_Toc15968094"/>
      <w:bookmarkStart w:id="491" w:name="_Toc15969278"/>
      <w:bookmarkStart w:id="492" w:name="_Toc15969414"/>
      <w:bookmarkStart w:id="493" w:name="_Toc15969550"/>
      <w:bookmarkStart w:id="494" w:name="_Toc15971083"/>
      <w:bookmarkStart w:id="495" w:name="_Toc15971540"/>
      <w:bookmarkStart w:id="496" w:name="_Toc15971677"/>
      <w:bookmarkStart w:id="497" w:name="_Toc15977888"/>
      <w:bookmarkStart w:id="498" w:name="_Toc80611175"/>
      <w:bookmarkStart w:id="499" w:name="_Toc80611278"/>
      <w:bookmarkStart w:id="500" w:name="_Toc80787379"/>
      <w:bookmarkStart w:id="501" w:name="_Toc80788983"/>
      <w:bookmarkStart w:id="502" w:name="_Toc80789180"/>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6EA0B1AE" w14:textId="77777777" w:rsidR="00654821" w:rsidRPr="00B90B86" w:rsidRDefault="00654821" w:rsidP="00ED136F">
      <w:pPr>
        <w:pStyle w:val="Paragraphedeliste"/>
        <w:widowControl w:val="0"/>
        <w:numPr>
          <w:ilvl w:val="0"/>
          <w:numId w:val="30"/>
        </w:numPr>
        <w:spacing w:before="120" w:after="120" w:line="276" w:lineRule="auto"/>
        <w:contextualSpacing w:val="0"/>
        <w:jc w:val="both"/>
        <w:outlineLvl w:val="1"/>
        <w:rPr>
          <w:rFonts w:eastAsiaTheme="majorEastAsia" w:cstheme="majorBidi"/>
          <w:b/>
          <w:vanish/>
          <w:color w:val="002060"/>
          <w:szCs w:val="26"/>
        </w:rPr>
      </w:pPr>
      <w:bookmarkStart w:id="503" w:name="_Toc15660643"/>
      <w:bookmarkStart w:id="504" w:name="_Toc15660769"/>
      <w:bookmarkStart w:id="505" w:name="_Toc15755740"/>
      <w:bookmarkStart w:id="506" w:name="_Toc15885907"/>
      <w:bookmarkStart w:id="507" w:name="_Toc15887688"/>
      <w:bookmarkStart w:id="508" w:name="_Toc15891822"/>
      <w:bookmarkStart w:id="509" w:name="_Toc15909449"/>
      <w:bookmarkStart w:id="510" w:name="_Toc15910504"/>
      <w:bookmarkStart w:id="511" w:name="_Toc15910633"/>
      <w:bookmarkStart w:id="512" w:name="_Toc15921064"/>
      <w:bookmarkStart w:id="513" w:name="_Toc15922283"/>
      <w:bookmarkStart w:id="514" w:name="_Toc15924303"/>
      <w:bookmarkStart w:id="515" w:name="_Toc15938644"/>
      <w:bookmarkStart w:id="516" w:name="_Toc15968095"/>
      <w:bookmarkStart w:id="517" w:name="_Toc15969279"/>
      <w:bookmarkStart w:id="518" w:name="_Toc15969415"/>
      <w:bookmarkStart w:id="519" w:name="_Toc15969551"/>
      <w:bookmarkStart w:id="520" w:name="_Toc15971084"/>
      <w:bookmarkStart w:id="521" w:name="_Toc15971541"/>
      <w:bookmarkStart w:id="522" w:name="_Toc15971678"/>
      <w:bookmarkStart w:id="523" w:name="_Toc15977889"/>
      <w:bookmarkStart w:id="524" w:name="_Toc80611176"/>
      <w:bookmarkStart w:id="525" w:name="_Toc80611279"/>
      <w:bookmarkStart w:id="526" w:name="_Toc80787380"/>
      <w:bookmarkStart w:id="527" w:name="_Toc80788984"/>
      <w:bookmarkStart w:id="528" w:name="_Toc80789181"/>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25CD4328" w14:textId="77777777" w:rsidR="00654821" w:rsidRPr="00B90B86" w:rsidRDefault="00654821" w:rsidP="00ED136F">
      <w:pPr>
        <w:pStyle w:val="Paragraphedeliste"/>
        <w:widowControl w:val="0"/>
        <w:numPr>
          <w:ilvl w:val="0"/>
          <w:numId w:val="30"/>
        </w:numPr>
        <w:spacing w:before="120" w:after="120" w:line="276" w:lineRule="auto"/>
        <w:contextualSpacing w:val="0"/>
        <w:jc w:val="both"/>
        <w:outlineLvl w:val="1"/>
        <w:rPr>
          <w:rFonts w:eastAsiaTheme="majorEastAsia" w:cstheme="majorBidi"/>
          <w:b/>
          <w:vanish/>
          <w:color w:val="002060"/>
          <w:szCs w:val="26"/>
        </w:rPr>
      </w:pPr>
      <w:bookmarkStart w:id="529" w:name="_Toc15660644"/>
      <w:bookmarkStart w:id="530" w:name="_Toc15660770"/>
      <w:bookmarkStart w:id="531" w:name="_Toc15755741"/>
      <w:bookmarkStart w:id="532" w:name="_Toc15885908"/>
      <w:bookmarkStart w:id="533" w:name="_Toc15887689"/>
      <w:bookmarkStart w:id="534" w:name="_Toc15891823"/>
      <w:bookmarkStart w:id="535" w:name="_Toc15909450"/>
      <w:bookmarkStart w:id="536" w:name="_Toc15910505"/>
      <w:bookmarkStart w:id="537" w:name="_Toc15910634"/>
      <w:bookmarkStart w:id="538" w:name="_Toc15921065"/>
      <w:bookmarkStart w:id="539" w:name="_Toc15922284"/>
      <w:bookmarkStart w:id="540" w:name="_Toc15924304"/>
      <w:bookmarkStart w:id="541" w:name="_Toc15938645"/>
      <w:bookmarkStart w:id="542" w:name="_Toc15968096"/>
      <w:bookmarkStart w:id="543" w:name="_Toc15969280"/>
      <w:bookmarkStart w:id="544" w:name="_Toc15969416"/>
      <w:bookmarkStart w:id="545" w:name="_Toc15969552"/>
      <w:bookmarkStart w:id="546" w:name="_Toc15971085"/>
      <w:bookmarkStart w:id="547" w:name="_Toc15971542"/>
      <w:bookmarkStart w:id="548" w:name="_Toc15971679"/>
      <w:bookmarkStart w:id="549" w:name="_Toc15977890"/>
      <w:bookmarkStart w:id="550" w:name="_Toc80611177"/>
      <w:bookmarkStart w:id="551" w:name="_Toc80611280"/>
      <w:bookmarkStart w:id="552" w:name="_Toc80787381"/>
      <w:bookmarkStart w:id="553" w:name="_Toc80788985"/>
      <w:bookmarkStart w:id="554" w:name="_Toc807891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4E9616CB" w14:textId="77777777" w:rsidR="00654821" w:rsidRPr="00B90B86" w:rsidRDefault="00654821" w:rsidP="00ED136F">
      <w:pPr>
        <w:pStyle w:val="Paragraphedeliste"/>
        <w:widowControl w:val="0"/>
        <w:numPr>
          <w:ilvl w:val="0"/>
          <w:numId w:val="30"/>
        </w:numPr>
        <w:spacing w:before="120" w:after="120" w:line="276" w:lineRule="auto"/>
        <w:contextualSpacing w:val="0"/>
        <w:jc w:val="both"/>
        <w:outlineLvl w:val="1"/>
        <w:rPr>
          <w:rFonts w:eastAsiaTheme="majorEastAsia" w:cstheme="majorBidi"/>
          <w:b/>
          <w:vanish/>
          <w:color w:val="002060"/>
          <w:szCs w:val="26"/>
        </w:rPr>
      </w:pPr>
      <w:bookmarkStart w:id="555" w:name="_Toc15660645"/>
      <w:bookmarkStart w:id="556" w:name="_Toc15660771"/>
      <w:bookmarkStart w:id="557" w:name="_Toc15755742"/>
      <w:bookmarkStart w:id="558" w:name="_Toc15885909"/>
      <w:bookmarkStart w:id="559" w:name="_Toc15887690"/>
      <w:bookmarkStart w:id="560" w:name="_Toc15891824"/>
      <w:bookmarkStart w:id="561" w:name="_Toc15909451"/>
      <w:bookmarkStart w:id="562" w:name="_Toc15910506"/>
      <w:bookmarkStart w:id="563" w:name="_Toc15910635"/>
      <w:bookmarkStart w:id="564" w:name="_Toc15921066"/>
      <w:bookmarkStart w:id="565" w:name="_Toc15922285"/>
      <w:bookmarkStart w:id="566" w:name="_Toc15924305"/>
      <w:bookmarkStart w:id="567" w:name="_Toc15938646"/>
      <w:bookmarkStart w:id="568" w:name="_Toc15968097"/>
      <w:bookmarkStart w:id="569" w:name="_Toc15969281"/>
      <w:bookmarkStart w:id="570" w:name="_Toc15969417"/>
      <w:bookmarkStart w:id="571" w:name="_Toc15969553"/>
      <w:bookmarkStart w:id="572" w:name="_Toc15971086"/>
      <w:bookmarkStart w:id="573" w:name="_Toc15971543"/>
      <w:bookmarkStart w:id="574" w:name="_Toc15971680"/>
      <w:bookmarkStart w:id="575" w:name="_Toc15977891"/>
      <w:bookmarkStart w:id="576" w:name="_Toc80611178"/>
      <w:bookmarkStart w:id="577" w:name="_Toc80611281"/>
      <w:bookmarkStart w:id="578" w:name="_Toc80787382"/>
      <w:bookmarkStart w:id="579" w:name="_Toc80788986"/>
      <w:bookmarkStart w:id="580" w:name="_Toc8078918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6EF54B9A" w14:textId="77777777" w:rsidR="00654821" w:rsidRPr="00B90B86" w:rsidRDefault="00654821" w:rsidP="00654821">
      <w:pPr>
        <w:pStyle w:val="Paragraphedeliste"/>
        <w:widowControl w:val="0"/>
        <w:numPr>
          <w:ilvl w:val="0"/>
          <w:numId w:val="2"/>
        </w:numPr>
        <w:spacing w:before="120" w:after="120" w:line="276" w:lineRule="auto"/>
        <w:ind w:left="432" w:hanging="432"/>
        <w:contextualSpacing w:val="0"/>
        <w:jc w:val="both"/>
        <w:outlineLvl w:val="1"/>
        <w:rPr>
          <w:rFonts w:eastAsiaTheme="majorEastAsia" w:cstheme="majorBidi"/>
          <w:b/>
          <w:vanish/>
          <w:color w:val="002060"/>
          <w:szCs w:val="26"/>
        </w:rPr>
      </w:pPr>
      <w:bookmarkStart w:id="581" w:name="_Toc15660646"/>
      <w:bookmarkStart w:id="582" w:name="_Toc15660772"/>
      <w:bookmarkStart w:id="583" w:name="_Toc15755743"/>
      <w:bookmarkStart w:id="584" w:name="_Toc15885910"/>
      <w:bookmarkStart w:id="585" w:name="_Toc15887691"/>
      <w:bookmarkStart w:id="586" w:name="_Toc15891825"/>
      <w:bookmarkStart w:id="587" w:name="_Toc15909452"/>
      <w:bookmarkStart w:id="588" w:name="_Toc15910507"/>
      <w:bookmarkStart w:id="589" w:name="_Toc15910636"/>
      <w:bookmarkStart w:id="590" w:name="_Toc15921067"/>
      <w:bookmarkStart w:id="591" w:name="_Toc15922286"/>
      <w:bookmarkStart w:id="592" w:name="_Toc15924306"/>
      <w:bookmarkStart w:id="593" w:name="_Toc15938647"/>
      <w:bookmarkStart w:id="594" w:name="_Toc15968098"/>
      <w:bookmarkStart w:id="595" w:name="_Toc15969282"/>
      <w:bookmarkStart w:id="596" w:name="_Toc15969418"/>
      <w:bookmarkStart w:id="597" w:name="_Toc15969554"/>
      <w:bookmarkStart w:id="598" w:name="_Toc15971087"/>
      <w:bookmarkStart w:id="599" w:name="_Toc15971544"/>
      <w:bookmarkStart w:id="600" w:name="_Toc15971681"/>
      <w:bookmarkStart w:id="601" w:name="_Toc15977892"/>
      <w:bookmarkStart w:id="602" w:name="_Toc80611179"/>
      <w:bookmarkStart w:id="603" w:name="_Toc80611282"/>
      <w:bookmarkStart w:id="604" w:name="_Toc80787383"/>
      <w:bookmarkStart w:id="605" w:name="_Toc80788987"/>
      <w:bookmarkStart w:id="606" w:name="_Toc8078918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53623553" w14:textId="77777777" w:rsidR="00654821" w:rsidRPr="00B90B86" w:rsidRDefault="00654821" w:rsidP="00654821">
      <w:pPr>
        <w:pStyle w:val="Paragraphedeliste"/>
        <w:widowControl w:val="0"/>
        <w:numPr>
          <w:ilvl w:val="0"/>
          <w:numId w:val="13"/>
        </w:numPr>
        <w:spacing w:before="120" w:after="120" w:line="276" w:lineRule="auto"/>
        <w:contextualSpacing w:val="0"/>
        <w:jc w:val="both"/>
        <w:outlineLvl w:val="1"/>
        <w:rPr>
          <w:rFonts w:eastAsiaTheme="majorEastAsia" w:cstheme="majorBidi"/>
          <w:b/>
          <w:vanish/>
          <w:color w:val="002060"/>
          <w:szCs w:val="26"/>
        </w:rPr>
      </w:pPr>
      <w:bookmarkStart w:id="607" w:name="_Toc15660647"/>
      <w:bookmarkStart w:id="608" w:name="_Toc15660773"/>
      <w:bookmarkStart w:id="609" w:name="_Toc15755744"/>
      <w:bookmarkStart w:id="610" w:name="_Toc15885911"/>
      <w:bookmarkStart w:id="611" w:name="_Toc15887692"/>
      <w:bookmarkStart w:id="612" w:name="_Toc15891826"/>
      <w:bookmarkStart w:id="613" w:name="_Toc15909453"/>
      <w:bookmarkStart w:id="614" w:name="_Toc15910508"/>
      <w:bookmarkStart w:id="615" w:name="_Toc15910637"/>
      <w:bookmarkStart w:id="616" w:name="_Toc15921068"/>
      <w:bookmarkStart w:id="617" w:name="_Toc15922287"/>
      <w:bookmarkStart w:id="618" w:name="_Toc15924307"/>
      <w:bookmarkStart w:id="619" w:name="_Toc15938648"/>
      <w:bookmarkStart w:id="620" w:name="_Toc15968099"/>
      <w:bookmarkStart w:id="621" w:name="_Toc15969283"/>
      <w:bookmarkStart w:id="622" w:name="_Toc15969419"/>
      <w:bookmarkStart w:id="623" w:name="_Toc15969555"/>
      <w:bookmarkStart w:id="624" w:name="_Toc15971088"/>
      <w:bookmarkStart w:id="625" w:name="_Toc15971545"/>
      <w:bookmarkStart w:id="626" w:name="_Toc15971682"/>
      <w:bookmarkStart w:id="627" w:name="_Toc15977893"/>
      <w:bookmarkStart w:id="628" w:name="_Toc80611180"/>
      <w:bookmarkStart w:id="629" w:name="_Toc80611283"/>
      <w:bookmarkStart w:id="630" w:name="_Toc80787384"/>
      <w:bookmarkStart w:id="631" w:name="_Toc80788988"/>
      <w:bookmarkStart w:id="632" w:name="_Toc80789185"/>
      <w:bookmarkStart w:id="633" w:name="_Toc14354860"/>
      <w:bookmarkStart w:id="634" w:name="_Toc14867833"/>
      <w:bookmarkStart w:id="635" w:name="_Toc1487153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79A49E05" w14:textId="77777777" w:rsidR="00654821" w:rsidRPr="00B90B86" w:rsidRDefault="00654821" w:rsidP="00654821">
      <w:pPr>
        <w:pStyle w:val="Paragraphedeliste"/>
        <w:widowControl w:val="0"/>
        <w:numPr>
          <w:ilvl w:val="0"/>
          <w:numId w:val="13"/>
        </w:numPr>
        <w:spacing w:before="120" w:after="120" w:line="276" w:lineRule="auto"/>
        <w:contextualSpacing w:val="0"/>
        <w:jc w:val="both"/>
        <w:outlineLvl w:val="1"/>
        <w:rPr>
          <w:rFonts w:eastAsiaTheme="majorEastAsia" w:cstheme="majorBidi"/>
          <w:b/>
          <w:vanish/>
          <w:color w:val="002060"/>
          <w:szCs w:val="26"/>
        </w:rPr>
      </w:pPr>
      <w:bookmarkStart w:id="636" w:name="_Toc15660648"/>
      <w:bookmarkStart w:id="637" w:name="_Toc15660774"/>
      <w:bookmarkStart w:id="638" w:name="_Toc15755745"/>
      <w:bookmarkStart w:id="639" w:name="_Toc15885912"/>
      <w:bookmarkStart w:id="640" w:name="_Toc15887693"/>
      <w:bookmarkStart w:id="641" w:name="_Toc15891827"/>
      <w:bookmarkStart w:id="642" w:name="_Toc15909454"/>
      <w:bookmarkStart w:id="643" w:name="_Toc15910509"/>
      <w:bookmarkStart w:id="644" w:name="_Toc15910638"/>
      <w:bookmarkStart w:id="645" w:name="_Toc15921069"/>
      <w:bookmarkStart w:id="646" w:name="_Toc15922288"/>
      <w:bookmarkStart w:id="647" w:name="_Toc15924308"/>
      <w:bookmarkStart w:id="648" w:name="_Toc15938649"/>
      <w:bookmarkStart w:id="649" w:name="_Toc15968100"/>
      <w:bookmarkStart w:id="650" w:name="_Toc15969284"/>
      <w:bookmarkStart w:id="651" w:name="_Toc15969420"/>
      <w:bookmarkStart w:id="652" w:name="_Toc15969556"/>
      <w:bookmarkStart w:id="653" w:name="_Toc15971089"/>
      <w:bookmarkStart w:id="654" w:name="_Toc15971546"/>
      <w:bookmarkStart w:id="655" w:name="_Toc15971683"/>
      <w:bookmarkStart w:id="656" w:name="_Toc15977894"/>
      <w:bookmarkStart w:id="657" w:name="_Toc80611181"/>
      <w:bookmarkStart w:id="658" w:name="_Toc80611284"/>
      <w:bookmarkStart w:id="659" w:name="_Toc80787385"/>
      <w:bookmarkStart w:id="660" w:name="_Toc80788989"/>
      <w:bookmarkStart w:id="661" w:name="_Toc80789186"/>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3B4F2319" w14:textId="77777777" w:rsidR="00654821" w:rsidRPr="00B90B86" w:rsidRDefault="00654821" w:rsidP="00654821">
      <w:pPr>
        <w:pStyle w:val="Paragraphedeliste"/>
        <w:widowControl w:val="0"/>
        <w:numPr>
          <w:ilvl w:val="0"/>
          <w:numId w:val="13"/>
        </w:numPr>
        <w:spacing w:before="120" w:after="120" w:line="276" w:lineRule="auto"/>
        <w:contextualSpacing w:val="0"/>
        <w:jc w:val="both"/>
        <w:outlineLvl w:val="1"/>
        <w:rPr>
          <w:rFonts w:eastAsiaTheme="majorEastAsia" w:cstheme="majorBidi"/>
          <w:b/>
          <w:vanish/>
          <w:color w:val="002060"/>
          <w:szCs w:val="26"/>
        </w:rPr>
      </w:pPr>
      <w:bookmarkStart w:id="662" w:name="_Toc15660649"/>
      <w:bookmarkStart w:id="663" w:name="_Toc15660775"/>
      <w:bookmarkStart w:id="664" w:name="_Toc15755746"/>
      <w:bookmarkStart w:id="665" w:name="_Toc15885913"/>
      <w:bookmarkStart w:id="666" w:name="_Toc15887694"/>
      <w:bookmarkStart w:id="667" w:name="_Toc15891828"/>
      <w:bookmarkStart w:id="668" w:name="_Toc15909455"/>
      <w:bookmarkStart w:id="669" w:name="_Toc15910510"/>
      <w:bookmarkStart w:id="670" w:name="_Toc15910639"/>
      <w:bookmarkStart w:id="671" w:name="_Toc15921070"/>
      <w:bookmarkStart w:id="672" w:name="_Toc15922289"/>
      <w:bookmarkStart w:id="673" w:name="_Toc15924309"/>
      <w:bookmarkStart w:id="674" w:name="_Toc15938650"/>
      <w:bookmarkStart w:id="675" w:name="_Toc15968101"/>
      <w:bookmarkStart w:id="676" w:name="_Toc15969285"/>
      <w:bookmarkStart w:id="677" w:name="_Toc15969421"/>
      <w:bookmarkStart w:id="678" w:name="_Toc15969557"/>
      <w:bookmarkStart w:id="679" w:name="_Toc15971090"/>
      <w:bookmarkStart w:id="680" w:name="_Toc15971547"/>
      <w:bookmarkStart w:id="681" w:name="_Toc15971684"/>
      <w:bookmarkStart w:id="682" w:name="_Toc15977895"/>
      <w:bookmarkStart w:id="683" w:name="_Toc80611182"/>
      <w:bookmarkStart w:id="684" w:name="_Toc80611285"/>
      <w:bookmarkStart w:id="685" w:name="_Toc80787386"/>
      <w:bookmarkStart w:id="686" w:name="_Toc80788990"/>
      <w:bookmarkStart w:id="687" w:name="_Toc80789187"/>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66024488" w14:textId="77777777" w:rsidR="00654821" w:rsidRPr="00B90B86" w:rsidRDefault="00654821" w:rsidP="00654821">
      <w:pPr>
        <w:pStyle w:val="Paragraphedeliste"/>
        <w:widowControl w:val="0"/>
        <w:numPr>
          <w:ilvl w:val="0"/>
          <w:numId w:val="13"/>
        </w:numPr>
        <w:spacing w:before="120" w:after="120" w:line="276" w:lineRule="auto"/>
        <w:contextualSpacing w:val="0"/>
        <w:jc w:val="both"/>
        <w:outlineLvl w:val="1"/>
        <w:rPr>
          <w:rFonts w:eastAsiaTheme="majorEastAsia" w:cstheme="majorBidi"/>
          <w:b/>
          <w:vanish/>
          <w:color w:val="002060"/>
          <w:szCs w:val="26"/>
        </w:rPr>
      </w:pPr>
      <w:bookmarkStart w:id="688" w:name="_Toc15660650"/>
      <w:bookmarkStart w:id="689" w:name="_Toc15660776"/>
      <w:bookmarkStart w:id="690" w:name="_Toc15755747"/>
      <w:bookmarkStart w:id="691" w:name="_Toc15885914"/>
      <w:bookmarkStart w:id="692" w:name="_Toc15887695"/>
      <w:bookmarkStart w:id="693" w:name="_Toc15891829"/>
      <w:bookmarkStart w:id="694" w:name="_Toc15909456"/>
      <w:bookmarkStart w:id="695" w:name="_Toc15910511"/>
      <w:bookmarkStart w:id="696" w:name="_Toc15910640"/>
      <w:bookmarkStart w:id="697" w:name="_Toc15921071"/>
      <w:bookmarkStart w:id="698" w:name="_Toc15922290"/>
      <w:bookmarkStart w:id="699" w:name="_Toc15924310"/>
      <w:bookmarkStart w:id="700" w:name="_Toc15938651"/>
      <w:bookmarkStart w:id="701" w:name="_Toc15968102"/>
      <w:bookmarkStart w:id="702" w:name="_Toc15969286"/>
      <w:bookmarkStart w:id="703" w:name="_Toc15969422"/>
      <w:bookmarkStart w:id="704" w:name="_Toc15969558"/>
      <w:bookmarkStart w:id="705" w:name="_Toc15971091"/>
      <w:bookmarkStart w:id="706" w:name="_Toc15971548"/>
      <w:bookmarkStart w:id="707" w:name="_Toc15971685"/>
      <w:bookmarkStart w:id="708" w:name="_Toc15977896"/>
      <w:bookmarkStart w:id="709" w:name="_Toc80611183"/>
      <w:bookmarkStart w:id="710" w:name="_Toc80611286"/>
      <w:bookmarkStart w:id="711" w:name="_Toc80787387"/>
      <w:bookmarkStart w:id="712" w:name="_Toc80788991"/>
      <w:bookmarkStart w:id="713" w:name="_Toc80789188"/>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000BF611" w14:textId="77777777" w:rsidR="00654821" w:rsidRPr="00B90B86" w:rsidRDefault="00654821" w:rsidP="00654821">
      <w:pPr>
        <w:pStyle w:val="Paragraphedeliste"/>
        <w:widowControl w:val="0"/>
        <w:numPr>
          <w:ilvl w:val="0"/>
          <w:numId w:val="14"/>
        </w:numPr>
        <w:spacing w:before="120" w:after="120" w:line="276" w:lineRule="auto"/>
        <w:contextualSpacing w:val="0"/>
        <w:jc w:val="both"/>
        <w:outlineLvl w:val="1"/>
        <w:rPr>
          <w:rFonts w:eastAsiaTheme="majorEastAsia" w:cstheme="majorBidi"/>
          <w:b/>
          <w:vanish/>
          <w:color w:val="002060"/>
          <w:szCs w:val="26"/>
        </w:rPr>
      </w:pPr>
      <w:bookmarkStart w:id="714" w:name="_Toc15755748"/>
      <w:bookmarkStart w:id="715" w:name="_Toc15885915"/>
      <w:bookmarkStart w:id="716" w:name="_Toc15887696"/>
      <w:bookmarkStart w:id="717" w:name="_Toc15891830"/>
      <w:bookmarkStart w:id="718" w:name="_Toc15909457"/>
      <w:bookmarkStart w:id="719" w:name="_Toc15910512"/>
      <w:bookmarkStart w:id="720" w:name="_Toc15910641"/>
      <w:bookmarkStart w:id="721" w:name="_Toc15921072"/>
      <w:bookmarkStart w:id="722" w:name="_Toc15922291"/>
      <w:bookmarkStart w:id="723" w:name="_Toc15924311"/>
      <w:bookmarkStart w:id="724" w:name="_Toc15938652"/>
      <w:bookmarkStart w:id="725" w:name="_Toc15968103"/>
      <w:bookmarkStart w:id="726" w:name="_Toc15969287"/>
      <w:bookmarkStart w:id="727" w:name="_Toc15969423"/>
      <w:bookmarkStart w:id="728" w:name="_Toc15969559"/>
      <w:bookmarkStart w:id="729" w:name="_Toc15971092"/>
      <w:bookmarkStart w:id="730" w:name="_Toc15971549"/>
      <w:bookmarkStart w:id="731" w:name="_Toc15971686"/>
      <w:bookmarkStart w:id="732" w:name="_Toc15977897"/>
      <w:bookmarkStart w:id="733" w:name="_Toc80611184"/>
      <w:bookmarkStart w:id="734" w:name="_Toc80611287"/>
      <w:bookmarkStart w:id="735" w:name="_Toc80787388"/>
      <w:bookmarkStart w:id="736" w:name="_Toc80788992"/>
      <w:bookmarkStart w:id="737" w:name="_Toc80789189"/>
      <w:bookmarkStart w:id="738" w:name="_Toc15660777"/>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65EBA9CA" w14:textId="77777777" w:rsidR="00654821" w:rsidRPr="000913D5" w:rsidRDefault="00654821" w:rsidP="00654821">
      <w:pPr>
        <w:pStyle w:val="Paragraphedeliste"/>
        <w:widowControl w:val="0"/>
        <w:numPr>
          <w:ilvl w:val="0"/>
          <w:numId w:val="16"/>
        </w:numPr>
        <w:spacing w:before="120" w:after="120" w:line="276" w:lineRule="auto"/>
        <w:contextualSpacing w:val="0"/>
        <w:jc w:val="both"/>
        <w:outlineLvl w:val="1"/>
        <w:rPr>
          <w:rFonts w:eastAsiaTheme="majorEastAsia" w:cstheme="majorBidi"/>
          <w:b/>
          <w:vanish/>
          <w:color w:val="002060"/>
          <w:szCs w:val="26"/>
        </w:rPr>
      </w:pPr>
      <w:bookmarkStart w:id="739" w:name="_Toc15969288"/>
      <w:bookmarkStart w:id="740" w:name="_Toc15969424"/>
      <w:bookmarkStart w:id="741" w:name="_Toc15969560"/>
      <w:bookmarkStart w:id="742" w:name="_Toc15971093"/>
      <w:bookmarkStart w:id="743" w:name="_Toc15971550"/>
      <w:bookmarkStart w:id="744" w:name="_Toc15971687"/>
      <w:bookmarkStart w:id="745" w:name="_Toc15977898"/>
      <w:bookmarkStart w:id="746" w:name="_Toc80611185"/>
      <w:bookmarkStart w:id="747" w:name="_Toc80611288"/>
      <w:bookmarkStart w:id="748" w:name="_Toc80787389"/>
      <w:bookmarkStart w:id="749" w:name="_Toc80788993"/>
      <w:bookmarkStart w:id="750" w:name="_Toc80789190"/>
      <w:bookmarkEnd w:id="739"/>
      <w:bookmarkEnd w:id="740"/>
      <w:bookmarkEnd w:id="741"/>
      <w:bookmarkEnd w:id="742"/>
      <w:bookmarkEnd w:id="743"/>
      <w:bookmarkEnd w:id="744"/>
      <w:bookmarkEnd w:id="745"/>
      <w:bookmarkEnd w:id="746"/>
      <w:bookmarkEnd w:id="747"/>
      <w:bookmarkEnd w:id="748"/>
      <w:bookmarkEnd w:id="749"/>
      <w:bookmarkEnd w:id="750"/>
    </w:p>
    <w:p w14:paraId="1CDD8C65" w14:textId="77777777" w:rsidR="00654821" w:rsidRPr="005F1FEB" w:rsidRDefault="00654821" w:rsidP="00654821">
      <w:pPr>
        <w:pStyle w:val="Paragraphedeliste"/>
        <w:widowControl w:val="0"/>
        <w:numPr>
          <w:ilvl w:val="0"/>
          <w:numId w:val="17"/>
        </w:numPr>
        <w:tabs>
          <w:tab w:val="left" w:pos="426"/>
        </w:tabs>
        <w:spacing w:before="120" w:after="120" w:line="276" w:lineRule="auto"/>
        <w:contextualSpacing w:val="0"/>
        <w:jc w:val="both"/>
        <w:outlineLvl w:val="1"/>
        <w:rPr>
          <w:rFonts w:eastAsiaTheme="majorEastAsia" w:cstheme="majorBidi"/>
          <w:b/>
          <w:vanish/>
          <w:color w:val="002060"/>
          <w:szCs w:val="26"/>
        </w:rPr>
      </w:pPr>
      <w:bookmarkStart w:id="751" w:name="_Toc15977899"/>
      <w:bookmarkStart w:id="752" w:name="_Toc80611186"/>
      <w:bookmarkStart w:id="753" w:name="_Toc80611289"/>
      <w:bookmarkStart w:id="754" w:name="_Toc80787390"/>
      <w:bookmarkStart w:id="755" w:name="_Toc80788994"/>
      <w:bookmarkStart w:id="756" w:name="_Toc80789191"/>
      <w:bookmarkStart w:id="757" w:name="_Toc15977905"/>
      <w:bookmarkEnd w:id="751"/>
      <w:bookmarkEnd w:id="752"/>
      <w:bookmarkEnd w:id="753"/>
      <w:bookmarkEnd w:id="754"/>
      <w:bookmarkEnd w:id="755"/>
      <w:bookmarkEnd w:id="756"/>
    </w:p>
    <w:p w14:paraId="6A55C6EA" w14:textId="77777777" w:rsidR="00654821" w:rsidRPr="005F1FEB" w:rsidRDefault="00654821" w:rsidP="00654821">
      <w:pPr>
        <w:pStyle w:val="Paragraphedeliste"/>
        <w:widowControl w:val="0"/>
        <w:numPr>
          <w:ilvl w:val="0"/>
          <w:numId w:val="12"/>
        </w:numPr>
        <w:spacing w:before="120" w:after="120" w:line="276" w:lineRule="auto"/>
        <w:contextualSpacing w:val="0"/>
        <w:jc w:val="both"/>
        <w:outlineLvl w:val="2"/>
        <w:rPr>
          <w:rFonts w:eastAsiaTheme="majorEastAsia" w:cstheme="majorBidi"/>
          <w:b/>
          <w:vanish/>
          <w:color w:val="002060"/>
          <w:szCs w:val="24"/>
        </w:rPr>
      </w:pPr>
      <w:bookmarkStart w:id="758" w:name="_Toc15977906"/>
      <w:bookmarkEnd w:id="633"/>
      <w:bookmarkEnd w:id="634"/>
      <w:bookmarkEnd w:id="635"/>
      <w:bookmarkEnd w:id="738"/>
      <w:bookmarkEnd w:id="757"/>
    </w:p>
    <w:p w14:paraId="77BCE85B" w14:textId="77777777" w:rsidR="00654821" w:rsidRPr="005F1FEB" w:rsidRDefault="00654821" w:rsidP="00654821">
      <w:pPr>
        <w:pStyle w:val="Paragraphedeliste"/>
        <w:widowControl w:val="0"/>
        <w:numPr>
          <w:ilvl w:val="0"/>
          <w:numId w:val="12"/>
        </w:numPr>
        <w:spacing w:before="120" w:after="120" w:line="276" w:lineRule="auto"/>
        <w:contextualSpacing w:val="0"/>
        <w:jc w:val="both"/>
        <w:outlineLvl w:val="2"/>
        <w:rPr>
          <w:rFonts w:eastAsiaTheme="majorEastAsia" w:cstheme="majorBidi"/>
          <w:b/>
          <w:vanish/>
          <w:color w:val="002060"/>
          <w:szCs w:val="24"/>
        </w:rPr>
      </w:pPr>
    </w:p>
    <w:p w14:paraId="252AD3BC" w14:textId="77777777" w:rsidR="00654821" w:rsidRPr="005F1FEB" w:rsidRDefault="00654821" w:rsidP="00654821">
      <w:pPr>
        <w:pStyle w:val="Paragraphedeliste"/>
        <w:widowControl w:val="0"/>
        <w:numPr>
          <w:ilvl w:val="0"/>
          <w:numId w:val="12"/>
        </w:numPr>
        <w:spacing w:before="120" w:after="120" w:line="276" w:lineRule="auto"/>
        <w:contextualSpacing w:val="0"/>
        <w:jc w:val="both"/>
        <w:outlineLvl w:val="2"/>
        <w:rPr>
          <w:rFonts w:eastAsiaTheme="majorEastAsia" w:cstheme="majorBidi"/>
          <w:b/>
          <w:vanish/>
          <w:color w:val="002060"/>
          <w:szCs w:val="24"/>
        </w:rPr>
      </w:pPr>
    </w:p>
    <w:p w14:paraId="7709A3B1" w14:textId="77777777" w:rsidR="00654821" w:rsidRPr="005F1FEB" w:rsidRDefault="00654821" w:rsidP="00654821">
      <w:pPr>
        <w:pStyle w:val="Paragraphedeliste"/>
        <w:widowControl w:val="0"/>
        <w:numPr>
          <w:ilvl w:val="0"/>
          <w:numId w:val="12"/>
        </w:numPr>
        <w:spacing w:before="120" w:after="120" w:line="276" w:lineRule="auto"/>
        <w:contextualSpacing w:val="0"/>
        <w:jc w:val="both"/>
        <w:outlineLvl w:val="2"/>
        <w:rPr>
          <w:rFonts w:eastAsiaTheme="majorEastAsia" w:cstheme="majorBidi"/>
          <w:b/>
          <w:vanish/>
          <w:color w:val="002060"/>
          <w:szCs w:val="24"/>
        </w:rPr>
      </w:pPr>
    </w:p>
    <w:p w14:paraId="47D9B9AE" w14:textId="77777777" w:rsidR="00654821" w:rsidRPr="005F1FEB" w:rsidRDefault="00654821" w:rsidP="00654821">
      <w:pPr>
        <w:pStyle w:val="Paragraphedeliste"/>
        <w:widowControl w:val="0"/>
        <w:numPr>
          <w:ilvl w:val="0"/>
          <w:numId w:val="12"/>
        </w:numPr>
        <w:spacing w:before="120" w:after="120" w:line="276" w:lineRule="auto"/>
        <w:contextualSpacing w:val="0"/>
        <w:jc w:val="both"/>
        <w:outlineLvl w:val="2"/>
        <w:rPr>
          <w:rFonts w:eastAsiaTheme="majorEastAsia" w:cstheme="majorBidi"/>
          <w:b/>
          <w:vanish/>
          <w:color w:val="002060"/>
          <w:szCs w:val="24"/>
        </w:rPr>
      </w:pPr>
    </w:p>
    <w:p w14:paraId="06B53622" w14:textId="77777777" w:rsidR="00654821" w:rsidRPr="005F1FEB" w:rsidRDefault="00654821" w:rsidP="00654821">
      <w:pPr>
        <w:pStyle w:val="Paragraphedeliste"/>
        <w:widowControl w:val="0"/>
        <w:numPr>
          <w:ilvl w:val="0"/>
          <w:numId w:val="12"/>
        </w:numPr>
        <w:spacing w:before="120" w:after="120" w:line="276" w:lineRule="auto"/>
        <w:contextualSpacing w:val="0"/>
        <w:jc w:val="both"/>
        <w:outlineLvl w:val="2"/>
        <w:rPr>
          <w:rFonts w:eastAsiaTheme="majorEastAsia" w:cstheme="majorBidi"/>
          <w:b/>
          <w:vanish/>
          <w:color w:val="002060"/>
          <w:szCs w:val="24"/>
        </w:rPr>
      </w:pPr>
    </w:p>
    <w:p w14:paraId="70EA7BBC" w14:textId="77777777" w:rsidR="00654821" w:rsidRPr="005F1FEB" w:rsidRDefault="00654821" w:rsidP="00654821">
      <w:pPr>
        <w:pStyle w:val="Paragraphedeliste"/>
        <w:widowControl w:val="0"/>
        <w:numPr>
          <w:ilvl w:val="1"/>
          <w:numId w:val="12"/>
        </w:numPr>
        <w:spacing w:before="120" w:after="120" w:line="276" w:lineRule="auto"/>
        <w:contextualSpacing w:val="0"/>
        <w:jc w:val="both"/>
        <w:outlineLvl w:val="2"/>
        <w:rPr>
          <w:rFonts w:eastAsiaTheme="majorEastAsia" w:cstheme="majorBidi"/>
          <w:b/>
          <w:vanish/>
          <w:color w:val="002060"/>
          <w:szCs w:val="24"/>
        </w:rPr>
      </w:pPr>
    </w:p>
    <w:p w14:paraId="3FBCE9DE" w14:textId="01C673FD" w:rsidR="00654821" w:rsidRPr="00685C03" w:rsidRDefault="00AC5CAB" w:rsidP="00D238C3">
      <w:pPr>
        <w:pStyle w:val="Titre2"/>
        <w:numPr>
          <w:ilvl w:val="1"/>
          <w:numId w:val="31"/>
        </w:numPr>
      </w:pPr>
      <w:bookmarkStart w:id="759" w:name="_Toc14354866"/>
      <w:bookmarkStart w:id="760" w:name="_Toc14867835"/>
      <w:bookmarkStart w:id="761" w:name="_Toc14871535"/>
      <w:bookmarkStart w:id="762" w:name="_Toc15660785"/>
      <w:bookmarkStart w:id="763" w:name="_Toc15977913"/>
      <w:bookmarkStart w:id="764" w:name="_Toc80789192"/>
      <w:bookmarkEnd w:id="758"/>
      <w:r w:rsidRPr="00685C03">
        <w:t xml:space="preserve">La </w:t>
      </w:r>
      <w:r w:rsidR="00654821" w:rsidRPr="00685C03">
        <w:t>Mise en commun des ressources</w:t>
      </w:r>
      <w:bookmarkEnd w:id="759"/>
      <w:bookmarkEnd w:id="760"/>
      <w:bookmarkEnd w:id="761"/>
      <w:bookmarkEnd w:id="762"/>
      <w:bookmarkEnd w:id="763"/>
      <w:bookmarkEnd w:id="764"/>
      <w:r w:rsidR="00654821" w:rsidRPr="00685C03">
        <w:t xml:space="preserve"> </w:t>
      </w:r>
    </w:p>
    <w:p w14:paraId="4D64ADFC" w14:textId="77777777" w:rsidR="00654821" w:rsidRPr="00B90B86" w:rsidRDefault="00654821" w:rsidP="00654821">
      <w:pPr>
        <w:widowControl w:val="0"/>
        <w:spacing w:after="80" w:line="276" w:lineRule="auto"/>
        <w:jc w:val="both"/>
        <w:rPr>
          <w:rFonts w:cs="Arial"/>
          <w:szCs w:val="24"/>
        </w:rPr>
      </w:pPr>
      <w:r w:rsidRPr="00B90B86">
        <w:rPr>
          <w:rFonts w:cs="Arial"/>
          <w:szCs w:val="24"/>
        </w:rPr>
        <w:t xml:space="preserve">Les contributions des diverses sources de financement sont mises en commun et organisées à travers divers guichets : le Ministère de la santé, la CNSS, la Caisse Nationale de Prévoyance Sociale, l’INAMO, les assurances privées, les mutuelles, les assurances non contributives et les caisses de recouvrement de coût. </w:t>
      </w:r>
    </w:p>
    <w:p w14:paraId="2A738034" w14:textId="77777777" w:rsidR="00654821" w:rsidRPr="00B90B86" w:rsidRDefault="00654821" w:rsidP="00654821">
      <w:pPr>
        <w:pStyle w:val="Paragraphedeliste"/>
        <w:widowControl w:val="0"/>
        <w:numPr>
          <w:ilvl w:val="0"/>
          <w:numId w:val="7"/>
        </w:numPr>
        <w:spacing w:line="276" w:lineRule="auto"/>
        <w:ind w:left="284" w:hanging="284"/>
        <w:rPr>
          <w:b/>
          <w:color w:val="002060"/>
        </w:rPr>
      </w:pPr>
      <w:bookmarkStart w:id="765" w:name="_Toc14354867"/>
      <w:r w:rsidRPr="00B90B86">
        <w:rPr>
          <w:b/>
          <w:color w:val="002060"/>
        </w:rPr>
        <w:t>Le guichet du Ministère de la santé</w:t>
      </w:r>
      <w:bookmarkEnd w:id="765"/>
      <w:r w:rsidRPr="00B90B86">
        <w:rPr>
          <w:b/>
          <w:color w:val="002060"/>
        </w:rPr>
        <w:t> </w:t>
      </w:r>
    </w:p>
    <w:p w14:paraId="2C0A14B2" w14:textId="7C83E7E7" w:rsidR="00654821" w:rsidRPr="00B90B86" w:rsidRDefault="00654821" w:rsidP="00654821">
      <w:pPr>
        <w:pStyle w:val="Paragraphedeliste"/>
        <w:widowControl w:val="0"/>
        <w:numPr>
          <w:ilvl w:val="0"/>
          <w:numId w:val="1"/>
        </w:numPr>
        <w:spacing w:after="80" w:line="276" w:lineRule="auto"/>
        <w:ind w:left="426" w:hanging="284"/>
        <w:contextualSpacing w:val="0"/>
        <w:jc w:val="both"/>
        <w:rPr>
          <w:rFonts w:cs="Arial"/>
          <w:szCs w:val="24"/>
        </w:rPr>
      </w:pPr>
      <w:r w:rsidRPr="00B90B86">
        <w:rPr>
          <w:rFonts w:cs="Arial"/>
          <w:b/>
          <w:szCs w:val="24"/>
        </w:rPr>
        <w:t>Préparation du budget</w:t>
      </w:r>
      <w:r w:rsidRPr="00B90B86">
        <w:rPr>
          <w:rFonts w:cs="Arial"/>
          <w:b/>
          <w:i/>
          <w:szCs w:val="24"/>
        </w:rPr>
        <w:t xml:space="preserve"> : </w:t>
      </w:r>
      <w:r w:rsidRPr="00B90B86">
        <w:rPr>
          <w:rFonts w:cs="Arial"/>
          <w:szCs w:val="24"/>
        </w:rPr>
        <w:t xml:space="preserve">Les ressources proviennent essentiellement du Ministère de l’Economie et des Finances à travers le budget de l’Etat. Au début de chaque année budgétaire, les indicateurs macroéconomiques sont évalués pour montrer les possibilités de mobilisation des ressources publiques par le Ministère en charge des finances. Elles sont réparties aux différents secteurs de développement socioéconomique du pays en fonction des priorités gouvernementales. Pour la préparation du budget, le Ministère de la Santé se réfère au cadrage budgétaire envoyé par le ministère en charge </w:t>
      </w:r>
      <w:r w:rsidR="002B3C6A" w:rsidRPr="00B90B86">
        <w:rPr>
          <w:rFonts w:cs="Arial"/>
          <w:szCs w:val="24"/>
        </w:rPr>
        <w:t>des finances</w:t>
      </w:r>
      <w:r w:rsidRPr="00B90B86">
        <w:rPr>
          <w:rFonts w:cs="Arial"/>
          <w:szCs w:val="24"/>
        </w:rPr>
        <w:t>. Ce cadrage donne des orientations sur la répartition des prévisions suivant les titres budgétaires. La DAF</w:t>
      </w:r>
      <w:r>
        <w:rPr>
          <w:rFonts w:cs="Arial"/>
          <w:szCs w:val="24"/>
        </w:rPr>
        <w:t>,</w:t>
      </w:r>
      <w:r w:rsidRPr="00B90B86">
        <w:rPr>
          <w:rFonts w:cs="Arial"/>
          <w:szCs w:val="24"/>
        </w:rPr>
        <w:t xml:space="preserve"> en collaboration avec le BSD, analyse ce cadrage pour se rassurer que ce dernier corrobore avec les priorités du Ministère de la Santé. Par la suite, un feedback est fait au Ministère en charge des </w:t>
      </w:r>
      <w:r w:rsidRPr="00B90B86">
        <w:rPr>
          <w:rFonts w:cs="Arial"/>
          <w:szCs w:val="24"/>
        </w:rPr>
        <w:lastRenderedPageBreak/>
        <w:t xml:space="preserve">finances. Il faudra cependant noter que les analyses faites par le MS ne se réfèrent pas souvent aux besoins spécifiques des structures déconcentrées du Ministère de la Santé. </w:t>
      </w:r>
    </w:p>
    <w:p w14:paraId="19C8C749" w14:textId="2860A42F" w:rsidR="00654821" w:rsidRPr="00B90B86" w:rsidRDefault="00654821" w:rsidP="00654821">
      <w:pPr>
        <w:pStyle w:val="Paragraphedeliste"/>
        <w:widowControl w:val="0"/>
        <w:numPr>
          <w:ilvl w:val="0"/>
          <w:numId w:val="1"/>
        </w:numPr>
        <w:spacing w:after="80" w:line="276" w:lineRule="auto"/>
        <w:ind w:left="426" w:hanging="284"/>
        <w:contextualSpacing w:val="0"/>
        <w:jc w:val="both"/>
      </w:pPr>
      <w:r w:rsidRPr="00B90B86">
        <w:rPr>
          <w:rFonts w:cs="Arial"/>
          <w:b/>
          <w:szCs w:val="24"/>
        </w:rPr>
        <w:t>Exécution</w:t>
      </w:r>
      <w:r w:rsidRPr="00B90B86">
        <w:rPr>
          <w:b/>
          <w:i/>
        </w:rPr>
        <w:t xml:space="preserve"> </w:t>
      </w:r>
      <w:r w:rsidRPr="00B90B86">
        <w:rPr>
          <w:b/>
        </w:rPr>
        <w:t>du budget</w:t>
      </w:r>
      <w:r w:rsidRPr="00B90B86">
        <w:rPr>
          <w:b/>
          <w:i/>
        </w:rPr>
        <w:t> </w:t>
      </w:r>
      <w:r w:rsidRPr="000F51BC">
        <w:rPr>
          <w:b/>
          <w:iCs/>
        </w:rPr>
        <w:t>:</w:t>
      </w:r>
      <w:r w:rsidRPr="00B90B86">
        <w:rPr>
          <w:b/>
          <w:i/>
        </w:rPr>
        <w:t xml:space="preserve"> </w:t>
      </w:r>
      <w:r w:rsidRPr="00B90B86">
        <w:t xml:space="preserve">Après notification, les crédits sont logés au niveau de la chaîne des dépenses. A </w:t>
      </w:r>
      <w:r w:rsidR="002B3C6A">
        <w:t xml:space="preserve">ce </w:t>
      </w:r>
      <w:r w:rsidRPr="00B90B86">
        <w:t>niveau, le comité d’engagement des dépenses, élabore les plans d’engagement trimestriels pour les titres 3, 4 et 5. Par la suite, le comité interne d’engagement élabore et transmet les priorités trimestrielles à la DAF du MS, qui, à son tour, procède à l’engagement des dépenses. Le BSD et la DAF devraient étroitement collaborer dans l’exécution budgétaire, mais le constat actuel montre que cette collaboration reste faible.</w:t>
      </w:r>
    </w:p>
    <w:p w14:paraId="4691EE19" w14:textId="77777777" w:rsidR="00654821" w:rsidRPr="00B90B86" w:rsidRDefault="00654821" w:rsidP="00654821">
      <w:pPr>
        <w:pStyle w:val="Paragraphedeliste"/>
        <w:widowControl w:val="0"/>
        <w:numPr>
          <w:ilvl w:val="0"/>
          <w:numId w:val="1"/>
        </w:numPr>
        <w:spacing w:after="80" w:line="276" w:lineRule="auto"/>
        <w:ind w:left="426" w:hanging="284"/>
        <w:contextualSpacing w:val="0"/>
        <w:jc w:val="both"/>
        <w:rPr>
          <w:b/>
          <w:i/>
        </w:rPr>
      </w:pPr>
      <w:r w:rsidRPr="00B90B86">
        <w:rPr>
          <w:rFonts w:cs="Arial"/>
          <w:b/>
          <w:szCs w:val="24"/>
        </w:rPr>
        <w:t>Contrôle</w:t>
      </w:r>
      <w:r w:rsidRPr="00B90B86">
        <w:rPr>
          <w:b/>
        </w:rPr>
        <w:t xml:space="preserve"> de l’exécution budgétaire :</w:t>
      </w:r>
      <w:r w:rsidRPr="00B90B86">
        <w:rPr>
          <w:b/>
          <w:i/>
        </w:rPr>
        <w:t xml:space="preserve"> </w:t>
      </w:r>
      <w:r w:rsidRPr="00B90B86">
        <w:t xml:space="preserve">Le contrôleur financier, représentant du Ministère des finances, valide et engage l’Etat dans l’engagement des dépenses. Il vérifie l’éligibilité et la conformité de la dépense (contrôle à priori). A la fin de chaque année, les inspecteurs des finances du Ministère en charge des finances, procèdent à un contrôle des dépenses exécutées (contrôle à posteriori).  Il y a aussi des inspecteurs d’Etat (présidence) qui font le même travail que ceux du Ministère en charge des finances. </w:t>
      </w:r>
    </w:p>
    <w:p w14:paraId="6767FFDC" w14:textId="77777777" w:rsidR="00654821" w:rsidRPr="00B90B86" w:rsidRDefault="00654821" w:rsidP="00654821">
      <w:pPr>
        <w:pStyle w:val="Paragraphedeliste"/>
        <w:widowControl w:val="0"/>
        <w:numPr>
          <w:ilvl w:val="0"/>
          <w:numId w:val="7"/>
        </w:numPr>
        <w:spacing w:before="120" w:after="120" w:line="276" w:lineRule="auto"/>
        <w:ind w:left="284" w:hanging="284"/>
        <w:jc w:val="both"/>
        <w:rPr>
          <w:b/>
          <w:color w:val="002060"/>
        </w:rPr>
      </w:pPr>
      <w:bookmarkStart w:id="766" w:name="_Toc14354868"/>
      <w:r w:rsidRPr="00B90B86">
        <w:rPr>
          <w:b/>
          <w:color w:val="002060"/>
        </w:rPr>
        <w:t>Le guichet collectivités locales (mairies)</w:t>
      </w:r>
      <w:bookmarkEnd w:id="766"/>
    </w:p>
    <w:p w14:paraId="1BCF7F67" w14:textId="77777777" w:rsidR="00654821" w:rsidRPr="00B90B86" w:rsidRDefault="00654821" w:rsidP="00654821">
      <w:pPr>
        <w:widowControl w:val="0"/>
        <w:spacing w:after="80" w:line="276" w:lineRule="auto"/>
        <w:jc w:val="both"/>
        <w:rPr>
          <w:rFonts w:cs="Arial"/>
          <w:b/>
          <w:i/>
          <w:szCs w:val="24"/>
        </w:rPr>
      </w:pPr>
      <w:r w:rsidRPr="00B90B86">
        <w:rPr>
          <w:rFonts w:cs="Arial"/>
          <w:szCs w:val="24"/>
        </w:rPr>
        <w:t>Ce guichet est caractérisé par une faible contribution au financement des services de santé et une faible capacité fiscale. La responsabilisation plus accrue des collectivités par le code révisé des collectivités et la politique nationale de la santé communautaire appuyée par l’initiative de financement des programmes de développement local à travers l’ANAFIC ouvre des perspectives de renforcement du rôle et des capacités de ces entités dans le financement de la santé</w:t>
      </w:r>
      <w:r w:rsidRPr="00B90B86">
        <w:rPr>
          <w:rFonts w:cs="Arial"/>
          <w:b/>
          <w:i/>
          <w:szCs w:val="24"/>
        </w:rPr>
        <w:t xml:space="preserve">. </w:t>
      </w:r>
    </w:p>
    <w:p w14:paraId="02575C27" w14:textId="77777777" w:rsidR="00654821" w:rsidRPr="00B90B86" w:rsidRDefault="00654821" w:rsidP="00654821">
      <w:pPr>
        <w:pStyle w:val="Paragraphedeliste"/>
        <w:widowControl w:val="0"/>
        <w:numPr>
          <w:ilvl w:val="0"/>
          <w:numId w:val="7"/>
        </w:numPr>
        <w:spacing w:line="276" w:lineRule="auto"/>
        <w:ind w:left="284" w:hanging="284"/>
        <w:rPr>
          <w:b/>
          <w:color w:val="002060"/>
        </w:rPr>
      </w:pPr>
      <w:bookmarkStart w:id="767" w:name="_Toc14354869"/>
      <w:r w:rsidRPr="00B90B86">
        <w:rPr>
          <w:b/>
          <w:color w:val="002060"/>
        </w:rPr>
        <w:t>Les guichets assurantiels</w:t>
      </w:r>
      <w:bookmarkEnd w:id="767"/>
      <w:r w:rsidRPr="00B90B86">
        <w:rPr>
          <w:b/>
          <w:color w:val="002060"/>
        </w:rPr>
        <w:t> </w:t>
      </w:r>
    </w:p>
    <w:p w14:paraId="6C76ED73" w14:textId="77777777" w:rsidR="00654821" w:rsidRPr="00B90B86" w:rsidRDefault="00654821" w:rsidP="00654821">
      <w:pPr>
        <w:widowControl w:val="0"/>
        <w:spacing w:before="120" w:after="60" w:line="276" w:lineRule="auto"/>
        <w:jc w:val="both"/>
        <w:rPr>
          <w:rFonts w:cs="Arial"/>
          <w:szCs w:val="24"/>
        </w:rPr>
      </w:pPr>
      <w:r w:rsidRPr="00B90B86">
        <w:rPr>
          <w:rFonts w:cs="Arial"/>
          <w:szCs w:val="24"/>
        </w:rPr>
        <w:t>En plus du financement public, il existe des caisses assurantielles volontaires ou obligatoires dont l’importance et la contribution reste assez disparate d’une institution à une autre en termes de taux de pénétration, de capacité de prise en charge et couverture territoriale. Les plus importantes sont :</w:t>
      </w:r>
    </w:p>
    <w:p w14:paraId="29805835"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 xml:space="preserve">La Caisse nationale de Sécurité sociale (CNSS), sous la tutelle du Ministère en charge du travail, couvre essentiellement le secteur privé formel ;  </w:t>
      </w:r>
    </w:p>
    <w:p w14:paraId="3BC4A45F"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La Caisse nationale de Prévoyance sociale, sous la tutelle du Ministère en charge de la fonction publique, couvre les fonctionnaires retraités ;</w:t>
      </w:r>
    </w:p>
    <w:p w14:paraId="01E2B66B"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 xml:space="preserve">L’Institut national d’Assurance-maladie obligatoire (INAMO), sous la tutelle du Ministère en charge de la Fonction publique, couvre les fonctionnaires de l’Etat ; </w:t>
      </w:r>
    </w:p>
    <w:p w14:paraId="717CDB8B"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 xml:space="preserve">Les Assurances privées couvrent le secteur privé et les « riches » ;  </w:t>
      </w:r>
    </w:p>
    <w:p w14:paraId="5DFF57EF" w14:textId="77777777" w:rsidR="00654821" w:rsidRPr="00B90B86" w:rsidRDefault="00654821" w:rsidP="00654821">
      <w:pPr>
        <w:pStyle w:val="Paragraphedeliste"/>
        <w:widowControl w:val="0"/>
        <w:numPr>
          <w:ilvl w:val="0"/>
          <w:numId w:val="1"/>
        </w:numPr>
        <w:spacing w:after="0" w:line="276" w:lineRule="auto"/>
        <w:ind w:left="426" w:hanging="284"/>
        <w:jc w:val="both"/>
        <w:rPr>
          <w:rFonts w:cs="Arial"/>
          <w:szCs w:val="24"/>
        </w:rPr>
      </w:pPr>
      <w:r w:rsidRPr="00B90B86">
        <w:rPr>
          <w:rFonts w:cs="Arial"/>
          <w:szCs w:val="24"/>
        </w:rPr>
        <w:t>Les mutuelles, sous la tutelle du Ministère en charge des affaires sociales, couvrent essentiellement le secteur informel.</w:t>
      </w:r>
    </w:p>
    <w:p w14:paraId="27DD6715" w14:textId="6B6476B0" w:rsidR="00654821" w:rsidRPr="00B90B86" w:rsidRDefault="00654821" w:rsidP="00654821">
      <w:pPr>
        <w:widowControl w:val="0"/>
        <w:spacing w:before="80" w:after="0" w:line="276" w:lineRule="auto"/>
        <w:jc w:val="both"/>
        <w:rPr>
          <w:rFonts w:cs="Arial"/>
          <w:szCs w:val="24"/>
        </w:rPr>
      </w:pPr>
      <w:r w:rsidRPr="00B90B86">
        <w:rPr>
          <w:rFonts w:cs="Arial"/>
          <w:szCs w:val="24"/>
        </w:rPr>
        <w:t>Ces guichets couvrirent 2%</w:t>
      </w:r>
      <w:r w:rsidRPr="00B90B86">
        <w:rPr>
          <w:vertAlign w:val="superscript"/>
        </w:rPr>
        <w:footnoteReference w:id="2"/>
      </w:r>
      <w:r w:rsidRPr="00B90B86">
        <w:rPr>
          <w:rFonts w:cs="Arial"/>
          <w:szCs w:val="24"/>
        </w:rPr>
        <w:t xml:space="preserve"> des dépenses de santé, ce qui est le reflet de leur faible taux de pénétration.</w:t>
      </w:r>
    </w:p>
    <w:p w14:paraId="73C862BF" w14:textId="77777777" w:rsidR="00654821" w:rsidRPr="00B90B86" w:rsidRDefault="00654821" w:rsidP="00654821">
      <w:pPr>
        <w:widowControl w:val="0"/>
        <w:spacing w:before="120" w:after="120" w:line="276" w:lineRule="auto"/>
        <w:jc w:val="both"/>
        <w:rPr>
          <w:rFonts w:cs="Arial"/>
          <w:szCs w:val="24"/>
        </w:rPr>
      </w:pPr>
      <w:r w:rsidRPr="00B90B86">
        <w:rPr>
          <w:rFonts w:cs="Arial"/>
          <w:szCs w:val="24"/>
        </w:rPr>
        <w:lastRenderedPageBreak/>
        <w:t>Il faut noter que, pour ces guichets, il existe très peu d’informations concernant la constitution des fonds, leur gestion et les modalités d’achat des prestations avec les structures de production de soins.</w:t>
      </w:r>
    </w:p>
    <w:p w14:paraId="69813C95" w14:textId="77777777" w:rsidR="00654821" w:rsidRPr="00B90B86" w:rsidRDefault="00654821" w:rsidP="00654821">
      <w:pPr>
        <w:pStyle w:val="Paragraphedeliste"/>
        <w:widowControl w:val="0"/>
        <w:numPr>
          <w:ilvl w:val="0"/>
          <w:numId w:val="7"/>
        </w:numPr>
        <w:spacing w:line="276" w:lineRule="auto"/>
        <w:ind w:left="284" w:hanging="284"/>
        <w:rPr>
          <w:b/>
          <w:color w:val="002060"/>
        </w:rPr>
      </w:pPr>
      <w:bookmarkStart w:id="768" w:name="_Toc14354870"/>
      <w:r w:rsidRPr="00B90B86">
        <w:rPr>
          <w:b/>
          <w:color w:val="002060"/>
        </w:rPr>
        <w:t>Guichet recouvrement de coûts</w:t>
      </w:r>
      <w:bookmarkEnd w:id="768"/>
      <w:r w:rsidRPr="00B90B86">
        <w:rPr>
          <w:b/>
          <w:color w:val="002060"/>
        </w:rPr>
        <w:t> </w:t>
      </w:r>
    </w:p>
    <w:p w14:paraId="1DFE226E" w14:textId="77777777" w:rsidR="00654821" w:rsidRPr="00B90B86" w:rsidRDefault="00654821" w:rsidP="00654821">
      <w:pPr>
        <w:widowControl w:val="0"/>
        <w:spacing w:before="120" w:after="120" w:line="276" w:lineRule="auto"/>
        <w:jc w:val="both"/>
        <w:rPr>
          <w:rFonts w:cs="Arial"/>
          <w:szCs w:val="24"/>
        </w:rPr>
      </w:pPr>
      <w:bookmarkStart w:id="769" w:name="_Hlk80777581"/>
      <w:r w:rsidRPr="00B90B86">
        <w:rPr>
          <w:rFonts w:cs="Arial"/>
          <w:szCs w:val="24"/>
        </w:rPr>
        <w:t>Il résulte de la réforme introduite par l’initiative de Bamako. Chaque structure publique de production de soins est autorisée à vendre des prestations pour générer des fonds qui seront réutilisés pour assurer le fonctionnement de la structure.</w:t>
      </w:r>
    </w:p>
    <w:bookmarkEnd w:id="769"/>
    <w:p w14:paraId="397BAAEE" w14:textId="77777777" w:rsidR="00654821" w:rsidRPr="00B90B86" w:rsidRDefault="00654821" w:rsidP="00654821">
      <w:pPr>
        <w:widowControl w:val="0"/>
        <w:spacing w:before="120" w:after="120" w:line="276" w:lineRule="auto"/>
        <w:jc w:val="both"/>
        <w:rPr>
          <w:rFonts w:cs="Arial"/>
          <w:szCs w:val="24"/>
        </w:rPr>
      </w:pPr>
      <w:r w:rsidRPr="00B90B86">
        <w:rPr>
          <w:rFonts w:cs="Arial"/>
          <w:szCs w:val="24"/>
        </w:rPr>
        <w:t>Ces mécanismes de financement (à l’exception du recouvrement des coûts tel que pratiqué présentement) devraient assurer la protection de la population contre les dépenses catastrophiques ou appauvrissantes dues à la consommation des prestations de santé. Ainsi, les barrières financières à l’accès à ces prestations seraient levées. Le dispositif améliorerait la qualité des services et leur utilisation</w:t>
      </w:r>
      <w:r w:rsidRPr="00B90B86">
        <w:rPr>
          <w:rFonts w:cs="Arial"/>
          <w:szCs w:val="24"/>
          <w:vertAlign w:val="superscript"/>
        </w:rPr>
        <w:footnoteReference w:id="3"/>
      </w:r>
      <w:r w:rsidRPr="00B90B86">
        <w:rPr>
          <w:rFonts w:cs="Arial"/>
          <w:szCs w:val="24"/>
        </w:rPr>
        <w:t>, et contribuerait à atteindre la couverture sanitaire universelle.</w:t>
      </w:r>
    </w:p>
    <w:p w14:paraId="5859458D" w14:textId="77777777" w:rsidR="00654821" w:rsidRPr="00B90B86" w:rsidRDefault="00654821" w:rsidP="00654821">
      <w:pPr>
        <w:widowControl w:val="0"/>
        <w:spacing w:before="120" w:after="120" w:line="276" w:lineRule="auto"/>
        <w:jc w:val="both"/>
        <w:rPr>
          <w:rFonts w:cs="Arial"/>
          <w:szCs w:val="24"/>
        </w:rPr>
      </w:pPr>
      <w:r w:rsidRPr="00B90B86">
        <w:rPr>
          <w:rFonts w:cs="Arial"/>
          <w:szCs w:val="24"/>
        </w:rPr>
        <w:t>Toutefois, tous ces mécanismes, comme on le voit, sous la tutelle de divers secteurs du développement, sont segmentaires et pas coordonnés. Or, la CSU demande des efforts concertés pour réduire les disparités d'accès par l’élimination des obstacles, notamment financiers, auxquels sont confrontées les communautés</w:t>
      </w:r>
      <w:r w:rsidRPr="00B90B86">
        <w:rPr>
          <w:rFonts w:cs="Arial"/>
          <w:szCs w:val="24"/>
          <w:vertAlign w:val="superscript"/>
        </w:rPr>
        <w:footnoteReference w:id="4"/>
      </w:r>
      <w:r w:rsidRPr="00B90B86">
        <w:rPr>
          <w:rFonts w:cs="Arial"/>
          <w:szCs w:val="24"/>
        </w:rPr>
        <w:t xml:space="preserve">. Il en résulte leur faible efficacité actuelle pour la protection des populations contre les effets déplorables des dépenses de santé. </w:t>
      </w:r>
    </w:p>
    <w:p w14:paraId="73CE0AEF" w14:textId="51DB36DF" w:rsidR="00654821" w:rsidRPr="00B90B86" w:rsidRDefault="00654821" w:rsidP="00654821">
      <w:pPr>
        <w:widowControl w:val="0"/>
        <w:spacing w:before="120" w:after="120" w:line="276" w:lineRule="auto"/>
        <w:jc w:val="both"/>
        <w:rPr>
          <w:rFonts w:cs="Arial"/>
          <w:szCs w:val="24"/>
        </w:rPr>
      </w:pPr>
      <w:r w:rsidRPr="00B90B86">
        <w:rPr>
          <w:rFonts w:cs="Arial"/>
          <w:szCs w:val="24"/>
        </w:rPr>
        <w:t xml:space="preserve">Par ailleurs, l’évaluation de la couverture sanitaire universelle en Guinée en 2017 avait signalé que « le manque d’engouement pour le mouvement d’assurance santé, notamment mutualiste, souligne la nécessité que les autorités apportent un soutien fort pour sa promotion tant en milieu urbain qu’en milieu </w:t>
      </w:r>
      <w:r w:rsidR="00B265FB" w:rsidRPr="00B90B86">
        <w:rPr>
          <w:rFonts w:cs="Arial"/>
          <w:szCs w:val="24"/>
        </w:rPr>
        <w:t>rural »</w:t>
      </w:r>
      <w:r w:rsidRPr="00B90B86">
        <w:rPr>
          <w:rFonts w:cs="Arial"/>
          <w:szCs w:val="24"/>
          <w:vertAlign w:val="superscript"/>
        </w:rPr>
        <w:footnoteReference w:id="5"/>
      </w:r>
      <w:r w:rsidRPr="00B90B86">
        <w:rPr>
          <w:rFonts w:cs="Arial"/>
          <w:szCs w:val="24"/>
          <w:vertAlign w:val="superscript"/>
        </w:rPr>
        <w:t xml:space="preserve"> </w:t>
      </w:r>
      <w:r w:rsidRPr="00B90B86">
        <w:rPr>
          <w:rFonts w:cs="Arial"/>
          <w:szCs w:val="24"/>
        </w:rPr>
        <w:t>.</w:t>
      </w:r>
    </w:p>
    <w:p w14:paraId="4286756D" w14:textId="77777777" w:rsidR="00654821" w:rsidRPr="00B90B86" w:rsidRDefault="00654821" w:rsidP="00654821">
      <w:pPr>
        <w:widowControl w:val="0"/>
        <w:spacing w:before="120" w:after="120" w:line="276" w:lineRule="auto"/>
        <w:jc w:val="both"/>
        <w:rPr>
          <w:rFonts w:cs="Arial"/>
          <w:szCs w:val="24"/>
        </w:rPr>
      </w:pPr>
      <w:r w:rsidRPr="00B90B86">
        <w:rPr>
          <w:rFonts w:cs="Arial"/>
          <w:szCs w:val="24"/>
        </w:rPr>
        <w:t>Cette situation nuit à l’accès aux services de santé, contribuant probablement à expliquer la faible proportion de la population (26%) qui utilise les services de santé</w:t>
      </w:r>
      <w:r w:rsidRPr="00B90B86">
        <w:rPr>
          <w:rFonts w:cs="Arial"/>
          <w:szCs w:val="24"/>
          <w:vertAlign w:val="superscript"/>
        </w:rPr>
        <w:footnoteReference w:id="6"/>
      </w:r>
      <w:r w:rsidRPr="00B90B86">
        <w:rPr>
          <w:rFonts w:cs="Arial"/>
          <w:szCs w:val="24"/>
          <w:vertAlign w:val="superscript"/>
        </w:rPr>
        <w:t>,</w:t>
      </w:r>
      <w:r w:rsidRPr="00B90B86">
        <w:rPr>
          <w:rFonts w:cs="Arial"/>
          <w:szCs w:val="24"/>
          <w:vertAlign w:val="superscript"/>
        </w:rPr>
        <w:footnoteReference w:id="7"/>
      </w:r>
      <w:r w:rsidRPr="00B90B86">
        <w:rPr>
          <w:rFonts w:cs="Arial"/>
          <w:szCs w:val="24"/>
          <w:vertAlign w:val="superscript"/>
        </w:rPr>
        <w:t>,</w:t>
      </w:r>
      <w:r w:rsidRPr="00B90B86">
        <w:rPr>
          <w:rFonts w:cs="Arial"/>
          <w:szCs w:val="24"/>
          <w:vertAlign w:val="superscript"/>
        </w:rPr>
        <w:footnoteReference w:id="8"/>
      </w:r>
      <w:r w:rsidRPr="00B90B86">
        <w:rPr>
          <w:rFonts w:cs="Arial"/>
          <w:szCs w:val="24"/>
        </w:rPr>
        <w:t>. En effet, ce niveau de fréquentation n’est pas en cohérence avec le profil épidémiologique du pays.</w:t>
      </w:r>
      <w:bookmarkStart w:id="770" w:name="_Toc15660660"/>
      <w:bookmarkStart w:id="771" w:name="_Toc15660786"/>
      <w:bookmarkStart w:id="772" w:name="_Toc15660661"/>
      <w:bookmarkStart w:id="773" w:name="_Toc15660787"/>
      <w:bookmarkStart w:id="774" w:name="_Toc15660662"/>
      <w:bookmarkStart w:id="775" w:name="_Toc15660788"/>
      <w:bookmarkStart w:id="776" w:name="_Toc15660663"/>
      <w:bookmarkStart w:id="777" w:name="_Toc15660789"/>
      <w:bookmarkStart w:id="778" w:name="_Toc15660664"/>
      <w:bookmarkStart w:id="779" w:name="_Toc15660790"/>
      <w:bookmarkStart w:id="780" w:name="_Toc15660665"/>
      <w:bookmarkStart w:id="781" w:name="_Toc15660791"/>
      <w:bookmarkStart w:id="782" w:name="_Toc14354871"/>
      <w:bookmarkStart w:id="783" w:name="_Toc14867836"/>
      <w:bookmarkStart w:id="784" w:name="_Toc14871536"/>
      <w:bookmarkEnd w:id="770"/>
      <w:bookmarkEnd w:id="771"/>
      <w:bookmarkEnd w:id="772"/>
      <w:bookmarkEnd w:id="773"/>
      <w:bookmarkEnd w:id="774"/>
      <w:bookmarkEnd w:id="775"/>
      <w:bookmarkEnd w:id="776"/>
      <w:bookmarkEnd w:id="777"/>
      <w:bookmarkEnd w:id="778"/>
      <w:bookmarkEnd w:id="779"/>
      <w:bookmarkEnd w:id="780"/>
      <w:bookmarkEnd w:id="781"/>
    </w:p>
    <w:p w14:paraId="3B53A127" w14:textId="246AED7B" w:rsidR="00654821" w:rsidRPr="00B90B86" w:rsidRDefault="00654821" w:rsidP="00D238C3">
      <w:pPr>
        <w:pStyle w:val="Titre2"/>
        <w:numPr>
          <w:ilvl w:val="1"/>
          <w:numId w:val="31"/>
        </w:numPr>
      </w:pPr>
      <w:bookmarkStart w:id="785" w:name="_Toc15660792"/>
      <w:bookmarkStart w:id="786" w:name="_Toc15977914"/>
      <w:bookmarkStart w:id="787" w:name="_Toc80789193"/>
      <w:r w:rsidRPr="00685C03">
        <w:t>Achat des prestations</w:t>
      </w:r>
      <w:bookmarkEnd w:id="782"/>
      <w:bookmarkEnd w:id="783"/>
      <w:bookmarkEnd w:id="784"/>
      <w:bookmarkEnd w:id="785"/>
      <w:bookmarkEnd w:id="786"/>
      <w:bookmarkEnd w:id="787"/>
    </w:p>
    <w:p w14:paraId="125A24BF" w14:textId="77777777" w:rsidR="00654821" w:rsidRPr="00B90B86" w:rsidRDefault="00654821" w:rsidP="00654821">
      <w:pPr>
        <w:widowControl w:val="0"/>
        <w:spacing w:before="120" w:after="60" w:line="276" w:lineRule="auto"/>
        <w:jc w:val="both"/>
        <w:rPr>
          <w:rFonts w:cs="Arial"/>
          <w:szCs w:val="24"/>
        </w:rPr>
      </w:pPr>
      <w:r w:rsidRPr="00F11758">
        <w:rPr>
          <w:rFonts w:cs="Arial"/>
          <w:szCs w:val="24"/>
        </w:rPr>
        <w:t>L’achat des prestations de soins constitue une fonction essentielle dans le financement des services de santé.</w:t>
      </w:r>
      <w:r w:rsidRPr="00B90B86">
        <w:rPr>
          <w:rFonts w:cs="Arial"/>
          <w:szCs w:val="24"/>
        </w:rPr>
        <w:t xml:space="preserve"> </w:t>
      </w:r>
    </w:p>
    <w:p w14:paraId="2740631E" w14:textId="77777777" w:rsidR="00654821" w:rsidRPr="00B90B86" w:rsidRDefault="00654821" w:rsidP="00654821">
      <w:pPr>
        <w:widowControl w:val="0"/>
        <w:spacing w:before="120" w:after="60" w:line="276" w:lineRule="auto"/>
        <w:jc w:val="both"/>
        <w:rPr>
          <w:rFonts w:cs="Arial"/>
          <w:szCs w:val="24"/>
        </w:rPr>
      </w:pPr>
      <w:r w:rsidRPr="00B90B86">
        <w:rPr>
          <w:rFonts w:cs="Arial"/>
          <w:szCs w:val="24"/>
        </w:rPr>
        <w:t>Les différentes institutions et entités contributives au financement de la santé décident par anticipation des programmes et services qu’elles financent au profit de besoins spécifiques pour les populations déterminées. Ces financements arrivent à travers : </w:t>
      </w:r>
    </w:p>
    <w:p w14:paraId="6C27446C"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lastRenderedPageBreak/>
        <w:t>Les subventions aux structures de production de soins accordées par l’Etat et ses partenaires ;</w:t>
      </w:r>
    </w:p>
    <w:p w14:paraId="3978CADC"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 remboursement des prestations par les mécanismes assurantiels ;</w:t>
      </w:r>
    </w:p>
    <w:p w14:paraId="6A0B3BDA"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 paiement direct des usagers.</w:t>
      </w:r>
    </w:p>
    <w:p w14:paraId="4C04038B" w14:textId="7B16EA01" w:rsidR="00654821" w:rsidRPr="008446F5" w:rsidRDefault="00654821" w:rsidP="00654821">
      <w:pPr>
        <w:pStyle w:val="Paragraphedeliste"/>
        <w:widowControl w:val="0"/>
        <w:numPr>
          <w:ilvl w:val="0"/>
          <w:numId w:val="5"/>
        </w:numPr>
        <w:tabs>
          <w:tab w:val="left" w:pos="284"/>
        </w:tabs>
        <w:spacing w:before="120" w:after="120" w:line="276" w:lineRule="auto"/>
        <w:ind w:hanging="720"/>
        <w:contextualSpacing w:val="0"/>
        <w:jc w:val="both"/>
        <w:rPr>
          <w:rFonts w:cs="Arial"/>
        </w:rPr>
      </w:pPr>
      <w:r w:rsidRPr="008446F5">
        <w:rPr>
          <w:rFonts w:cs="Arial"/>
          <w:b/>
          <w:szCs w:val="24"/>
        </w:rPr>
        <w:t xml:space="preserve">L’achat des prestations de santé </w:t>
      </w:r>
      <w:r w:rsidR="008446F5" w:rsidRPr="008446F5">
        <w:rPr>
          <w:rFonts w:cs="Arial"/>
          <w:b/>
          <w:szCs w:val="24"/>
        </w:rPr>
        <w:t xml:space="preserve">par la subvention </w:t>
      </w:r>
      <w:r w:rsidRPr="008446F5">
        <w:rPr>
          <w:rFonts w:cs="Arial"/>
          <w:b/>
          <w:szCs w:val="24"/>
        </w:rPr>
        <w:t>de l’Etat</w:t>
      </w:r>
      <w:r w:rsidR="008446F5" w:rsidRPr="008446F5">
        <w:rPr>
          <w:rFonts w:cs="Arial"/>
          <w:b/>
          <w:szCs w:val="24"/>
        </w:rPr>
        <w:t xml:space="preserve"> et de ses partenaires</w:t>
      </w:r>
    </w:p>
    <w:p w14:paraId="5108D42C" w14:textId="23952F53" w:rsidR="00654821" w:rsidRPr="008446F5" w:rsidRDefault="008446F5" w:rsidP="00654821">
      <w:pPr>
        <w:widowControl w:val="0"/>
        <w:spacing w:before="120" w:after="120" w:line="276" w:lineRule="auto"/>
        <w:jc w:val="both"/>
        <w:rPr>
          <w:rFonts w:cs="Arial"/>
        </w:rPr>
      </w:pPr>
      <w:r>
        <w:rPr>
          <w:rFonts w:cs="Arial"/>
          <w:szCs w:val="24"/>
        </w:rPr>
        <w:t xml:space="preserve">C’est un budget moyen qui </w:t>
      </w:r>
      <w:r w:rsidR="00654821" w:rsidRPr="008446F5">
        <w:rPr>
          <w:rFonts w:cs="Arial"/>
          <w:szCs w:val="24"/>
        </w:rPr>
        <w:t xml:space="preserve">consiste à payer les salaires du personnel, à acheter les intrants de prestations de soins, les infrastructures et les équipements. Les mécanismes se font à travers un budget qui est structuré en quatre titres : les dépenses de personnel, l’achat des biens et services, les subventions d’équilibre et l’investissement déjà évoqués plus haut. Ceci correspond aux facteurs de production de soins et réduit le coût supporté par le bénéficiaire. </w:t>
      </w:r>
    </w:p>
    <w:p w14:paraId="5AC06C4E" w14:textId="175B2138" w:rsidR="00654821" w:rsidRPr="00D5233C" w:rsidRDefault="00654821" w:rsidP="00654821">
      <w:pPr>
        <w:widowControl w:val="0"/>
        <w:spacing w:before="120" w:after="120" w:line="276" w:lineRule="auto"/>
        <w:jc w:val="both"/>
        <w:rPr>
          <w:rFonts w:cs="Arial"/>
          <w:szCs w:val="24"/>
        </w:rPr>
      </w:pPr>
      <w:r w:rsidRPr="00D5233C">
        <w:rPr>
          <w:rFonts w:cs="Arial"/>
          <w:szCs w:val="24"/>
        </w:rPr>
        <w:t xml:space="preserve">Actuellement, l’Etat, à travers ses partenaires, fournit </w:t>
      </w:r>
      <w:r w:rsidR="00D5233C" w:rsidRPr="00D5233C">
        <w:rPr>
          <w:rFonts w:cs="Arial"/>
          <w:szCs w:val="24"/>
        </w:rPr>
        <w:t xml:space="preserve">une subvention pour acquérir </w:t>
      </w:r>
      <w:r w:rsidRPr="00D5233C">
        <w:rPr>
          <w:rFonts w:cs="Arial"/>
          <w:szCs w:val="24"/>
        </w:rPr>
        <w:t xml:space="preserve">des kits pour des interventions à haut impact </w:t>
      </w:r>
      <w:r w:rsidR="00D5233C" w:rsidRPr="00D5233C">
        <w:rPr>
          <w:rFonts w:cs="Arial"/>
          <w:szCs w:val="24"/>
        </w:rPr>
        <w:t xml:space="preserve">ciblant </w:t>
      </w:r>
      <w:r w:rsidRPr="00D5233C">
        <w:rPr>
          <w:rFonts w:cs="Arial"/>
          <w:szCs w:val="24"/>
        </w:rPr>
        <w:t>la mère et l’enfant.</w:t>
      </w:r>
    </w:p>
    <w:p w14:paraId="2307E1C0" w14:textId="21B067B1" w:rsidR="00654821" w:rsidRPr="00D5233C" w:rsidRDefault="00D5233C" w:rsidP="00654821">
      <w:pPr>
        <w:widowControl w:val="0"/>
        <w:spacing w:before="120" w:after="120" w:line="276" w:lineRule="auto"/>
        <w:jc w:val="both"/>
        <w:rPr>
          <w:rFonts w:cs="Arial"/>
          <w:szCs w:val="24"/>
        </w:rPr>
      </w:pPr>
      <w:r w:rsidRPr="00D5233C">
        <w:rPr>
          <w:rFonts w:cs="Arial"/>
          <w:szCs w:val="24"/>
        </w:rPr>
        <w:t xml:space="preserve">Sont également subventionné les maladies sous </w:t>
      </w:r>
      <w:r w:rsidR="00654821" w:rsidRPr="00D5233C">
        <w:rPr>
          <w:rFonts w:cs="Arial"/>
          <w:szCs w:val="24"/>
        </w:rPr>
        <w:t>contrôle ou à élimin</w:t>
      </w:r>
      <w:r w:rsidRPr="00D5233C">
        <w:rPr>
          <w:rFonts w:cs="Arial"/>
          <w:szCs w:val="24"/>
        </w:rPr>
        <w:t>ation</w:t>
      </w:r>
      <w:r w:rsidR="00654821" w:rsidRPr="00D5233C">
        <w:rPr>
          <w:rFonts w:cs="Arial"/>
          <w:szCs w:val="24"/>
        </w:rPr>
        <w:t xml:space="preserve"> (tétanos néonatal, tuberculose, rougeole, paludisme …)</w:t>
      </w:r>
      <w:r w:rsidRPr="00D5233C">
        <w:rPr>
          <w:rFonts w:cs="Arial"/>
          <w:szCs w:val="24"/>
        </w:rPr>
        <w:t xml:space="preserve"> et la population bénéficie gratuitement des interventions ciblant ces problèmes dans les formations sanitaires publiques</w:t>
      </w:r>
      <w:r w:rsidR="00654821" w:rsidRPr="00D5233C">
        <w:rPr>
          <w:rFonts w:cs="Arial"/>
          <w:szCs w:val="24"/>
        </w:rPr>
        <w:t>.</w:t>
      </w:r>
    </w:p>
    <w:p w14:paraId="560996F8" w14:textId="4CADFF76" w:rsidR="00654821" w:rsidRPr="00D5233C" w:rsidRDefault="00654821" w:rsidP="00654821">
      <w:pPr>
        <w:pStyle w:val="Paragraphedeliste"/>
        <w:widowControl w:val="0"/>
        <w:numPr>
          <w:ilvl w:val="0"/>
          <w:numId w:val="5"/>
        </w:numPr>
        <w:tabs>
          <w:tab w:val="left" w:pos="284"/>
        </w:tabs>
        <w:spacing w:before="120" w:after="120" w:line="276" w:lineRule="auto"/>
        <w:ind w:hanging="720"/>
        <w:contextualSpacing w:val="0"/>
        <w:jc w:val="both"/>
        <w:rPr>
          <w:rFonts w:cs="Arial"/>
          <w:b/>
          <w:szCs w:val="24"/>
        </w:rPr>
      </w:pPr>
      <w:r w:rsidRPr="00D5233C">
        <w:rPr>
          <w:rFonts w:cs="Arial"/>
          <w:b/>
          <w:szCs w:val="24"/>
        </w:rPr>
        <w:t xml:space="preserve">L’achat des </w:t>
      </w:r>
      <w:r w:rsidR="00D5233C" w:rsidRPr="00D5233C">
        <w:rPr>
          <w:rFonts w:cs="Arial"/>
          <w:b/>
          <w:szCs w:val="24"/>
        </w:rPr>
        <w:t xml:space="preserve">infrastructures et équipement </w:t>
      </w:r>
      <w:r w:rsidRPr="00D5233C">
        <w:rPr>
          <w:rFonts w:cs="Arial"/>
          <w:b/>
          <w:szCs w:val="24"/>
        </w:rPr>
        <w:t xml:space="preserve">par le financement extérieur </w:t>
      </w:r>
    </w:p>
    <w:p w14:paraId="48F18D19" w14:textId="0C8F39B0" w:rsidR="00654821" w:rsidRPr="00D5233C" w:rsidRDefault="00654821" w:rsidP="00654821">
      <w:pPr>
        <w:widowControl w:val="0"/>
        <w:spacing w:before="120" w:after="120" w:line="276" w:lineRule="auto"/>
        <w:jc w:val="both"/>
        <w:rPr>
          <w:rFonts w:cs="Arial"/>
          <w:szCs w:val="24"/>
        </w:rPr>
      </w:pPr>
      <w:r w:rsidRPr="00D5233C">
        <w:rPr>
          <w:rFonts w:cs="Arial"/>
          <w:szCs w:val="24"/>
        </w:rPr>
        <w:t xml:space="preserve">Le financement extérieur </w:t>
      </w:r>
      <w:r w:rsidR="00D5233C" w:rsidRPr="00D5233C">
        <w:rPr>
          <w:rFonts w:cs="Arial"/>
          <w:szCs w:val="24"/>
        </w:rPr>
        <w:t xml:space="preserve">allège les couts des prestations et renforce leur qualité </w:t>
      </w:r>
      <w:r w:rsidRPr="00D5233C">
        <w:rPr>
          <w:rFonts w:cs="Arial"/>
          <w:szCs w:val="24"/>
        </w:rPr>
        <w:t>à travers divers guichets et modalités généralement sous forme de projet ou programme.</w:t>
      </w:r>
    </w:p>
    <w:p w14:paraId="75BED7B0" w14:textId="691BD479" w:rsidR="00654821" w:rsidRPr="008C6261" w:rsidRDefault="00654821" w:rsidP="00654821">
      <w:pPr>
        <w:pStyle w:val="Paragraphedeliste"/>
        <w:widowControl w:val="0"/>
        <w:numPr>
          <w:ilvl w:val="0"/>
          <w:numId w:val="5"/>
        </w:numPr>
        <w:tabs>
          <w:tab w:val="left" w:pos="284"/>
        </w:tabs>
        <w:spacing w:before="120" w:after="120" w:line="276" w:lineRule="auto"/>
        <w:ind w:hanging="720"/>
        <w:contextualSpacing w:val="0"/>
        <w:jc w:val="both"/>
        <w:rPr>
          <w:rFonts w:cs="Arial"/>
          <w:b/>
          <w:szCs w:val="24"/>
        </w:rPr>
      </w:pPr>
      <w:r w:rsidRPr="008C6261">
        <w:rPr>
          <w:rFonts w:cs="Arial"/>
          <w:b/>
          <w:szCs w:val="24"/>
        </w:rPr>
        <w:t xml:space="preserve">L’achat de prestations par le paiement direct des </w:t>
      </w:r>
      <w:r w:rsidR="00D5233C" w:rsidRPr="008C6261">
        <w:rPr>
          <w:rFonts w:cs="Arial"/>
          <w:b/>
          <w:szCs w:val="24"/>
        </w:rPr>
        <w:t>ménages</w:t>
      </w:r>
      <w:r w:rsidRPr="008C6261">
        <w:rPr>
          <w:rFonts w:cs="Arial"/>
          <w:b/>
          <w:szCs w:val="24"/>
        </w:rPr>
        <w:t xml:space="preserve"> </w:t>
      </w:r>
    </w:p>
    <w:p w14:paraId="35657273" w14:textId="082A1BD4" w:rsidR="00654821" w:rsidRPr="008C6261" w:rsidRDefault="00654821" w:rsidP="00654821">
      <w:pPr>
        <w:widowControl w:val="0"/>
        <w:spacing w:before="120" w:after="120" w:line="276" w:lineRule="auto"/>
        <w:jc w:val="both"/>
        <w:rPr>
          <w:rFonts w:cs="Arial"/>
          <w:szCs w:val="24"/>
        </w:rPr>
      </w:pPr>
      <w:r w:rsidRPr="008C6261">
        <w:rPr>
          <w:rFonts w:cs="Arial"/>
          <w:szCs w:val="24"/>
        </w:rPr>
        <w:t xml:space="preserve">Il se fait dans les structures de soins sous forme d’achat passif. Les modalités utilisées reposent principalement sur le paiement direct des soins sur la base d’une facturation </w:t>
      </w:r>
      <w:r w:rsidR="00D5233C" w:rsidRPr="008C6261">
        <w:rPr>
          <w:rFonts w:cs="Arial"/>
          <w:szCs w:val="24"/>
        </w:rPr>
        <w:t>basée sur l’épisode de maladie</w:t>
      </w:r>
      <w:r w:rsidRPr="008C6261">
        <w:rPr>
          <w:rFonts w:cs="Arial"/>
          <w:szCs w:val="24"/>
        </w:rPr>
        <w:t xml:space="preserve"> au 1</w:t>
      </w:r>
      <w:r w:rsidRPr="008C6261">
        <w:rPr>
          <w:rFonts w:cs="Arial"/>
          <w:szCs w:val="24"/>
          <w:vertAlign w:val="superscript"/>
        </w:rPr>
        <w:t>er</w:t>
      </w:r>
      <w:r w:rsidRPr="008C6261">
        <w:rPr>
          <w:rFonts w:cs="Arial"/>
          <w:szCs w:val="24"/>
        </w:rPr>
        <w:t xml:space="preserve"> échelon (PS, CS CSA) et l’application d’un tarif éclaté dans les structures hospitalières</w:t>
      </w:r>
      <w:r w:rsidR="008C6261" w:rsidRPr="008C6261">
        <w:rPr>
          <w:rFonts w:cs="Arial"/>
          <w:szCs w:val="24"/>
        </w:rPr>
        <w:t xml:space="preserve"> publiques et privées</w:t>
      </w:r>
      <w:r w:rsidRPr="008C6261">
        <w:rPr>
          <w:rFonts w:cs="Arial"/>
          <w:szCs w:val="24"/>
        </w:rPr>
        <w:t>.</w:t>
      </w:r>
      <w:r w:rsidR="008C6261">
        <w:rPr>
          <w:rFonts w:cs="Arial"/>
          <w:szCs w:val="24"/>
        </w:rPr>
        <w:t xml:space="preserve"> Bien que les tarifs soient définis ou homologués par le Ministère de la santé, leur application laisse </w:t>
      </w:r>
      <w:r w:rsidR="008D0B92">
        <w:rPr>
          <w:rFonts w:cs="Arial"/>
          <w:szCs w:val="24"/>
        </w:rPr>
        <w:t>à</w:t>
      </w:r>
      <w:r w:rsidR="008C6261">
        <w:rPr>
          <w:rFonts w:cs="Arial"/>
          <w:szCs w:val="24"/>
        </w:rPr>
        <w:t xml:space="preserve"> désirer surtout à Conakry ou le marché des services de santé est bien établi aussi bien le secteur public que dans le secteur privé</w:t>
      </w:r>
      <w:r w:rsidR="008D0B92">
        <w:rPr>
          <w:rFonts w:cs="Arial"/>
          <w:szCs w:val="24"/>
        </w:rPr>
        <w:t>.</w:t>
      </w:r>
    </w:p>
    <w:p w14:paraId="4A62B4B1" w14:textId="77777777" w:rsidR="00654821" w:rsidRPr="008C6261" w:rsidRDefault="00654821" w:rsidP="00654821">
      <w:pPr>
        <w:pStyle w:val="Paragraphedeliste"/>
        <w:widowControl w:val="0"/>
        <w:numPr>
          <w:ilvl w:val="0"/>
          <w:numId w:val="5"/>
        </w:numPr>
        <w:tabs>
          <w:tab w:val="left" w:pos="284"/>
        </w:tabs>
        <w:spacing w:before="120" w:after="120" w:line="276" w:lineRule="auto"/>
        <w:ind w:hanging="720"/>
        <w:contextualSpacing w:val="0"/>
        <w:jc w:val="both"/>
        <w:rPr>
          <w:rFonts w:cs="Arial"/>
          <w:b/>
          <w:szCs w:val="24"/>
        </w:rPr>
      </w:pPr>
      <w:r w:rsidRPr="008C6261">
        <w:rPr>
          <w:rFonts w:cs="Arial"/>
          <w:b/>
          <w:szCs w:val="24"/>
        </w:rPr>
        <w:t>L’achat de prestations à travers les mécanismes assurantiels </w:t>
      </w:r>
    </w:p>
    <w:p w14:paraId="47BAD5AC" w14:textId="0E2A6574" w:rsidR="00654821" w:rsidRDefault="00654821" w:rsidP="00654821">
      <w:pPr>
        <w:widowControl w:val="0"/>
        <w:spacing w:before="120" w:after="120" w:line="276" w:lineRule="auto"/>
        <w:jc w:val="both"/>
        <w:rPr>
          <w:rFonts w:cs="Arial"/>
          <w:szCs w:val="24"/>
        </w:rPr>
      </w:pPr>
      <w:r w:rsidRPr="008C6261">
        <w:rPr>
          <w:rFonts w:cs="Arial"/>
          <w:szCs w:val="24"/>
        </w:rPr>
        <w:t>Le consommateur paie la valeur d’un ticket modérateur négocié avec l’assureur et le reste est réglé par l’agence d’assurance.</w:t>
      </w:r>
      <w:r w:rsidRPr="00B90B86">
        <w:rPr>
          <w:rFonts w:cs="Arial"/>
          <w:szCs w:val="24"/>
        </w:rPr>
        <w:t xml:space="preserve"> </w:t>
      </w:r>
    </w:p>
    <w:p w14:paraId="65A40C7C" w14:textId="44FF860E" w:rsidR="00654821" w:rsidRPr="00D238C3" w:rsidRDefault="00654821" w:rsidP="002F53FD">
      <w:pPr>
        <w:pStyle w:val="Paragraphedeliste"/>
        <w:numPr>
          <w:ilvl w:val="1"/>
          <w:numId w:val="31"/>
        </w:numPr>
        <w:outlineLvl w:val="1"/>
        <w:rPr>
          <w:b/>
          <w:bCs/>
        </w:rPr>
      </w:pPr>
      <w:bookmarkStart w:id="788" w:name="_Toc14354872"/>
      <w:bookmarkStart w:id="789" w:name="_Toc14867837"/>
      <w:bookmarkStart w:id="790" w:name="_Toc14871537"/>
      <w:bookmarkStart w:id="791" w:name="_Toc15660793"/>
      <w:bookmarkStart w:id="792" w:name="_Toc15977915"/>
      <w:bookmarkStart w:id="793" w:name="_Toc80789194"/>
      <w:r w:rsidRPr="00D238C3">
        <w:rPr>
          <w:b/>
          <w:bCs/>
        </w:rPr>
        <w:t>La régulation dans le financement</w:t>
      </w:r>
      <w:bookmarkEnd w:id="788"/>
      <w:bookmarkEnd w:id="789"/>
      <w:bookmarkEnd w:id="790"/>
      <w:bookmarkEnd w:id="791"/>
      <w:bookmarkEnd w:id="792"/>
      <w:bookmarkEnd w:id="793"/>
      <w:r w:rsidRPr="00D238C3">
        <w:rPr>
          <w:b/>
          <w:bCs/>
        </w:rPr>
        <w:t xml:space="preserve"> </w:t>
      </w:r>
    </w:p>
    <w:p w14:paraId="617FEB8E" w14:textId="52BB1320" w:rsidR="00654821" w:rsidRDefault="00654821" w:rsidP="00654821">
      <w:pPr>
        <w:widowControl w:val="0"/>
        <w:spacing w:before="120" w:after="120" w:line="276" w:lineRule="auto"/>
        <w:jc w:val="both"/>
        <w:rPr>
          <w:rFonts w:cs="Arial"/>
          <w:szCs w:val="24"/>
        </w:rPr>
      </w:pPr>
      <w:r w:rsidRPr="00B90B86">
        <w:rPr>
          <w:rFonts w:cs="Arial"/>
          <w:szCs w:val="24"/>
        </w:rPr>
        <w:t xml:space="preserve">La régulation dans le financement est abordée dans les éléments ci-après : la coordination et l’intégration des guichets, l’harmonisation des procédures et des outils de mobilisation, de mise en commun et d’achat des prestations, la tarification des prestations dans les secteurs public et privé et l’audit et la redevabilité. </w:t>
      </w:r>
    </w:p>
    <w:p w14:paraId="6DD982A5" w14:textId="1B34C73C" w:rsidR="008D2FBE" w:rsidRDefault="008D2FBE" w:rsidP="00654821">
      <w:pPr>
        <w:widowControl w:val="0"/>
        <w:spacing w:before="120" w:after="120" w:line="276" w:lineRule="auto"/>
        <w:jc w:val="both"/>
        <w:rPr>
          <w:rFonts w:cs="Arial"/>
          <w:szCs w:val="24"/>
        </w:rPr>
      </w:pPr>
    </w:p>
    <w:p w14:paraId="52CC1167" w14:textId="79C476A1" w:rsidR="008D2FBE" w:rsidRDefault="008D2FBE" w:rsidP="00654821">
      <w:pPr>
        <w:widowControl w:val="0"/>
        <w:spacing w:before="120" w:after="120" w:line="276" w:lineRule="auto"/>
        <w:jc w:val="both"/>
        <w:rPr>
          <w:rFonts w:cs="Arial"/>
          <w:szCs w:val="24"/>
        </w:rPr>
      </w:pPr>
    </w:p>
    <w:p w14:paraId="0107F302" w14:textId="77777777" w:rsidR="008D2FBE" w:rsidRPr="00B90B86" w:rsidRDefault="008D2FBE" w:rsidP="00654821">
      <w:pPr>
        <w:widowControl w:val="0"/>
        <w:spacing w:before="120" w:after="120" w:line="276" w:lineRule="auto"/>
        <w:jc w:val="both"/>
        <w:rPr>
          <w:rFonts w:cs="Arial"/>
          <w:szCs w:val="24"/>
        </w:rPr>
      </w:pPr>
    </w:p>
    <w:p w14:paraId="037C7FC1" w14:textId="45A2BF7B" w:rsidR="00654821" w:rsidRPr="00ED136F" w:rsidRDefault="00654821" w:rsidP="00ED136F">
      <w:pPr>
        <w:pStyle w:val="Paragraphedeliste"/>
        <w:widowControl w:val="0"/>
        <w:numPr>
          <w:ilvl w:val="2"/>
          <w:numId w:val="29"/>
        </w:numPr>
        <w:spacing w:before="120" w:after="120" w:line="276" w:lineRule="auto"/>
        <w:jc w:val="both"/>
        <w:rPr>
          <w:rFonts w:cs="Arial"/>
        </w:rPr>
      </w:pPr>
      <w:r w:rsidRPr="00ED136F">
        <w:rPr>
          <w:rFonts w:cs="Arial"/>
          <w:b/>
          <w:szCs w:val="24"/>
        </w:rPr>
        <w:lastRenderedPageBreak/>
        <w:t>La coordination et l’intégration des guichets </w:t>
      </w:r>
    </w:p>
    <w:p w14:paraId="5A3DC86F" w14:textId="77777777" w:rsidR="00654821" w:rsidRPr="00B90B86" w:rsidRDefault="00654821" w:rsidP="00654821">
      <w:pPr>
        <w:widowControl w:val="0"/>
        <w:spacing w:before="120" w:after="120" w:line="276" w:lineRule="auto"/>
        <w:jc w:val="both"/>
        <w:rPr>
          <w:rFonts w:cs="Arial"/>
          <w:szCs w:val="24"/>
        </w:rPr>
      </w:pPr>
      <w:r w:rsidRPr="00B90B86">
        <w:rPr>
          <w:rFonts w:cs="Arial"/>
          <w:szCs w:val="24"/>
        </w:rPr>
        <w:t>Les différents guichets sont faiblement coordonnés. Les mécanismes qu’ils utilisent favorisent la fragmentation et le doublon dans le financement des prestations. Cela arrive parce que le leadership du ministère de la santé et du ministère des finances est faible. L’adhésion des partenaires au compact national n’est pas effective. Il y a aussi la faible capacité de gestion financière des structures à tous les niveaux de la pyramide. A cela s’ajoute la faible promotion du système d’assurance maladie. Les textes de loi relatifs au financement sont faiblement appliqués.</w:t>
      </w:r>
    </w:p>
    <w:p w14:paraId="0F3F2271" w14:textId="77777777" w:rsidR="00654821" w:rsidRPr="00B90B86" w:rsidRDefault="00654821" w:rsidP="00ED136F">
      <w:pPr>
        <w:pStyle w:val="Paragraphedeliste"/>
        <w:widowControl w:val="0"/>
        <w:numPr>
          <w:ilvl w:val="2"/>
          <w:numId w:val="29"/>
        </w:numPr>
        <w:spacing w:before="120" w:after="120" w:line="276" w:lineRule="auto"/>
        <w:jc w:val="both"/>
        <w:rPr>
          <w:rFonts w:cs="Arial"/>
          <w:b/>
        </w:rPr>
      </w:pPr>
      <w:r w:rsidRPr="00B90B86">
        <w:rPr>
          <w:rFonts w:cs="Arial"/>
          <w:b/>
          <w:szCs w:val="24"/>
        </w:rPr>
        <w:t>L’harmonisation des procédures et des outils de mobilisation, de mise en commun et d’achat des prestations </w:t>
      </w:r>
    </w:p>
    <w:p w14:paraId="041913E8" w14:textId="77777777" w:rsidR="00654821" w:rsidRPr="00B90B86" w:rsidRDefault="00654821" w:rsidP="00654821">
      <w:pPr>
        <w:widowControl w:val="0"/>
        <w:spacing w:before="120" w:after="120" w:line="276" w:lineRule="auto"/>
        <w:jc w:val="both"/>
        <w:rPr>
          <w:rFonts w:cs="Arial"/>
          <w:szCs w:val="24"/>
        </w:rPr>
      </w:pPr>
      <w:r w:rsidRPr="00B90B86">
        <w:rPr>
          <w:rFonts w:cs="Arial"/>
          <w:szCs w:val="24"/>
        </w:rPr>
        <w:t>A date, il n’existe pas de procédures harmonisées. C’est pourquoi l’Etat finance les structures de production de soins et le système d’assurance des prestataires individuels dans les structures de soins publics et privés au lieu des institutions de soins elles-mêmes.</w:t>
      </w:r>
    </w:p>
    <w:p w14:paraId="511D705D" w14:textId="3B88929A" w:rsidR="00654821" w:rsidRPr="00B90B86" w:rsidRDefault="00654821" w:rsidP="00ED136F">
      <w:pPr>
        <w:pStyle w:val="Paragraphedeliste"/>
        <w:widowControl w:val="0"/>
        <w:numPr>
          <w:ilvl w:val="2"/>
          <w:numId w:val="29"/>
        </w:numPr>
        <w:spacing w:before="120" w:after="120" w:line="276" w:lineRule="auto"/>
        <w:jc w:val="both"/>
        <w:rPr>
          <w:rFonts w:cs="Arial"/>
        </w:rPr>
      </w:pPr>
      <w:r w:rsidRPr="00B90B86">
        <w:rPr>
          <w:rFonts w:cs="Arial"/>
          <w:b/>
          <w:szCs w:val="24"/>
        </w:rPr>
        <w:t xml:space="preserve">La tarification des prestations dans </w:t>
      </w:r>
      <w:r w:rsidR="00F11758" w:rsidRPr="00B90B86">
        <w:rPr>
          <w:rFonts w:cs="Arial"/>
          <w:b/>
          <w:szCs w:val="24"/>
        </w:rPr>
        <w:t>les secteurs publics</w:t>
      </w:r>
      <w:r w:rsidRPr="00B90B86">
        <w:rPr>
          <w:rFonts w:cs="Arial"/>
          <w:b/>
          <w:szCs w:val="24"/>
        </w:rPr>
        <w:t xml:space="preserve"> et privé</w:t>
      </w:r>
    </w:p>
    <w:p w14:paraId="716C8BC1" w14:textId="77777777" w:rsidR="00654821" w:rsidRPr="00B90B86" w:rsidRDefault="00654821" w:rsidP="00654821">
      <w:pPr>
        <w:widowControl w:val="0"/>
        <w:spacing w:after="80" w:line="276" w:lineRule="auto"/>
        <w:jc w:val="both"/>
        <w:rPr>
          <w:rFonts w:cs="Arial"/>
          <w:szCs w:val="24"/>
        </w:rPr>
      </w:pPr>
      <w:r w:rsidRPr="00B90B86">
        <w:rPr>
          <w:rFonts w:cs="Arial"/>
          <w:szCs w:val="24"/>
        </w:rPr>
        <w:t>Dans le secteur public les tarifs sont le reflet de la volonté de l’Etat de favoriser l’accès aux soins, indépendamment de leurs coûts de production. Ils ne sont pas indexés sur les coûts de production des prestations. Mais ce dispositif n’est pas fonctionnel à cause des facteurs suivants :</w:t>
      </w:r>
    </w:p>
    <w:p w14:paraId="6C3A617F"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Les tarifs sont obsolètes et peu respectés ;</w:t>
      </w:r>
    </w:p>
    <w:p w14:paraId="16BB450B"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Les subventions d’équilibre aux structures sont insuffisantes et irrégulières ;</w:t>
      </w:r>
    </w:p>
    <w:p w14:paraId="29546CDF"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Les crédits de fonctionnement pour les DRS et DPS sont faibles et irrégulières ;</w:t>
      </w:r>
    </w:p>
    <w:p w14:paraId="26E1717E"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Les centres et postes de santé ne bénéficient pas de crédits de fonctionnement ;</w:t>
      </w:r>
    </w:p>
    <w:p w14:paraId="31CBB761"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Les mécanismes de contrôle de l’application des tarifs officiels manquent ;</w:t>
      </w:r>
    </w:p>
    <w:p w14:paraId="6F46DE73" w14:textId="77777777" w:rsidR="00654821" w:rsidRPr="00B90B86" w:rsidRDefault="00654821" w:rsidP="00654821">
      <w:pPr>
        <w:pStyle w:val="Paragraphedeliste"/>
        <w:widowControl w:val="0"/>
        <w:numPr>
          <w:ilvl w:val="0"/>
          <w:numId w:val="1"/>
        </w:numPr>
        <w:spacing w:after="0" w:line="276" w:lineRule="auto"/>
        <w:ind w:left="426" w:hanging="284"/>
        <w:contextualSpacing w:val="0"/>
        <w:jc w:val="both"/>
        <w:rPr>
          <w:rFonts w:cs="Arial"/>
          <w:szCs w:val="24"/>
        </w:rPr>
      </w:pPr>
      <w:r w:rsidRPr="00B90B86">
        <w:rPr>
          <w:rFonts w:cs="Arial"/>
          <w:szCs w:val="24"/>
        </w:rPr>
        <w:t>La marchandisation des soins se développe.</w:t>
      </w:r>
    </w:p>
    <w:p w14:paraId="0CD0D64B" w14:textId="77777777" w:rsidR="00654821" w:rsidRPr="00B90B86" w:rsidRDefault="00654821" w:rsidP="002F53FD">
      <w:pPr>
        <w:pStyle w:val="Paragraphedeliste"/>
        <w:widowControl w:val="0"/>
        <w:numPr>
          <w:ilvl w:val="2"/>
          <w:numId w:val="29"/>
        </w:numPr>
        <w:spacing w:before="120" w:after="120" w:line="276" w:lineRule="auto"/>
        <w:jc w:val="both"/>
        <w:rPr>
          <w:rFonts w:cs="Arial"/>
        </w:rPr>
      </w:pPr>
      <w:r w:rsidRPr="00B90B86">
        <w:rPr>
          <w:rFonts w:cs="Arial"/>
          <w:b/>
          <w:szCs w:val="24"/>
        </w:rPr>
        <w:t xml:space="preserve">L’audit et la redevabilité </w:t>
      </w:r>
    </w:p>
    <w:p w14:paraId="42B9C01B" w14:textId="77777777" w:rsidR="00654821" w:rsidRPr="00B90B86" w:rsidRDefault="00654821" w:rsidP="00654821">
      <w:pPr>
        <w:widowControl w:val="0"/>
        <w:spacing w:after="40" w:line="276" w:lineRule="auto"/>
        <w:jc w:val="both"/>
        <w:rPr>
          <w:rFonts w:cs="Arial"/>
          <w:szCs w:val="24"/>
        </w:rPr>
      </w:pPr>
      <w:r w:rsidRPr="00B90B86">
        <w:rPr>
          <w:rFonts w:cs="Arial"/>
          <w:szCs w:val="24"/>
        </w:rPr>
        <w:t>Le système d’allocation et de gestion du financement ne favorise pas la transparence et la visibilité des résultats. Cette situation s’explique par les facteurs suivants :</w:t>
      </w:r>
    </w:p>
    <w:p w14:paraId="6B0BA2DF" w14:textId="77777777" w:rsidR="00654821" w:rsidRPr="00B90B86" w:rsidRDefault="00654821" w:rsidP="00654821">
      <w:pPr>
        <w:pStyle w:val="Paragraphedeliste"/>
        <w:widowControl w:val="0"/>
        <w:numPr>
          <w:ilvl w:val="0"/>
          <w:numId w:val="1"/>
        </w:numPr>
        <w:spacing w:before="40" w:after="40" w:line="276" w:lineRule="auto"/>
        <w:ind w:left="426" w:hanging="284"/>
        <w:contextualSpacing w:val="0"/>
        <w:jc w:val="both"/>
        <w:rPr>
          <w:rFonts w:cs="Arial"/>
          <w:szCs w:val="24"/>
        </w:rPr>
      </w:pPr>
      <w:r w:rsidRPr="00B90B86">
        <w:rPr>
          <w:rFonts w:cs="Arial"/>
          <w:szCs w:val="24"/>
        </w:rPr>
        <w:t>Les modes d’allocation des ressources axés sur les budgets-moyens non liés à des objectifs de résultats ;</w:t>
      </w:r>
    </w:p>
    <w:p w14:paraId="387447C3" w14:textId="77777777" w:rsidR="00654821" w:rsidRPr="00B90B86" w:rsidRDefault="00654821" w:rsidP="00654821">
      <w:pPr>
        <w:pStyle w:val="Paragraphedeliste"/>
        <w:widowControl w:val="0"/>
        <w:numPr>
          <w:ilvl w:val="0"/>
          <w:numId w:val="1"/>
        </w:numPr>
        <w:spacing w:before="40" w:after="40" w:line="276" w:lineRule="auto"/>
        <w:ind w:left="426" w:hanging="284"/>
        <w:contextualSpacing w:val="0"/>
        <w:jc w:val="both"/>
        <w:rPr>
          <w:rFonts w:cs="Arial"/>
          <w:szCs w:val="24"/>
        </w:rPr>
      </w:pPr>
      <w:r w:rsidRPr="00B90B86">
        <w:rPr>
          <w:rFonts w:cs="Arial"/>
          <w:szCs w:val="24"/>
        </w:rPr>
        <w:t>L’absence de système comptable garantissant la traçabilité des ressources financières et matérielles ;</w:t>
      </w:r>
    </w:p>
    <w:p w14:paraId="5FF1DC54" w14:textId="77777777" w:rsidR="00654821" w:rsidRPr="00B90B86" w:rsidRDefault="00654821" w:rsidP="00654821">
      <w:pPr>
        <w:pStyle w:val="Paragraphedeliste"/>
        <w:widowControl w:val="0"/>
        <w:numPr>
          <w:ilvl w:val="0"/>
          <w:numId w:val="1"/>
        </w:numPr>
        <w:spacing w:before="40" w:after="40" w:line="276" w:lineRule="auto"/>
        <w:ind w:left="426" w:hanging="284"/>
        <w:contextualSpacing w:val="0"/>
        <w:jc w:val="both"/>
        <w:rPr>
          <w:rFonts w:cs="Arial"/>
          <w:szCs w:val="24"/>
        </w:rPr>
      </w:pPr>
      <w:r w:rsidRPr="00B90B86">
        <w:rPr>
          <w:rFonts w:cs="Arial"/>
          <w:szCs w:val="24"/>
        </w:rPr>
        <w:t>L’absence de système de rapports standardisé ;</w:t>
      </w:r>
    </w:p>
    <w:p w14:paraId="5C9E7036" w14:textId="77777777" w:rsidR="00654821" w:rsidRPr="00B90B86" w:rsidRDefault="00654821" w:rsidP="00654821">
      <w:pPr>
        <w:pStyle w:val="Paragraphedeliste"/>
        <w:widowControl w:val="0"/>
        <w:numPr>
          <w:ilvl w:val="0"/>
          <w:numId w:val="1"/>
        </w:numPr>
        <w:spacing w:before="40" w:after="40" w:line="276" w:lineRule="auto"/>
        <w:ind w:left="426" w:hanging="284"/>
        <w:contextualSpacing w:val="0"/>
        <w:jc w:val="both"/>
        <w:rPr>
          <w:rFonts w:cs="Arial"/>
          <w:szCs w:val="24"/>
        </w:rPr>
      </w:pPr>
      <w:r w:rsidRPr="00B90B86">
        <w:rPr>
          <w:rFonts w:cs="Arial"/>
          <w:szCs w:val="24"/>
        </w:rPr>
        <w:t xml:space="preserve">L’absence de cadres de compte-rendu à tous les niveaux de la pyramide sanitaire ; </w:t>
      </w:r>
    </w:p>
    <w:p w14:paraId="45439E76" w14:textId="09E91F78" w:rsidR="00654821" w:rsidRDefault="00654821" w:rsidP="00654821">
      <w:pPr>
        <w:pStyle w:val="Paragraphedeliste"/>
        <w:widowControl w:val="0"/>
        <w:numPr>
          <w:ilvl w:val="0"/>
          <w:numId w:val="1"/>
        </w:numPr>
        <w:spacing w:before="40" w:after="40" w:line="276" w:lineRule="auto"/>
        <w:ind w:left="426" w:hanging="284"/>
        <w:contextualSpacing w:val="0"/>
        <w:jc w:val="both"/>
        <w:rPr>
          <w:rFonts w:cs="Arial"/>
          <w:szCs w:val="24"/>
        </w:rPr>
      </w:pPr>
      <w:r w:rsidRPr="00B90B86">
        <w:rPr>
          <w:rFonts w:cs="Arial"/>
          <w:szCs w:val="24"/>
        </w:rPr>
        <w:t>L’absence d’audits internes et externes.</w:t>
      </w:r>
    </w:p>
    <w:p w14:paraId="63042286" w14:textId="77777777" w:rsidR="008D2FBE" w:rsidRPr="008D2FBE" w:rsidRDefault="008D2FBE" w:rsidP="005B4F5E">
      <w:pPr>
        <w:pStyle w:val="Paragraphedeliste"/>
        <w:widowControl w:val="0"/>
        <w:spacing w:before="40" w:after="40" w:line="276" w:lineRule="auto"/>
        <w:ind w:left="426"/>
        <w:contextualSpacing w:val="0"/>
        <w:jc w:val="both"/>
        <w:rPr>
          <w:rFonts w:cs="Arial"/>
          <w:sz w:val="10"/>
          <w:szCs w:val="10"/>
        </w:rPr>
      </w:pPr>
    </w:p>
    <w:p w14:paraId="4E22DC59" w14:textId="3A14446E" w:rsidR="00654821" w:rsidRPr="00B90B86" w:rsidRDefault="00654821" w:rsidP="00D238C3">
      <w:pPr>
        <w:pStyle w:val="Titre1"/>
        <w:numPr>
          <w:ilvl w:val="0"/>
          <w:numId w:val="31"/>
        </w:numPr>
      </w:pPr>
      <w:bookmarkStart w:id="794" w:name="_Toc14324655"/>
      <w:bookmarkStart w:id="795" w:name="_Toc14354873"/>
      <w:bookmarkStart w:id="796" w:name="_Toc14867838"/>
      <w:bookmarkStart w:id="797" w:name="_Toc14871538"/>
      <w:bookmarkStart w:id="798" w:name="_Toc15660794"/>
      <w:bookmarkStart w:id="799" w:name="_Toc15977916"/>
      <w:bookmarkStart w:id="800" w:name="_Toc80787391"/>
      <w:bookmarkStart w:id="801" w:name="_Toc80789195"/>
      <w:bookmarkStart w:id="802" w:name="_Hlk80774324"/>
      <w:r w:rsidRPr="00B90B86">
        <w:t>Identification des problèmes et de leurs causes</w:t>
      </w:r>
      <w:bookmarkEnd w:id="794"/>
      <w:bookmarkEnd w:id="795"/>
      <w:bookmarkEnd w:id="796"/>
      <w:bookmarkEnd w:id="797"/>
      <w:bookmarkEnd w:id="798"/>
      <w:bookmarkEnd w:id="799"/>
      <w:bookmarkEnd w:id="800"/>
      <w:bookmarkEnd w:id="801"/>
    </w:p>
    <w:bookmarkEnd w:id="802"/>
    <w:p w14:paraId="2A6C271D" w14:textId="77777777" w:rsidR="00654821" w:rsidRPr="000239A9" w:rsidRDefault="00654821" w:rsidP="000239A9">
      <w:pPr>
        <w:widowControl w:val="0"/>
        <w:pBdr>
          <w:top w:val="single" w:sz="4" w:space="1" w:color="auto"/>
          <w:left w:val="single" w:sz="4" w:space="0" w:color="auto"/>
          <w:bottom w:val="single" w:sz="4" w:space="1" w:color="auto"/>
          <w:right w:val="single" w:sz="4" w:space="4" w:color="auto"/>
        </w:pBdr>
        <w:spacing w:line="276" w:lineRule="auto"/>
        <w:rPr>
          <w:i/>
          <w:iCs/>
        </w:rPr>
      </w:pPr>
      <w:r w:rsidRPr="000239A9">
        <w:rPr>
          <w:b/>
          <w:i/>
          <w:iCs/>
        </w:rPr>
        <w:t>Rappel de la question clé :</w:t>
      </w:r>
      <w:r w:rsidRPr="000239A9">
        <w:rPr>
          <w:i/>
          <w:iCs/>
        </w:rPr>
        <w:t xml:space="preserve"> Le système de financement actuel du secteur de la santé permet-il d’améliorer l’accès aux soins ? Sinon, comment y parvenir et garantir la politique d’équité du Gouvernement ?</w:t>
      </w:r>
    </w:p>
    <w:p w14:paraId="55730DD3" w14:textId="77777777" w:rsidR="008D2FBE" w:rsidRDefault="008D2FBE" w:rsidP="00654821">
      <w:pPr>
        <w:widowControl w:val="0"/>
        <w:spacing w:after="60" w:line="276" w:lineRule="auto"/>
        <w:jc w:val="both"/>
        <w:rPr>
          <w:rFonts w:cs="Arial"/>
          <w:szCs w:val="20"/>
        </w:rPr>
      </w:pPr>
    </w:p>
    <w:p w14:paraId="122542C7" w14:textId="2A7E96FC" w:rsidR="00654821" w:rsidRPr="00B90B86" w:rsidRDefault="00654821" w:rsidP="00654821">
      <w:pPr>
        <w:widowControl w:val="0"/>
        <w:spacing w:after="60" w:line="276" w:lineRule="auto"/>
        <w:jc w:val="both"/>
        <w:rPr>
          <w:rFonts w:cs="Arial"/>
          <w:szCs w:val="20"/>
        </w:rPr>
      </w:pPr>
      <w:r w:rsidRPr="00B90B86">
        <w:rPr>
          <w:rFonts w:cs="Arial"/>
          <w:szCs w:val="20"/>
        </w:rPr>
        <w:lastRenderedPageBreak/>
        <w:t>Les préoccupations soulevées à travers cette question sont traitées dans ce qui suit.</w:t>
      </w:r>
    </w:p>
    <w:p w14:paraId="3A7F8B75" w14:textId="77777777" w:rsidR="00654821" w:rsidRPr="00B90B86" w:rsidRDefault="00654821" w:rsidP="00654821">
      <w:pPr>
        <w:widowControl w:val="0"/>
        <w:spacing w:after="60" w:line="276" w:lineRule="auto"/>
        <w:jc w:val="both"/>
        <w:rPr>
          <w:rFonts w:cs="Arial"/>
          <w:szCs w:val="20"/>
        </w:rPr>
      </w:pPr>
      <w:r w:rsidRPr="00B90B86">
        <w:rPr>
          <w:rFonts w:cs="Arial"/>
          <w:szCs w:val="20"/>
        </w:rPr>
        <w:t>Les causes directes sont :</w:t>
      </w:r>
    </w:p>
    <w:p w14:paraId="4A15E610" w14:textId="77777777" w:rsidR="00654821" w:rsidRPr="00B90B86" w:rsidRDefault="00654821" w:rsidP="00654821">
      <w:pPr>
        <w:pStyle w:val="Paragraphedeliste"/>
        <w:widowControl w:val="0"/>
        <w:numPr>
          <w:ilvl w:val="0"/>
          <w:numId w:val="9"/>
        </w:numPr>
        <w:spacing w:before="80" w:after="80" w:line="276" w:lineRule="auto"/>
        <w:ind w:left="284" w:hanging="284"/>
        <w:jc w:val="both"/>
        <w:rPr>
          <w:rFonts w:cs="Arial"/>
          <w:szCs w:val="24"/>
        </w:rPr>
      </w:pPr>
      <w:r w:rsidRPr="00B90B86">
        <w:rPr>
          <w:rFonts w:cs="Arial"/>
          <w:szCs w:val="24"/>
        </w:rPr>
        <w:t>La faiblesse des dépenses de santé par habitant ;</w:t>
      </w:r>
    </w:p>
    <w:p w14:paraId="4527D67E" w14:textId="77777777" w:rsidR="00654821" w:rsidRPr="00B90B86" w:rsidRDefault="00654821" w:rsidP="00654821">
      <w:pPr>
        <w:pStyle w:val="Paragraphedeliste"/>
        <w:widowControl w:val="0"/>
        <w:numPr>
          <w:ilvl w:val="0"/>
          <w:numId w:val="9"/>
        </w:numPr>
        <w:spacing w:before="80" w:after="80" w:line="276" w:lineRule="auto"/>
        <w:ind w:left="284" w:hanging="284"/>
        <w:jc w:val="both"/>
        <w:rPr>
          <w:rFonts w:cs="Arial"/>
          <w:szCs w:val="24"/>
        </w:rPr>
      </w:pPr>
      <w:r w:rsidRPr="00B90B86">
        <w:rPr>
          <w:rFonts w:cs="Arial"/>
          <w:szCs w:val="24"/>
        </w:rPr>
        <w:t>Le mode de paiement direct des soins par les usagers ;</w:t>
      </w:r>
    </w:p>
    <w:p w14:paraId="245C8215" w14:textId="77777777" w:rsidR="00654821" w:rsidRPr="00B90B86" w:rsidRDefault="00654821" w:rsidP="00654821">
      <w:pPr>
        <w:pStyle w:val="Paragraphedeliste"/>
        <w:widowControl w:val="0"/>
        <w:numPr>
          <w:ilvl w:val="0"/>
          <w:numId w:val="9"/>
        </w:numPr>
        <w:spacing w:before="80" w:after="80" w:line="276" w:lineRule="auto"/>
        <w:ind w:left="284" w:hanging="284"/>
        <w:jc w:val="both"/>
        <w:rPr>
          <w:rFonts w:cs="Arial"/>
          <w:szCs w:val="24"/>
        </w:rPr>
      </w:pPr>
      <w:r w:rsidRPr="00B90B86">
        <w:rPr>
          <w:rFonts w:cs="Arial"/>
          <w:szCs w:val="24"/>
        </w:rPr>
        <w:t>La non-coordination et non-intégration des différents guichets du financement ;</w:t>
      </w:r>
    </w:p>
    <w:p w14:paraId="0BF71F19" w14:textId="77777777" w:rsidR="00654821" w:rsidRPr="00B90B86" w:rsidRDefault="00654821" w:rsidP="00654821">
      <w:pPr>
        <w:pStyle w:val="Paragraphedeliste"/>
        <w:widowControl w:val="0"/>
        <w:numPr>
          <w:ilvl w:val="0"/>
          <w:numId w:val="9"/>
        </w:numPr>
        <w:spacing w:before="80" w:after="80" w:line="276" w:lineRule="auto"/>
        <w:ind w:left="284" w:hanging="284"/>
        <w:jc w:val="both"/>
        <w:rPr>
          <w:rFonts w:cs="Arial"/>
          <w:szCs w:val="24"/>
        </w:rPr>
      </w:pPr>
      <w:r w:rsidRPr="00B90B86">
        <w:rPr>
          <w:rFonts w:cs="Arial"/>
          <w:szCs w:val="24"/>
        </w:rPr>
        <w:t>La multiplicité des points de perception, expression de la marchandisation des soins ;</w:t>
      </w:r>
    </w:p>
    <w:p w14:paraId="2270AFCA" w14:textId="77777777" w:rsidR="00654821" w:rsidRPr="00B90B86" w:rsidRDefault="00654821" w:rsidP="00654821">
      <w:pPr>
        <w:pStyle w:val="Paragraphedeliste"/>
        <w:widowControl w:val="0"/>
        <w:numPr>
          <w:ilvl w:val="0"/>
          <w:numId w:val="9"/>
        </w:numPr>
        <w:spacing w:before="80" w:after="80" w:line="276" w:lineRule="auto"/>
        <w:ind w:left="284" w:hanging="284"/>
        <w:jc w:val="both"/>
        <w:rPr>
          <w:rFonts w:cs="Arial"/>
          <w:szCs w:val="24"/>
        </w:rPr>
      </w:pPr>
      <w:r w:rsidRPr="00B90B86">
        <w:rPr>
          <w:rFonts w:cs="Arial"/>
          <w:szCs w:val="24"/>
        </w:rPr>
        <w:t>Le non-respect des tarifs ;</w:t>
      </w:r>
    </w:p>
    <w:p w14:paraId="5814AA94" w14:textId="77777777" w:rsidR="00654821" w:rsidRPr="00B90B86" w:rsidRDefault="00654821" w:rsidP="00654821">
      <w:pPr>
        <w:pStyle w:val="Paragraphedeliste"/>
        <w:widowControl w:val="0"/>
        <w:numPr>
          <w:ilvl w:val="0"/>
          <w:numId w:val="9"/>
        </w:numPr>
        <w:spacing w:before="80" w:after="80" w:line="276" w:lineRule="auto"/>
        <w:ind w:left="284" w:hanging="284"/>
        <w:jc w:val="both"/>
        <w:rPr>
          <w:rFonts w:cs="Arial"/>
          <w:szCs w:val="24"/>
        </w:rPr>
      </w:pPr>
      <w:r w:rsidRPr="00B90B86">
        <w:rPr>
          <w:rFonts w:cs="Arial"/>
          <w:szCs w:val="24"/>
        </w:rPr>
        <w:t>L’inefficience dans l’utilisation des ressources mobilisées ;</w:t>
      </w:r>
    </w:p>
    <w:p w14:paraId="2BE0D392"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L’absence de transparence et de redevabilité.</w:t>
      </w:r>
    </w:p>
    <w:p w14:paraId="6B215FC7" w14:textId="77777777" w:rsidR="00654821" w:rsidRPr="00B90B86" w:rsidRDefault="00654821" w:rsidP="00654821">
      <w:pPr>
        <w:widowControl w:val="0"/>
        <w:spacing w:after="60" w:line="276" w:lineRule="auto"/>
        <w:jc w:val="both"/>
        <w:rPr>
          <w:rFonts w:cs="Arial"/>
          <w:szCs w:val="20"/>
        </w:rPr>
      </w:pPr>
      <w:r w:rsidRPr="00B90B86">
        <w:rPr>
          <w:rFonts w:cs="Arial"/>
          <w:szCs w:val="20"/>
        </w:rPr>
        <w:t>De ces causes directes, les causes sous-jacentes sont les suivantes :</w:t>
      </w:r>
    </w:p>
    <w:p w14:paraId="7A644A07"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Faiblesse des dépenses de santé par habitant :</w:t>
      </w:r>
    </w:p>
    <w:p w14:paraId="7478EEBE"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Faiblesse du financement public de la santé par le budget de l’Etat ;</w:t>
      </w:r>
    </w:p>
    <w:p w14:paraId="5E6BE722" w14:textId="527A380E"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Faible mutualisation des risques maladies à travers le développement des assurances</w:t>
      </w:r>
      <w:r w:rsidRPr="00B90B86">
        <w:rPr>
          <w:rFonts w:cs="Arial"/>
          <w:szCs w:val="24"/>
        </w:rPr>
        <w:t xml:space="preserve"> (obligatoire, mutuelle, privée …)</w:t>
      </w:r>
      <w:r w:rsidR="000F51BC">
        <w:rPr>
          <w:rFonts w:cs="Arial"/>
          <w:szCs w:val="24"/>
        </w:rPr>
        <w:t> ;</w:t>
      </w:r>
    </w:p>
    <w:p w14:paraId="6C8EE3C8"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Faiblesse</w:t>
      </w:r>
      <w:r w:rsidRPr="00B90B86">
        <w:rPr>
          <w:rFonts w:cs="Arial"/>
          <w:szCs w:val="24"/>
        </w:rPr>
        <w:t xml:space="preserve"> de leadership de l’Etat dans la mobilisation des ressources.</w:t>
      </w:r>
    </w:p>
    <w:p w14:paraId="40C56718"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Le mode de paiement direct des soins par les usagers favorise les exclusions et les dépenses catastrophiques :</w:t>
      </w:r>
    </w:p>
    <w:p w14:paraId="7010CBDF"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rPr>
          <w:rFonts w:cs="Arial"/>
          <w:szCs w:val="24"/>
        </w:rPr>
        <w:t xml:space="preserve">Faible </w:t>
      </w:r>
      <w:r w:rsidRPr="00AD3BDC">
        <w:t>pénétration</w:t>
      </w:r>
      <w:r w:rsidRPr="00B90B86">
        <w:rPr>
          <w:rFonts w:cs="Arial"/>
          <w:szCs w:val="24"/>
        </w:rPr>
        <w:t xml:space="preserve"> des dispositifs assurantiels.</w:t>
      </w:r>
    </w:p>
    <w:p w14:paraId="4F6A2724"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La non-coordination et non-intégration des différents guichets du financement :</w:t>
      </w:r>
    </w:p>
    <w:p w14:paraId="366C771B" w14:textId="35C55916"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Faiblesse du leadership de l’Etat</w:t>
      </w:r>
      <w:r w:rsidR="000F51BC">
        <w:t> ;</w:t>
      </w:r>
    </w:p>
    <w:p w14:paraId="7A221747" w14:textId="6EF77F53"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Faiblesse du système d’information faute d’études et d’enquêtes</w:t>
      </w:r>
      <w:r w:rsidR="000F51BC">
        <w:t> ;</w:t>
      </w:r>
      <w:r w:rsidRPr="00B90B86">
        <w:t xml:space="preserve"> </w:t>
      </w:r>
    </w:p>
    <w:p w14:paraId="08E40225"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Absence</w:t>
      </w:r>
      <w:r w:rsidRPr="00AD3BDC">
        <w:t xml:space="preserve"> de cadre formalisé</w:t>
      </w:r>
      <w:r w:rsidRPr="00B90B86">
        <w:rPr>
          <w:rFonts w:cs="Arial"/>
          <w:szCs w:val="24"/>
        </w:rPr>
        <w:t xml:space="preserve"> de concertation des acteurs de financement.</w:t>
      </w:r>
    </w:p>
    <w:p w14:paraId="2E3308F4"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Le non-respect des tarifs :</w:t>
      </w:r>
    </w:p>
    <w:p w14:paraId="76EB455D"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Système de tarification éclatée ;</w:t>
      </w:r>
    </w:p>
    <w:p w14:paraId="3AD100FD"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Installation de la marchandisation des soins dans les structures publiques ;</w:t>
      </w:r>
    </w:p>
    <w:p w14:paraId="7F1FBBA7"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Absence de système de contrôle efficace ;</w:t>
      </w:r>
    </w:p>
    <w:p w14:paraId="7F6EFC63"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Manque de rigueur dans la gestion des structures ;</w:t>
      </w:r>
    </w:p>
    <w:p w14:paraId="5FD55295"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Absence de contrôle des tarifs ;</w:t>
      </w:r>
    </w:p>
    <w:p w14:paraId="15CDF845"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Non mise</w:t>
      </w:r>
      <w:r w:rsidRPr="00B90B86">
        <w:rPr>
          <w:rFonts w:cs="Arial"/>
          <w:szCs w:val="24"/>
        </w:rPr>
        <w:t xml:space="preserve"> à jour des tarifs depuis 2009. </w:t>
      </w:r>
    </w:p>
    <w:p w14:paraId="19BA3640"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L’inefficience dans l’utilisation des ressources mobilisées :</w:t>
      </w:r>
    </w:p>
    <w:p w14:paraId="17BFFE28"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Faiblesse de capacité de gestion financière et matérielle ;</w:t>
      </w:r>
    </w:p>
    <w:p w14:paraId="3B861441"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Pratique de dotation des structures sanitaires en intrants dont les médicaments ;</w:t>
      </w:r>
    </w:p>
    <w:p w14:paraId="21C3E5A5"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Faiblesse</w:t>
      </w:r>
      <w:r w:rsidRPr="00B90B86">
        <w:rPr>
          <w:rFonts w:cs="Arial"/>
          <w:szCs w:val="24"/>
        </w:rPr>
        <w:t xml:space="preserve"> du système de contrôle. </w:t>
      </w:r>
    </w:p>
    <w:p w14:paraId="734DB139"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L’absence de transparence et de redevabilité :</w:t>
      </w:r>
    </w:p>
    <w:p w14:paraId="0694C016"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Faiblesse du système comptable garantissant la traçabilité des ressources financières ;</w:t>
      </w:r>
    </w:p>
    <w:p w14:paraId="1399C085"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Absence de système de rapports standardisés ;</w:t>
      </w:r>
    </w:p>
    <w:p w14:paraId="0C7B6E75"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Absence de cadres de compte-rendu approprié à tous les niveaux de la pyramide sanitaire ;</w:t>
      </w:r>
    </w:p>
    <w:p w14:paraId="7649448F" w14:textId="0AD8CEA9" w:rsidR="00654821"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Absence</w:t>
      </w:r>
      <w:r w:rsidRPr="00B90B86">
        <w:rPr>
          <w:rFonts w:cs="Arial"/>
          <w:szCs w:val="24"/>
        </w:rPr>
        <w:t xml:space="preserve"> d’audit et de contrôle.</w:t>
      </w:r>
    </w:p>
    <w:p w14:paraId="3A7CD454" w14:textId="39E62E0C" w:rsidR="005B4F5E" w:rsidRDefault="005B4F5E" w:rsidP="005B4F5E">
      <w:pPr>
        <w:pStyle w:val="Paragraphedeliste"/>
        <w:widowControl w:val="0"/>
        <w:tabs>
          <w:tab w:val="left" w:pos="567"/>
        </w:tabs>
        <w:spacing w:after="0" w:line="276" w:lineRule="auto"/>
        <w:ind w:left="567"/>
        <w:contextualSpacing w:val="0"/>
        <w:jc w:val="both"/>
        <w:rPr>
          <w:rFonts w:cs="Arial"/>
          <w:szCs w:val="24"/>
        </w:rPr>
      </w:pPr>
    </w:p>
    <w:p w14:paraId="4E814665" w14:textId="1105B598" w:rsidR="008D2FBE" w:rsidRDefault="008D2FBE" w:rsidP="005B4F5E">
      <w:pPr>
        <w:pStyle w:val="Paragraphedeliste"/>
        <w:widowControl w:val="0"/>
        <w:tabs>
          <w:tab w:val="left" w:pos="567"/>
        </w:tabs>
        <w:spacing w:after="0" w:line="276" w:lineRule="auto"/>
        <w:ind w:left="567"/>
        <w:contextualSpacing w:val="0"/>
        <w:jc w:val="both"/>
        <w:rPr>
          <w:rFonts w:cs="Arial"/>
          <w:szCs w:val="24"/>
        </w:rPr>
      </w:pPr>
    </w:p>
    <w:p w14:paraId="231448F5" w14:textId="77777777" w:rsidR="008D2FBE" w:rsidRPr="00B90B86" w:rsidRDefault="008D2FBE" w:rsidP="005B4F5E">
      <w:pPr>
        <w:pStyle w:val="Paragraphedeliste"/>
        <w:widowControl w:val="0"/>
        <w:tabs>
          <w:tab w:val="left" w:pos="567"/>
        </w:tabs>
        <w:spacing w:after="0" w:line="276" w:lineRule="auto"/>
        <w:ind w:left="567"/>
        <w:contextualSpacing w:val="0"/>
        <w:jc w:val="both"/>
        <w:rPr>
          <w:rFonts w:cs="Arial"/>
          <w:szCs w:val="24"/>
        </w:rPr>
      </w:pPr>
    </w:p>
    <w:p w14:paraId="73D81BC8" w14:textId="1F3CA542" w:rsidR="00654821" w:rsidRPr="00B90B86" w:rsidRDefault="00654821" w:rsidP="00D238C3">
      <w:pPr>
        <w:pStyle w:val="Titre1"/>
        <w:numPr>
          <w:ilvl w:val="0"/>
          <w:numId w:val="31"/>
        </w:numPr>
      </w:pPr>
      <w:bookmarkStart w:id="803" w:name="_Toc14324656"/>
      <w:bookmarkStart w:id="804" w:name="_Toc14354874"/>
      <w:bookmarkStart w:id="805" w:name="_Toc14867839"/>
      <w:bookmarkStart w:id="806" w:name="_Toc14871539"/>
      <w:bookmarkStart w:id="807" w:name="_Toc15660795"/>
      <w:bookmarkStart w:id="808" w:name="_Toc15977917"/>
      <w:bookmarkStart w:id="809" w:name="_Toc80787392"/>
      <w:bookmarkStart w:id="810" w:name="_Toc80789196"/>
      <w:r w:rsidRPr="00B90B86">
        <w:lastRenderedPageBreak/>
        <w:t>Approches de solutions</w:t>
      </w:r>
      <w:bookmarkStart w:id="811" w:name="_Hlk80774348"/>
      <w:bookmarkEnd w:id="803"/>
      <w:bookmarkEnd w:id="804"/>
      <w:bookmarkEnd w:id="805"/>
      <w:bookmarkEnd w:id="806"/>
      <w:bookmarkEnd w:id="807"/>
      <w:bookmarkEnd w:id="808"/>
      <w:bookmarkEnd w:id="809"/>
      <w:bookmarkEnd w:id="810"/>
    </w:p>
    <w:bookmarkEnd w:id="811"/>
    <w:p w14:paraId="44AEAEFB" w14:textId="77777777" w:rsidR="00654821" w:rsidRPr="00B90B86" w:rsidRDefault="00654821" w:rsidP="00654821">
      <w:pPr>
        <w:widowControl w:val="0"/>
        <w:spacing w:after="60" w:line="276" w:lineRule="auto"/>
        <w:jc w:val="both"/>
        <w:rPr>
          <w:rFonts w:cs="Arial"/>
          <w:szCs w:val="20"/>
        </w:rPr>
      </w:pPr>
      <w:r w:rsidRPr="00B90B86">
        <w:rPr>
          <w:rFonts w:cs="Arial"/>
          <w:szCs w:val="20"/>
        </w:rPr>
        <w:t>Les approches de solution issues de cette analyse sont :</w:t>
      </w:r>
    </w:p>
    <w:p w14:paraId="7C7BBF9A"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Rehausser les dépenses de santé par habitant à travers les mesures suivantes :</w:t>
      </w:r>
    </w:p>
    <w:p w14:paraId="327270C8"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Améliorer le financement public de la santé par le budget de l’Etat ;</w:t>
      </w:r>
    </w:p>
    <w:p w14:paraId="6B5D699E" w14:textId="27DC874B"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Promouvoir la mutualisation des risques maladies à travers le développement des assurances (obligatoire, mutuelle, privée …)</w:t>
      </w:r>
      <w:r w:rsidR="000F51BC">
        <w:t> ;</w:t>
      </w:r>
    </w:p>
    <w:p w14:paraId="79A9BEBE"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Renforcer</w:t>
      </w:r>
      <w:r w:rsidRPr="00B90B86">
        <w:rPr>
          <w:rFonts w:cs="Arial"/>
          <w:szCs w:val="24"/>
        </w:rPr>
        <w:t xml:space="preserve"> le leadership de l’Etat dans la mobilisation des ressources.</w:t>
      </w:r>
    </w:p>
    <w:p w14:paraId="0007720B"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Réduire le paiement direct des soins par les usagers et protéger les populations contre les dépenses catastrophiques :</w:t>
      </w:r>
    </w:p>
    <w:p w14:paraId="38AEBC94"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Renforcer</w:t>
      </w:r>
      <w:r w:rsidRPr="00B90B86">
        <w:rPr>
          <w:rFonts w:cs="Arial"/>
          <w:szCs w:val="24"/>
        </w:rPr>
        <w:t xml:space="preserve"> le taux de pénétration des dispositifs assurantiels.</w:t>
      </w:r>
    </w:p>
    <w:p w14:paraId="22855688"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Assurer la coordination et l’intégration des différents guichets du financement :</w:t>
      </w:r>
    </w:p>
    <w:p w14:paraId="70555B92" w14:textId="523F10B3"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Renforcer le leadership de l’Etat</w:t>
      </w:r>
      <w:r w:rsidR="000F51BC">
        <w:t> ;</w:t>
      </w:r>
    </w:p>
    <w:p w14:paraId="15A6EAC6" w14:textId="587095AB"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Améliorer le système d’information par des études et des enquêtes</w:t>
      </w:r>
      <w:r w:rsidR="000F51BC">
        <w:t> ;</w:t>
      </w:r>
      <w:r w:rsidRPr="00B90B86">
        <w:t xml:space="preserve"> </w:t>
      </w:r>
    </w:p>
    <w:p w14:paraId="3F8975C9"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Mettre en place une plateforme de concertation des acteurs de financement</w:t>
      </w:r>
      <w:r w:rsidRPr="00B90B86">
        <w:rPr>
          <w:rFonts w:cs="Arial"/>
          <w:szCs w:val="24"/>
        </w:rPr>
        <w:t>.</w:t>
      </w:r>
    </w:p>
    <w:p w14:paraId="17788147"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Mettre en place un mécanisme de contrôle du respect des tarifs :</w:t>
      </w:r>
    </w:p>
    <w:p w14:paraId="050451CB"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Instaurer un système de tarification basée sur les forfaits ;</w:t>
      </w:r>
    </w:p>
    <w:p w14:paraId="11C299C9"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Mettre en place un système de contrôle efficace ;</w:t>
      </w:r>
    </w:p>
    <w:p w14:paraId="719280F8"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Mettre de la rigueur dans la gestion des structures ;</w:t>
      </w:r>
    </w:p>
    <w:p w14:paraId="1C6A98D7"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Mettre en place un système de contrôle des tarifs ;</w:t>
      </w:r>
    </w:p>
    <w:p w14:paraId="40763590"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Actualiser</w:t>
      </w:r>
      <w:r w:rsidRPr="00B90B86">
        <w:rPr>
          <w:rFonts w:cs="Arial"/>
          <w:szCs w:val="24"/>
        </w:rPr>
        <w:t xml:space="preserve"> régulièrement les tarifs. </w:t>
      </w:r>
    </w:p>
    <w:p w14:paraId="11F1BDC4"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Rendre efficiente l’utilisation des ressources mobilisées :</w:t>
      </w:r>
    </w:p>
    <w:p w14:paraId="0209C3A0"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Renforcer les capacités de gestion financière et matérielle ;</w:t>
      </w:r>
    </w:p>
    <w:p w14:paraId="4BA2862D"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Eliminer les dotations des structures sanitaires en intrants dont les médicaments et les remplacer par de financement basé sur des résultats ;</w:t>
      </w:r>
    </w:p>
    <w:p w14:paraId="350236E8"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B90B86">
        <w:t>Renforcer</w:t>
      </w:r>
      <w:r w:rsidRPr="00B90B86">
        <w:rPr>
          <w:rFonts w:cs="Arial"/>
          <w:szCs w:val="24"/>
        </w:rPr>
        <w:t xml:space="preserve"> le système de contrôle. </w:t>
      </w:r>
    </w:p>
    <w:p w14:paraId="3101227F" w14:textId="77777777" w:rsidR="00654821" w:rsidRPr="00B90B86" w:rsidRDefault="00654821" w:rsidP="00654821">
      <w:pPr>
        <w:pStyle w:val="Paragraphedeliste"/>
        <w:widowControl w:val="0"/>
        <w:numPr>
          <w:ilvl w:val="0"/>
          <w:numId w:val="9"/>
        </w:numPr>
        <w:spacing w:before="40" w:after="40" w:line="276" w:lineRule="auto"/>
        <w:ind w:left="284" w:hanging="284"/>
        <w:jc w:val="both"/>
        <w:rPr>
          <w:rFonts w:cs="Arial"/>
          <w:szCs w:val="24"/>
        </w:rPr>
      </w:pPr>
      <w:r w:rsidRPr="00B90B86">
        <w:rPr>
          <w:rFonts w:cs="Arial"/>
          <w:szCs w:val="24"/>
        </w:rPr>
        <w:t>Renforcer la transparence et la redevabilité :</w:t>
      </w:r>
    </w:p>
    <w:p w14:paraId="13952F2B"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B90B86">
        <w:t>Mettre en place un système comptable garantissant la traçabilité des ressources financières ;</w:t>
      </w:r>
    </w:p>
    <w:p w14:paraId="5D3F2D9B" w14:textId="77777777" w:rsidR="00654821" w:rsidRPr="00AD3BDC"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AD3BDC">
        <w:t>Mettre en place un système de rapports standardisés ;</w:t>
      </w:r>
    </w:p>
    <w:p w14:paraId="5BC57ADC" w14:textId="77777777" w:rsidR="00654821" w:rsidRPr="00AD3BDC" w:rsidRDefault="00654821" w:rsidP="00654821">
      <w:pPr>
        <w:pStyle w:val="Paragraphedeliste"/>
        <w:widowControl w:val="0"/>
        <w:numPr>
          <w:ilvl w:val="0"/>
          <w:numId w:val="1"/>
        </w:numPr>
        <w:tabs>
          <w:tab w:val="left" w:pos="567"/>
        </w:tabs>
        <w:spacing w:after="0" w:line="276" w:lineRule="auto"/>
        <w:ind w:left="567" w:hanging="283"/>
        <w:contextualSpacing w:val="0"/>
        <w:jc w:val="both"/>
      </w:pPr>
      <w:r w:rsidRPr="00AD3BDC">
        <w:t>Instaurer un cadre de compte-rendu approprié à tous les niveaux de la pyramide sanitaire ;</w:t>
      </w:r>
    </w:p>
    <w:p w14:paraId="420724CF" w14:textId="77777777" w:rsidR="00654821" w:rsidRPr="00B90B86" w:rsidRDefault="00654821" w:rsidP="00654821">
      <w:pPr>
        <w:pStyle w:val="Paragraphedeliste"/>
        <w:widowControl w:val="0"/>
        <w:numPr>
          <w:ilvl w:val="0"/>
          <w:numId w:val="1"/>
        </w:numPr>
        <w:tabs>
          <w:tab w:val="left" w:pos="567"/>
        </w:tabs>
        <w:spacing w:after="0" w:line="276" w:lineRule="auto"/>
        <w:ind w:left="567" w:hanging="283"/>
        <w:contextualSpacing w:val="0"/>
        <w:jc w:val="both"/>
        <w:rPr>
          <w:rFonts w:cs="Arial"/>
          <w:szCs w:val="24"/>
        </w:rPr>
      </w:pPr>
      <w:r w:rsidRPr="00AD3BDC">
        <w:t>Mettre en place</w:t>
      </w:r>
      <w:r w:rsidRPr="00B90B86">
        <w:rPr>
          <w:rFonts w:cs="Arial"/>
          <w:szCs w:val="24"/>
        </w:rPr>
        <w:t xml:space="preserve"> un système d’audit et de contrôle.</w:t>
      </w:r>
    </w:p>
    <w:p w14:paraId="782D6272" w14:textId="77777777" w:rsidR="00654821" w:rsidRPr="00B90B86" w:rsidRDefault="00654821" w:rsidP="00654821">
      <w:pPr>
        <w:pStyle w:val="Paragraphedeliste"/>
        <w:widowControl w:val="0"/>
        <w:spacing w:after="60" w:line="276" w:lineRule="auto"/>
        <w:ind w:left="0"/>
        <w:contextualSpacing w:val="0"/>
        <w:jc w:val="both"/>
        <w:rPr>
          <w:rFonts w:cs="Arial"/>
          <w:szCs w:val="24"/>
        </w:rPr>
      </w:pPr>
    </w:p>
    <w:p w14:paraId="0171C4E1" w14:textId="77777777" w:rsidR="00F45495" w:rsidRDefault="00F45495"/>
    <w:sectPr w:rsidR="00F45495" w:rsidSect="00316FDB">
      <w:headerReference w:type="default" r:id="rId16"/>
      <w:footerReference w:type="default" r:id="rId17"/>
      <w:pgSz w:w="11906" w:h="16838"/>
      <w:pgMar w:top="1134" w:right="1134" w:bottom="1134" w:left="1418" w:header="709" w:footer="709"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B762" w14:textId="77777777" w:rsidR="009E794E" w:rsidRDefault="009E794E" w:rsidP="00654821">
      <w:pPr>
        <w:spacing w:after="0" w:line="240" w:lineRule="auto"/>
      </w:pPr>
      <w:r>
        <w:separator/>
      </w:r>
    </w:p>
  </w:endnote>
  <w:endnote w:type="continuationSeparator" w:id="0">
    <w:p w14:paraId="3C988157" w14:textId="77777777" w:rsidR="009E794E" w:rsidRDefault="009E794E" w:rsidP="0065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016A" w14:textId="469C3AFE" w:rsidR="00316FDB" w:rsidRDefault="00316FDB">
    <w:pPr>
      <w:pStyle w:val="Pieddepage"/>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28FF212" wp14:editId="3BCD5F42">
              <wp:simplePos x="0" y="0"/>
              <wp:positionH relativeFrom="column">
                <wp:posOffset>121285</wp:posOffset>
              </wp:positionH>
              <wp:positionV relativeFrom="paragraph">
                <wp:posOffset>-93345</wp:posOffset>
              </wp:positionV>
              <wp:extent cx="5890260" cy="15240"/>
              <wp:effectExtent l="0" t="0" r="34290" b="22860"/>
              <wp:wrapNone/>
              <wp:docPr id="9" name="Connecteur droit 9"/>
              <wp:cNvGraphicFramePr/>
              <a:graphic xmlns:a="http://schemas.openxmlformats.org/drawingml/2006/main">
                <a:graphicData uri="http://schemas.microsoft.com/office/word/2010/wordprocessingShape">
                  <wps:wsp>
                    <wps:cNvCnPr/>
                    <wps:spPr>
                      <a:xfrm flipV="1">
                        <a:off x="0" y="0"/>
                        <a:ext cx="5890260" cy="152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C8348" id="Connecteur droit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7.35pt" to="47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" strokecolor="#4472c4 [3204]" strokeweight="1pt">
              <v:stroke joinstyle="miter"/>
            </v:line>
          </w:pict>
        </mc:Fallback>
      </mc:AlternateContent>
    </w: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sur </w:t>
    </w:r>
    <w:r>
      <w:rPr>
        <w:color w:val="4472C4" w:themeColor="accent1"/>
      </w:rPr>
      <w:fldChar w:fldCharType="begin"/>
    </w:r>
    <w:r>
      <w:rPr>
        <w:color w:val="4472C4" w:themeColor="accent1"/>
      </w:rPr>
      <w:instrText>NUMPAGES  \* arabe  \* MERGEFORMAT</w:instrText>
    </w:r>
    <w:r>
      <w:rPr>
        <w:color w:val="4472C4" w:themeColor="accent1"/>
      </w:rPr>
      <w:fldChar w:fldCharType="separate"/>
    </w:r>
    <w:r>
      <w:rPr>
        <w:color w:val="4472C4" w:themeColor="accent1"/>
      </w:rPr>
      <w:t>2</w:t>
    </w:r>
    <w:r>
      <w:rPr>
        <w:color w:val="4472C4" w:themeColor="accent1"/>
      </w:rPr>
      <w:fldChar w:fldCharType="end"/>
    </w:r>
  </w:p>
  <w:p w14:paraId="48CC2983" w14:textId="77777777" w:rsidR="0023513E" w:rsidRDefault="00235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6E30" w14:textId="77777777" w:rsidR="009E794E" w:rsidRDefault="009E794E" w:rsidP="00654821">
      <w:pPr>
        <w:spacing w:after="0" w:line="240" w:lineRule="auto"/>
      </w:pPr>
      <w:r>
        <w:separator/>
      </w:r>
    </w:p>
  </w:footnote>
  <w:footnote w:type="continuationSeparator" w:id="0">
    <w:p w14:paraId="3A69F1B1" w14:textId="77777777" w:rsidR="009E794E" w:rsidRDefault="009E794E" w:rsidP="00654821">
      <w:pPr>
        <w:spacing w:after="0" w:line="240" w:lineRule="auto"/>
      </w:pPr>
      <w:r>
        <w:continuationSeparator/>
      </w:r>
    </w:p>
  </w:footnote>
  <w:footnote w:id="1">
    <w:p w14:paraId="1E653859" w14:textId="77777777" w:rsidR="00310D85" w:rsidRPr="00BE285E" w:rsidRDefault="00310D85" w:rsidP="00310D85">
      <w:pPr>
        <w:pStyle w:val="CS2"/>
        <w:ind w:left="142" w:hanging="142"/>
        <w:jc w:val="both"/>
      </w:pPr>
      <w:r>
        <w:rPr>
          <w:rStyle w:val="Appelnotedebasdep"/>
        </w:rPr>
        <w:footnoteRef/>
      </w:r>
      <w:r w:rsidRPr="009B6E42">
        <w:t xml:space="preserve"> </w:t>
      </w:r>
      <w:r w:rsidRPr="00BE285E">
        <w:rPr>
          <w:rFonts w:ascii="Times New Roman" w:hAnsi="Times New Roman" w:cs="Times New Roman"/>
          <w:b w:val="0"/>
          <w:sz w:val="18"/>
          <w:szCs w:val="18"/>
        </w:rPr>
        <w:t>République</w:t>
      </w:r>
      <w:r w:rsidRPr="00BE285E">
        <w:rPr>
          <w:rFonts w:ascii="Times New Roman" w:eastAsiaTheme="minorHAnsi" w:hAnsi="Times New Roman" w:cs="Times New Roman"/>
          <w:b w:val="0"/>
          <w:sz w:val="18"/>
          <w:szCs w:val="18"/>
          <w:lang w:val="fr-BE" w:eastAsia="en-US"/>
        </w:rPr>
        <w:t xml:space="preserve"> de Guinée, Ministère de la Santé, Bureau de Stratégie et de Développement, </w:t>
      </w:r>
      <w:r w:rsidRPr="00BE285E">
        <w:rPr>
          <w:rFonts w:ascii="Times New Roman" w:hAnsi="Times New Roman" w:cs="Times New Roman"/>
          <w:b w:val="0"/>
          <w:sz w:val="18"/>
          <w:szCs w:val="18"/>
        </w:rPr>
        <w:t>Comptes nationaux de la sante, années 2017, 2018, 2019</w:t>
      </w:r>
    </w:p>
  </w:footnote>
  <w:footnote w:id="2">
    <w:p w14:paraId="77359614" w14:textId="0DDD8607" w:rsidR="00654821" w:rsidRPr="00652A8E" w:rsidRDefault="00654821" w:rsidP="00654821">
      <w:pPr>
        <w:pStyle w:val="CS2"/>
        <w:ind w:left="142" w:hanging="142"/>
        <w:jc w:val="both"/>
        <w:rPr>
          <w:rFonts w:ascii="Times New Roman" w:eastAsiaTheme="minorHAnsi" w:hAnsi="Times New Roman" w:cs="Times New Roman"/>
          <w:b w:val="0"/>
          <w:sz w:val="18"/>
          <w:szCs w:val="18"/>
          <w:lang w:val="fr-BE" w:eastAsia="en-US"/>
        </w:rPr>
      </w:pPr>
      <w:r>
        <w:rPr>
          <w:rStyle w:val="Appelnotedebasdep"/>
        </w:rPr>
        <w:footnoteRef/>
      </w:r>
      <w:r w:rsidRPr="00BB6A1E">
        <w:t xml:space="preserve"> </w:t>
      </w:r>
      <w:r w:rsidRPr="00FF3C94">
        <w:rPr>
          <w:rFonts w:ascii="Times New Roman" w:eastAsiaTheme="minorHAnsi" w:hAnsi="Times New Roman" w:cs="Times New Roman"/>
          <w:b w:val="0"/>
          <w:sz w:val="18"/>
          <w:szCs w:val="18"/>
          <w:lang w:val="fr-BE" w:eastAsia="en-US"/>
        </w:rPr>
        <w:t>République</w:t>
      </w:r>
      <w:r w:rsidRPr="00652A8E">
        <w:rPr>
          <w:rFonts w:ascii="Times New Roman" w:eastAsiaTheme="minorHAnsi" w:hAnsi="Times New Roman" w:cs="Times New Roman"/>
          <w:b w:val="0"/>
          <w:sz w:val="18"/>
          <w:szCs w:val="18"/>
          <w:lang w:val="fr-BE" w:eastAsia="en-US"/>
        </w:rPr>
        <w:t xml:space="preserve"> de Guinée, Ministère de la Santé, Bureau de Stratégie et de Développement, </w:t>
      </w:r>
      <w:r w:rsidRPr="001E0E7D">
        <w:rPr>
          <w:rFonts w:ascii="Times New Roman" w:eastAsiaTheme="minorHAnsi" w:hAnsi="Times New Roman" w:cs="Times New Roman"/>
          <w:b w:val="0"/>
          <w:sz w:val="18"/>
          <w:szCs w:val="18"/>
          <w:lang w:val="fr-BE" w:eastAsia="en-US"/>
        </w:rPr>
        <w:t>Comptes nationaux de la sante, années 201</w:t>
      </w:r>
      <w:r w:rsidR="0005211E">
        <w:rPr>
          <w:rFonts w:ascii="Times New Roman" w:eastAsiaTheme="minorHAnsi" w:hAnsi="Times New Roman" w:cs="Times New Roman"/>
          <w:b w:val="0"/>
          <w:sz w:val="18"/>
          <w:szCs w:val="18"/>
          <w:lang w:val="fr-BE" w:eastAsia="en-US"/>
        </w:rPr>
        <w:t>7</w:t>
      </w:r>
      <w:r w:rsidRPr="001E0E7D">
        <w:rPr>
          <w:rFonts w:ascii="Times New Roman" w:eastAsiaTheme="minorHAnsi" w:hAnsi="Times New Roman" w:cs="Times New Roman"/>
          <w:b w:val="0"/>
          <w:sz w:val="18"/>
          <w:szCs w:val="18"/>
          <w:lang w:val="fr-BE" w:eastAsia="en-US"/>
        </w:rPr>
        <w:t>, 201</w:t>
      </w:r>
      <w:r w:rsidR="0005211E">
        <w:rPr>
          <w:rFonts w:ascii="Times New Roman" w:eastAsiaTheme="minorHAnsi" w:hAnsi="Times New Roman" w:cs="Times New Roman"/>
          <w:b w:val="0"/>
          <w:sz w:val="18"/>
          <w:szCs w:val="18"/>
          <w:lang w:val="fr-BE" w:eastAsia="en-US"/>
        </w:rPr>
        <w:t>8</w:t>
      </w:r>
      <w:r w:rsidRPr="001E0E7D">
        <w:rPr>
          <w:rFonts w:ascii="Times New Roman" w:eastAsiaTheme="minorHAnsi" w:hAnsi="Times New Roman" w:cs="Times New Roman"/>
          <w:b w:val="0"/>
          <w:sz w:val="18"/>
          <w:szCs w:val="18"/>
          <w:lang w:val="fr-BE" w:eastAsia="en-US"/>
        </w:rPr>
        <w:t>, 201</w:t>
      </w:r>
      <w:r w:rsidR="0005211E">
        <w:rPr>
          <w:rFonts w:ascii="Times New Roman" w:eastAsiaTheme="minorHAnsi" w:hAnsi="Times New Roman" w:cs="Times New Roman"/>
          <w:b w:val="0"/>
          <w:sz w:val="18"/>
          <w:szCs w:val="18"/>
          <w:lang w:val="fr-BE" w:eastAsia="en-US"/>
        </w:rPr>
        <w:t>9</w:t>
      </w:r>
    </w:p>
  </w:footnote>
  <w:footnote w:id="3">
    <w:p w14:paraId="5DCB7107" w14:textId="21D055A3" w:rsidR="00654821" w:rsidRPr="004E655A" w:rsidRDefault="00654821" w:rsidP="00654821">
      <w:pPr>
        <w:pStyle w:val="CS2"/>
        <w:jc w:val="both"/>
        <w:rPr>
          <w:rFonts w:ascii="Times New Roman" w:eastAsiaTheme="minorHAnsi" w:hAnsi="Times New Roman" w:cs="Times New Roman"/>
          <w:b w:val="0"/>
          <w:sz w:val="18"/>
          <w:szCs w:val="18"/>
          <w:lang w:val="en-US" w:eastAsia="en-US"/>
        </w:rPr>
      </w:pPr>
      <w:r w:rsidRPr="00652A8E">
        <w:rPr>
          <w:rFonts w:ascii="Times New Roman" w:eastAsiaTheme="minorHAnsi" w:hAnsi="Times New Roman" w:cs="Times New Roman"/>
          <w:b w:val="0"/>
          <w:sz w:val="18"/>
          <w:szCs w:val="18"/>
          <w:lang w:val="fr-BE" w:eastAsia="en-US"/>
        </w:rPr>
        <w:footnoteRef/>
      </w:r>
      <w:r w:rsidRPr="00652A8E">
        <w:rPr>
          <w:rFonts w:ascii="Times New Roman" w:eastAsiaTheme="minorHAnsi" w:hAnsi="Times New Roman" w:cs="Times New Roman"/>
          <w:b w:val="0"/>
          <w:sz w:val="18"/>
          <w:szCs w:val="18"/>
          <w:lang w:val="fr-BE" w:eastAsia="en-US"/>
        </w:rPr>
        <w:t xml:space="preserve"> </w:t>
      </w:r>
      <w:hyperlink r:id="rId1" w:tgtFrame="_blank" w:history="1">
        <w:r w:rsidRPr="00652A8E">
          <w:rPr>
            <w:rFonts w:ascii="Times New Roman" w:eastAsiaTheme="minorHAnsi" w:hAnsi="Times New Roman" w:cs="Times New Roman"/>
            <w:b w:val="0"/>
            <w:sz w:val="18"/>
            <w:szCs w:val="18"/>
            <w:lang w:val="fr-BE" w:eastAsia="en-US"/>
          </w:rPr>
          <w:t>BSC Uzochukwu</w:t>
        </w:r>
      </w:hyperlink>
      <w:r w:rsidRPr="00652A8E">
        <w:rPr>
          <w:rFonts w:ascii="Times New Roman" w:eastAsiaTheme="minorHAnsi" w:hAnsi="Times New Roman" w:cs="Times New Roman"/>
          <w:b w:val="0"/>
          <w:sz w:val="18"/>
          <w:szCs w:val="18"/>
          <w:lang w:val="fr-BE" w:eastAsia="en-US"/>
        </w:rPr>
        <w:t xml:space="preserve">, </w:t>
      </w:r>
      <w:hyperlink r:id="rId2" w:tgtFrame="_blank" w:history="1">
        <w:r w:rsidRPr="00652A8E">
          <w:rPr>
            <w:rFonts w:ascii="Times New Roman" w:eastAsiaTheme="minorHAnsi" w:hAnsi="Times New Roman" w:cs="Times New Roman"/>
            <w:b w:val="0"/>
            <w:sz w:val="18"/>
            <w:szCs w:val="18"/>
            <w:lang w:val="fr-BE" w:eastAsia="en-US"/>
          </w:rPr>
          <w:t>MD Ughasoro</w:t>
        </w:r>
      </w:hyperlink>
      <w:r w:rsidRPr="00652A8E">
        <w:rPr>
          <w:rFonts w:ascii="Times New Roman" w:eastAsiaTheme="minorHAnsi" w:hAnsi="Times New Roman" w:cs="Times New Roman"/>
          <w:b w:val="0"/>
          <w:sz w:val="18"/>
          <w:szCs w:val="18"/>
          <w:lang w:val="fr-BE" w:eastAsia="en-US"/>
        </w:rPr>
        <w:t>, </w:t>
      </w:r>
      <w:hyperlink r:id="rId3" w:tgtFrame="_blank" w:history="1">
        <w:r w:rsidRPr="00652A8E">
          <w:rPr>
            <w:rFonts w:ascii="Times New Roman" w:eastAsiaTheme="minorHAnsi" w:hAnsi="Times New Roman" w:cs="Times New Roman"/>
            <w:b w:val="0"/>
            <w:sz w:val="18"/>
            <w:szCs w:val="18"/>
            <w:lang w:val="fr-BE" w:eastAsia="en-US"/>
          </w:rPr>
          <w:t>E Etiaba</w:t>
        </w:r>
      </w:hyperlink>
      <w:r w:rsidRPr="00652A8E">
        <w:rPr>
          <w:rFonts w:ascii="Times New Roman" w:eastAsiaTheme="minorHAnsi" w:hAnsi="Times New Roman" w:cs="Times New Roman"/>
          <w:b w:val="0"/>
          <w:sz w:val="18"/>
          <w:szCs w:val="18"/>
          <w:lang w:val="fr-BE" w:eastAsia="en-US"/>
        </w:rPr>
        <w:t>, </w:t>
      </w:r>
      <w:hyperlink r:id="rId4" w:tgtFrame="_blank" w:history="1">
        <w:r w:rsidRPr="00652A8E">
          <w:rPr>
            <w:rFonts w:ascii="Times New Roman" w:eastAsiaTheme="minorHAnsi" w:hAnsi="Times New Roman" w:cs="Times New Roman"/>
            <w:b w:val="0"/>
            <w:sz w:val="18"/>
            <w:szCs w:val="18"/>
            <w:lang w:val="fr-BE" w:eastAsia="en-US"/>
          </w:rPr>
          <w:t>C Okwuosa</w:t>
        </w:r>
      </w:hyperlink>
      <w:r w:rsidRPr="00652A8E">
        <w:rPr>
          <w:rFonts w:ascii="Times New Roman" w:eastAsiaTheme="minorHAnsi" w:hAnsi="Times New Roman" w:cs="Times New Roman"/>
          <w:b w:val="0"/>
          <w:sz w:val="18"/>
          <w:szCs w:val="18"/>
          <w:lang w:val="fr-BE" w:eastAsia="en-US"/>
        </w:rPr>
        <w:t>, </w:t>
      </w:r>
      <w:hyperlink r:id="rId5" w:tgtFrame="_blank" w:history="1">
        <w:r w:rsidRPr="00652A8E">
          <w:rPr>
            <w:rFonts w:ascii="Times New Roman" w:eastAsiaTheme="minorHAnsi" w:hAnsi="Times New Roman" w:cs="Times New Roman"/>
            <w:b w:val="0"/>
            <w:sz w:val="18"/>
            <w:szCs w:val="18"/>
            <w:lang w:val="fr-BE" w:eastAsia="en-US"/>
          </w:rPr>
          <w:t>E Envuladu</w:t>
        </w:r>
      </w:hyperlink>
      <w:r w:rsidRPr="00652A8E">
        <w:rPr>
          <w:rFonts w:ascii="Times New Roman" w:eastAsiaTheme="minorHAnsi" w:hAnsi="Times New Roman" w:cs="Times New Roman"/>
          <w:b w:val="0"/>
          <w:sz w:val="18"/>
          <w:szCs w:val="18"/>
          <w:lang w:val="fr-BE" w:eastAsia="en-US"/>
        </w:rPr>
        <w:t>, </w:t>
      </w:r>
      <w:hyperlink r:id="rId6" w:tgtFrame="_blank" w:history="1">
        <w:r w:rsidRPr="00652A8E">
          <w:rPr>
            <w:rFonts w:ascii="Times New Roman" w:eastAsiaTheme="minorHAnsi" w:hAnsi="Times New Roman" w:cs="Times New Roman"/>
            <w:b w:val="0"/>
            <w:sz w:val="18"/>
            <w:szCs w:val="18"/>
            <w:lang w:val="fr-BE" w:eastAsia="en-US"/>
          </w:rPr>
          <w:t>OE Onwujekwe</w:t>
        </w:r>
      </w:hyperlink>
      <w:r w:rsidRPr="00652A8E">
        <w:rPr>
          <w:rFonts w:ascii="Times New Roman" w:eastAsiaTheme="minorHAnsi" w:hAnsi="Times New Roman" w:cs="Times New Roman"/>
          <w:b w:val="0"/>
          <w:sz w:val="18"/>
          <w:szCs w:val="18"/>
          <w:lang w:val="fr-BE" w:eastAsia="en-US"/>
        </w:rPr>
        <w:t xml:space="preserve">, Financement   des soins de santé au Nigéria: implications pour la couverture sanitaire universelle, Article de révision. </w:t>
      </w:r>
      <w:r w:rsidR="00AD73CC" w:rsidRPr="004E655A">
        <w:rPr>
          <w:rFonts w:ascii="Times New Roman" w:eastAsiaTheme="minorHAnsi" w:hAnsi="Times New Roman" w:cs="Times New Roman"/>
          <w:b w:val="0"/>
          <w:sz w:val="18"/>
          <w:szCs w:val="18"/>
          <w:lang w:val="en-US" w:eastAsia="en-US"/>
        </w:rPr>
        <w:t>2015:</w:t>
      </w:r>
      <w:r w:rsidRPr="004E655A">
        <w:rPr>
          <w:rFonts w:ascii="Times New Roman" w:eastAsiaTheme="minorHAnsi" w:hAnsi="Times New Roman" w:cs="Times New Roman"/>
          <w:b w:val="0"/>
          <w:sz w:val="18"/>
          <w:szCs w:val="18"/>
          <w:lang w:val="en-US" w:eastAsia="en-US"/>
        </w:rPr>
        <w:t xml:space="preserve"> 18(4</w:t>
      </w:r>
      <w:r w:rsidR="00AD73CC" w:rsidRPr="004E655A">
        <w:rPr>
          <w:rFonts w:ascii="Times New Roman" w:eastAsiaTheme="minorHAnsi" w:hAnsi="Times New Roman" w:cs="Times New Roman"/>
          <w:b w:val="0"/>
          <w:sz w:val="18"/>
          <w:szCs w:val="18"/>
          <w:lang w:val="en-US" w:eastAsia="en-US"/>
        </w:rPr>
        <w:t>):</w:t>
      </w:r>
      <w:r w:rsidRPr="004E655A">
        <w:rPr>
          <w:rFonts w:ascii="Times New Roman" w:eastAsiaTheme="minorHAnsi" w:hAnsi="Times New Roman" w:cs="Times New Roman"/>
          <w:b w:val="0"/>
          <w:sz w:val="18"/>
          <w:szCs w:val="18"/>
          <w:lang w:val="en-US" w:eastAsia="en-US"/>
        </w:rPr>
        <w:t xml:space="preserve"> 437-444</w:t>
      </w:r>
    </w:p>
  </w:footnote>
  <w:footnote w:id="4">
    <w:p w14:paraId="60BC0BCF" w14:textId="65563F9E" w:rsidR="00654821" w:rsidRPr="00652A8E" w:rsidRDefault="00654821" w:rsidP="00654821">
      <w:pPr>
        <w:pStyle w:val="Default"/>
        <w:tabs>
          <w:tab w:val="left" w:pos="426"/>
        </w:tabs>
        <w:jc w:val="both"/>
      </w:pPr>
      <w:r>
        <w:rPr>
          <w:rStyle w:val="Appelnotedebasdep"/>
        </w:rPr>
        <w:footnoteRef/>
      </w:r>
      <w:r w:rsidRPr="00652A8E">
        <w:rPr>
          <w:lang w:val="en-US"/>
        </w:rPr>
        <w:t xml:space="preserve"> </w:t>
      </w:r>
      <w:r w:rsidRPr="00652A8E">
        <w:rPr>
          <w:rFonts w:ascii="Times New Roman" w:hAnsi="Times New Roman" w:cs="Times New Roman"/>
          <w:color w:val="auto"/>
          <w:sz w:val="18"/>
          <w:szCs w:val="18"/>
          <w:lang w:val="en-US"/>
        </w:rPr>
        <w:t xml:space="preserve">T. S. O'Connell, K. J. A. Bedford, M. Thiede et D. McIntyre. </w:t>
      </w:r>
      <w:r w:rsidRPr="00652A8E">
        <w:rPr>
          <w:rFonts w:ascii="Times New Roman" w:hAnsi="Times New Roman" w:cs="Times New Roman"/>
          <w:color w:val="auto"/>
          <w:sz w:val="18"/>
          <w:szCs w:val="18"/>
          <w:lang w:val="fr-BE"/>
        </w:rPr>
        <w:t xml:space="preserve">Synthèse des preuves qualitatives et quantitatives sur les obstacles à l'accès non </w:t>
      </w:r>
      <w:r w:rsidR="00AD73CC" w:rsidRPr="00652A8E">
        <w:rPr>
          <w:rFonts w:ascii="Times New Roman" w:hAnsi="Times New Roman" w:cs="Times New Roman"/>
          <w:color w:val="auto"/>
          <w:sz w:val="18"/>
          <w:szCs w:val="18"/>
          <w:lang w:val="fr-BE"/>
        </w:rPr>
        <w:t>financier :</w:t>
      </w:r>
      <w:r w:rsidRPr="00652A8E">
        <w:rPr>
          <w:rFonts w:ascii="Times New Roman" w:hAnsi="Times New Roman" w:cs="Times New Roman"/>
          <w:color w:val="auto"/>
          <w:sz w:val="18"/>
          <w:szCs w:val="18"/>
          <w:lang w:val="fr-BE"/>
        </w:rPr>
        <w:t xml:space="preserve"> implications pour l'évaluation au niveau du district. Journal international pour l'équité en santé. Le journal officiel de la Société internationale pour l'équité en santé. </w:t>
      </w:r>
      <w:r w:rsidR="00AD73CC" w:rsidRPr="00652A8E">
        <w:rPr>
          <w:rFonts w:ascii="Times New Roman" w:hAnsi="Times New Roman" w:cs="Times New Roman"/>
          <w:color w:val="auto"/>
          <w:sz w:val="18"/>
          <w:szCs w:val="18"/>
          <w:lang w:val="fr-BE"/>
        </w:rPr>
        <w:t>2015 :</w:t>
      </w:r>
      <w:r w:rsidRPr="00652A8E">
        <w:rPr>
          <w:rFonts w:ascii="Times New Roman" w:hAnsi="Times New Roman" w:cs="Times New Roman"/>
          <w:color w:val="auto"/>
          <w:sz w:val="18"/>
          <w:szCs w:val="18"/>
          <w:lang w:val="fr-BE"/>
        </w:rPr>
        <w:t xml:space="preserve"> </w:t>
      </w:r>
      <w:r w:rsidR="00AD73CC" w:rsidRPr="00652A8E">
        <w:rPr>
          <w:rFonts w:ascii="Times New Roman" w:hAnsi="Times New Roman" w:cs="Times New Roman"/>
          <w:color w:val="auto"/>
          <w:sz w:val="18"/>
          <w:szCs w:val="18"/>
          <w:lang w:val="fr-BE"/>
        </w:rPr>
        <w:t>14 :</w:t>
      </w:r>
      <w:r w:rsidRPr="00652A8E">
        <w:rPr>
          <w:rFonts w:ascii="Times New Roman" w:hAnsi="Times New Roman" w:cs="Times New Roman"/>
          <w:color w:val="auto"/>
          <w:sz w:val="18"/>
          <w:szCs w:val="18"/>
          <w:lang w:val="fr-BE"/>
        </w:rPr>
        <w:t xml:space="preserve"> 54 in </w:t>
      </w:r>
      <w:hyperlink r:id="rId7" w:history="1">
        <w:r w:rsidRPr="00652A8E">
          <w:rPr>
            <w:rFonts w:ascii="Times New Roman" w:hAnsi="Times New Roman" w:cs="Times New Roman"/>
            <w:color w:val="auto"/>
            <w:sz w:val="18"/>
            <w:szCs w:val="18"/>
            <w:lang w:val="fr-BE"/>
          </w:rPr>
          <w:t>https://doi.org/10.1186/s12939-015-0181-z</w:t>
        </w:r>
      </w:hyperlink>
    </w:p>
  </w:footnote>
  <w:footnote w:id="5">
    <w:p w14:paraId="291DDE1D" w14:textId="77777777" w:rsidR="00654821" w:rsidRPr="00F11758" w:rsidRDefault="00654821" w:rsidP="00654821">
      <w:pPr>
        <w:pStyle w:val="Default"/>
        <w:tabs>
          <w:tab w:val="left" w:pos="426"/>
        </w:tabs>
        <w:jc w:val="both"/>
        <w:rPr>
          <w:rFonts w:ascii="Times New Roman" w:hAnsi="Times New Roman" w:cs="Times New Roman"/>
          <w:color w:val="auto"/>
          <w:sz w:val="18"/>
          <w:szCs w:val="18"/>
          <w:lang w:val="fr-BE"/>
        </w:rPr>
      </w:pPr>
      <w:r>
        <w:rPr>
          <w:rStyle w:val="Appelnotedebasdep"/>
        </w:rPr>
        <w:footnoteRef/>
      </w:r>
      <w:r w:rsidRPr="00627CF8">
        <w:t xml:space="preserve"> </w:t>
      </w:r>
      <w:r w:rsidRPr="00F11758">
        <w:rPr>
          <w:rFonts w:ascii="Times New Roman" w:hAnsi="Times New Roman" w:cs="Times New Roman"/>
          <w:color w:val="auto"/>
          <w:sz w:val="18"/>
          <w:szCs w:val="18"/>
          <w:lang w:val="fr-BE"/>
        </w:rPr>
        <w:t>M. L. Dramé, Evaluation de la situation du système de santé vers la couverture santé universelle – Guinée, 2017.</w:t>
      </w:r>
    </w:p>
  </w:footnote>
  <w:footnote w:id="6">
    <w:p w14:paraId="79DED72C" w14:textId="77777777" w:rsidR="00654821" w:rsidRPr="00F11758" w:rsidRDefault="00654821" w:rsidP="00654821">
      <w:pPr>
        <w:pStyle w:val="CS2"/>
        <w:jc w:val="both"/>
        <w:rPr>
          <w:rFonts w:ascii="Times New Roman" w:eastAsiaTheme="minorHAnsi" w:hAnsi="Times New Roman" w:cs="Times New Roman"/>
          <w:b w:val="0"/>
          <w:sz w:val="18"/>
          <w:szCs w:val="18"/>
          <w:lang w:val="fr-BE" w:eastAsia="en-US"/>
        </w:rPr>
      </w:pPr>
      <w:r w:rsidRPr="00F11758">
        <w:rPr>
          <w:rFonts w:ascii="Times New Roman" w:eastAsiaTheme="minorHAnsi" w:hAnsi="Times New Roman" w:cs="Times New Roman"/>
          <w:b w:val="0"/>
          <w:sz w:val="18"/>
          <w:szCs w:val="18"/>
          <w:lang w:val="fr-BE" w:eastAsia="en-US"/>
        </w:rPr>
        <w:footnoteRef/>
      </w:r>
      <w:r w:rsidRPr="00F11758">
        <w:rPr>
          <w:rFonts w:ascii="Times New Roman" w:eastAsiaTheme="minorHAnsi" w:hAnsi="Times New Roman" w:cs="Times New Roman"/>
          <w:b w:val="0"/>
          <w:sz w:val="18"/>
          <w:szCs w:val="18"/>
          <w:lang w:val="fr-BE" w:eastAsia="en-US"/>
        </w:rPr>
        <w:t xml:space="preserve"> Ministère de la Santé, Bureau de Stratégie et de Développement, Annuaire des statistiques sanitaires, 2015.</w:t>
      </w:r>
    </w:p>
  </w:footnote>
  <w:footnote w:id="7">
    <w:p w14:paraId="74F1AE9D" w14:textId="77777777" w:rsidR="00654821" w:rsidRPr="00F11758" w:rsidRDefault="00654821" w:rsidP="00654821">
      <w:pPr>
        <w:pStyle w:val="Notedebasdepage"/>
        <w:rPr>
          <w:rFonts w:ascii="Times New Roman" w:hAnsi="Times New Roman"/>
          <w:bCs/>
          <w:sz w:val="18"/>
          <w:szCs w:val="18"/>
          <w:lang w:val="fr-BE"/>
        </w:rPr>
      </w:pPr>
      <w:r w:rsidRPr="00F11758">
        <w:rPr>
          <w:rStyle w:val="Appelnotedebasdep"/>
        </w:rPr>
        <w:footnoteRef/>
      </w:r>
      <w:r w:rsidRPr="00F11758">
        <w:t xml:space="preserve"> </w:t>
      </w:r>
      <w:r w:rsidRPr="00F11758">
        <w:rPr>
          <w:rFonts w:ascii="Times New Roman" w:hAnsi="Times New Roman"/>
          <w:sz w:val="18"/>
          <w:szCs w:val="18"/>
          <w:lang w:val="fr-BE"/>
        </w:rPr>
        <w:t>Ministère de la Santé, Bureau de Stratégie et de Développement, Annuaire des statistiques sanitaires, 2016.</w:t>
      </w:r>
    </w:p>
  </w:footnote>
  <w:footnote w:id="8">
    <w:p w14:paraId="76C4B225" w14:textId="77777777" w:rsidR="00654821" w:rsidRPr="00652A8E" w:rsidRDefault="00654821" w:rsidP="00654821">
      <w:pPr>
        <w:pStyle w:val="Notedebasdepage"/>
        <w:rPr>
          <w:rFonts w:ascii="Times New Roman" w:hAnsi="Times New Roman"/>
          <w:bCs/>
          <w:sz w:val="18"/>
          <w:szCs w:val="18"/>
          <w:lang w:val="fr-BE"/>
        </w:rPr>
      </w:pPr>
      <w:r w:rsidRPr="00F11758">
        <w:rPr>
          <w:rStyle w:val="Appelnotedebasdep"/>
        </w:rPr>
        <w:footnoteRef/>
      </w:r>
      <w:r w:rsidRPr="00F11758">
        <w:t xml:space="preserve"> </w:t>
      </w:r>
      <w:r w:rsidRPr="00F11758">
        <w:rPr>
          <w:rFonts w:ascii="Times New Roman" w:hAnsi="Times New Roman"/>
          <w:sz w:val="18"/>
          <w:szCs w:val="18"/>
          <w:lang w:val="fr-BE"/>
        </w:rPr>
        <w:t>Ministère de la Santé, Bureau de Stratégie et de Développement, Annuaire des statistiques sanitaires,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5CC5" w14:textId="466A099D" w:rsidR="00552B35" w:rsidRPr="00552B35" w:rsidRDefault="00552B35" w:rsidP="00552B35">
    <w:pPr>
      <w:pStyle w:val="En-tte"/>
      <w:jc w:val="center"/>
      <w:rPr>
        <w:b/>
        <w:bCs/>
        <w:i/>
        <w:iCs/>
        <w:sz w:val="20"/>
        <w:szCs w:val="18"/>
      </w:rPr>
    </w:pPr>
    <w:r>
      <w:rPr>
        <w:b/>
        <w:bCs/>
        <w:i/>
        <w:iCs/>
        <w:noProof/>
        <w:sz w:val="20"/>
        <w:szCs w:val="18"/>
      </w:rPr>
      <mc:AlternateContent>
        <mc:Choice Requires="wps">
          <w:drawing>
            <wp:anchor distT="0" distB="0" distL="114300" distR="114300" simplePos="0" relativeHeight="251660288" behindDoc="0" locked="0" layoutInCell="1" allowOverlap="1" wp14:anchorId="6CFFB575" wp14:editId="66A356E0">
              <wp:simplePos x="0" y="0"/>
              <wp:positionH relativeFrom="column">
                <wp:posOffset>13970</wp:posOffset>
              </wp:positionH>
              <wp:positionV relativeFrom="paragraph">
                <wp:posOffset>182245</wp:posOffset>
              </wp:positionV>
              <wp:extent cx="5890260" cy="7620"/>
              <wp:effectExtent l="19050" t="19050" r="34290" b="30480"/>
              <wp:wrapNone/>
              <wp:docPr id="10" name="Connecteur droit 10"/>
              <wp:cNvGraphicFramePr/>
              <a:graphic xmlns:a="http://schemas.openxmlformats.org/drawingml/2006/main">
                <a:graphicData uri="http://schemas.microsoft.com/office/word/2010/wordprocessingShape">
                  <wps:wsp>
                    <wps:cNvCnPr/>
                    <wps:spPr>
                      <a:xfrm flipV="1">
                        <a:off x="0" y="0"/>
                        <a:ext cx="5890260"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3CCA6" id="Connecteur droit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pt,14.35pt" to="464.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" strokecolor="#4472c4 [3204]" strokeweight="2.25pt">
              <v:stroke joinstyle="miter"/>
            </v:line>
          </w:pict>
        </mc:Fallback>
      </mc:AlternateContent>
    </w:r>
    <w:r w:rsidRPr="00552B35">
      <w:rPr>
        <w:b/>
        <w:bCs/>
        <w:i/>
        <w:iCs/>
        <w:sz w:val="20"/>
        <w:szCs w:val="18"/>
      </w:rPr>
      <w:t>Groupe Thématique Financement de la Santé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F9"/>
    <w:multiLevelType w:val="hybridMultilevel"/>
    <w:tmpl w:val="4D1EDB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0E7521"/>
    <w:multiLevelType w:val="multilevel"/>
    <w:tmpl w:val="EFC4E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426C3D"/>
    <w:multiLevelType w:val="multilevel"/>
    <w:tmpl w:val="36C0E0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1778D"/>
    <w:multiLevelType w:val="hybridMultilevel"/>
    <w:tmpl w:val="AE849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1C04A6"/>
    <w:multiLevelType w:val="multilevel"/>
    <w:tmpl w:val="B8FE88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D8422B"/>
    <w:multiLevelType w:val="hybridMultilevel"/>
    <w:tmpl w:val="3A9AB3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F65AD"/>
    <w:multiLevelType w:val="hybridMultilevel"/>
    <w:tmpl w:val="E7A0AC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DF04E6"/>
    <w:multiLevelType w:val="multilevel"/>
    <w:tmpl w:val="4AE80CE8"/>
    <w:numStyleLink w:val="Style3"/>
  </w:abstractNum>
  <w:abstractNum w:abstractNumId="8" w15:restartNumberingAfterBreak="0">
    <w:nsid w:val="234E11BE"/>
    <w:multiLevelType w:val="hybridMultilevel"/>
    <w:tmpl w:val="983C9A30"/>
    <w:lvl w:ilvl="0" w:tplc="BAF85BF2">
      <w:numFmt w:val="bullet"/>
      <w:lvlText w:val="-"/>
      <w:lvlJc w:val="left"/>
      <w:pPr>
        <w:ind w:left="1571" w:hanging="360"/>
      </w:pPr>
      <w:rPr>
        <w:rFonts w:ascii="Cambria" w:eastAsia="Times New Roman" w:hAnsi="Cambria"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2C1F6CCB"/>
    <w:multiLevelType w:val="multilevel"/>
    <w:tmpl w:val="040C001F"/>
    <w:numStyleLink w:val="Style4"/>
  </w:abstractNum>
  <w:abstractNum w:abstractNumId="10" w15:restartNumberingAfterBreak="0">
    <w:nsid w:val="2F580472"/>
    <w:multiLevelType w:val="multilevel"/>
    <w:tmpl w:val="7688D32C"/>
    <w:lvl w:ilvl="0">
      <w:start w:val="3"/>
      <w:numFmt w:val="decimal"/>
      <w:lvlText w:val="%1."/>
      <w:lvlJc w:val="left"/>
      <w:pPr>
        <w:ind w:left="650" w:hanging="650"/>
      </w:pPr>
      <w:rPr>
        <w:rFonts w:hint="default"/>
      </w:rPr>
    </w:lvl>
    <w:lvl w:ilvl="1">
      <w:start w:val="2"/>
      <w:numFmt w:val="decimal"/>
      <w:lvlText w:val="%1.%2."/>
      <w:lvlJc w:val="left"/>
      <w:pPr>
        <w:ind w:left="171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1" w15:restartNumberingAfterBreak="0">
    <w:nsid w:val="306B3A86"/>
    <w:multiLevelType w:val="multilevel"/>
    <w:tmpl w:val="040C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051B27"/>
    <w:multiLevelType w:val="hybridMultilevel"/>
    <w:tmpl w:val="CFE07BE6"/>
    <w:lvl w:ilvl="0" w:tplc="6672B4B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E4879"/>
    <w:multiLevelType w:val="hybridMultilevel"/>
    <w:tmpl w:val="19D4212C"/>
    <w:lvl w:ilvl="0" w:tplc="2168080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8F7BD5"/>
    <w:multiLevelType w:val="multilevel"/>
    <w:tmpl w:val="DC9CE6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20304A"/>
    <w:multiLevelType w:val="hybridMultilevel"/>
    <w:tmpl w:val="F3825888"/>
    <w:lvl w:ilvl="0" w:tplc="ABCC5A26">
      <w:start w:val="4"/>
      <w:numFmt w:val="bullet"/>
      <w:lvlText w:val="-"/>
      <w:lvlJc w:val="left"/>
      <w:pPr>
        <w:ind w:left="360" w:hanging="360"/>
      </w:pPr>
      <w:rPr>
        <w:rFonts w:ascii="Maiandra GD" w:eastAsiaTheme="minorHAnsi" w:hAnsi="Maiandra GD"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6833308"/>
    <w:multiLevelType w:val="hybridMultilevel"/>
    <w:tmpl w:val="5F5E2C9C"/>
    <w:lvl w:ilvl="0" w:tplc="C316D61A">
      <w:start w:val="1"/>
      <w:numFmt w:val="lowerLetter"/>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642AE1"/>
    <w:multiLevelType w:val="hybridMultilevel"/>
    <w:tmpl w:val="996070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EB060D"/>
    <w:multiLevelType w:val="multilevel"/>
    <w:tmpl w:val="5F1E9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306B4A"/>
    <w:multiLevelType w:val="multilevel"/>
    <w:tmpl w:val="DC3A5FCE"/>
    <w:lvl w:ilvl="0">
      <w:start w:val="3"/>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9F4C8E"/>
    <w:multiLevelType w:val="multilevel"/>
    <w:tmpl w:val="53789C48"/>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3E17D29"/>
    <w:multiLevelType w:val="multilevel"/>
    <w:tmpl w:val="040C001F"/>
    <w:styleLink w:val="Style4"/>
    <w:lvl w:ilvl="0">
      <w:start w:val="1"/>
      <w:numFmt w:val="decimal"/>
      <w:lvlText w:val="%1."/>
      <w:lvlJc w:val="left"/>
      <w:pPr>
        <w:ind w:left="360" w:hanging="360"/>
      </w:pPr>
      <w:rPr>
        <w:rFonts w:hint="default"/>
        <w:color w:val="002060"/>
      </w:rPr>
    </w:lvl>
    <w:lvl w:ilvl="1">
      <w:start w:val="1"/>
      <w:numFmt w:val="decimal"/>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683AB6"/>
    <w:multiLevelType w:val="multilevel"/>
    <w:tmpl w:val="2054AA98"/>
    <w:lvl w:ilvl="0">
      <w:start w:val="3"/>
      <w:numFmt w:val="decimal"/>
      <w:lvlText w:val="%1."/>
      <w:lvlJc w:val="left"/>
      <w:pPr>
        <w:ind w:left="460" w:hanging="4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3" w15:restartNumberingAfterBreak="0">
    <w:nsid w:val="71727AC8"/>
    <w:multiLevelType w:val="hybridMultilevel"/>
    <w:tmpl w:val="341ECB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F4781"/>
    <w:multiLevelType w:val="multilevel"/>
    <w:tmpl w:val="4AA62192"/>
    <w:lvl w:ilvl="0">
      <w:start w:val="1"/>
      <w:numFmt w:val="decimal"/>
      <w:lvlText w:val="%1."/>
      <w:lvlJc w:val="left"/>
      <w:pPr>
        <w:ind w:left="360" w:hanging="360"/>
      </w:pPr>
      <w:rPr>
        <w:rFonts w:hint="default"/>
      </w:rPr>
    </w:lvl>
    <w:lvl w:ilvl="1">
      <w:start w:val="1"/>
      <w:numFmt w:val="decimal"/>
      <w:lvlText w:val="%1.%2."/>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CF0A3F"/>
    <w:multiLevelType w:val="multilevel"/>
    <w:tmpl w:val="4AE80CE8"/>
    <w:styleLink w:val="Style3"/>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bullet"/>
      <w:lvlText w:val=""/>
      <w:lvlJc w:val="left"/>
      <w:pPr>
        <w:ind w:left="1008" w:hanging="1008"/>
      </w:pPr>
      <w:rPr>
        <w:rFonts w:ascii="Wingdings" w:hAnsi="Wingding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3F71AF0"/>
    <w:multiLevelType w:val="hybridMultilevel"/>
    <w:tmpl w:val="3D50AF08"/>
    <w:lvl w:ilvl="0" w:tplc="C9B6D9AC">
      <w:start w:val="1"/>
      <w:numFmt w:val="bullet"/>
      <w:lvlText w:val="–"/>
      <w:lvlJc w:val="left"/>
      <w:pPr>
        <w:ind w:left="1428" w:hanging="360"/>
      </w:pPr>
      <w:rPr>
        <w:rFonts w:ascii="Century Gothic" w:hAnsi="Century Gothic"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B234BC3"/>
    <w:multiLevelType w:val="multilevel"/>
    <w:tmpl w:val="645A58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pStyle w:val="Titre4"/>
      <w:lvlText w:val="%1.%2.%3.%4"/>
      <w:lvlJc w:val="left"/>
      <w:pPr>
        <w:ind w:left="1506"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EC811D8"/>
    <w:multiLevelType w:val="hybridMultilevel"/>
    <w:tmpl w:val="5BA2BC64"/>
    <w:lvl w:ilvl="0" w:tplc="C9B6D9AC">
      <w:start w:val="1"/>
      <w:numFmt w:val="bullet"/>
      <w:lvlText w:val="–"/>
      <w:lvlJc w:val="left"/>
      <w:pPr>
        <w:ind w:left="502" w:hanging="360"/>
      </w:pPr>
      <w:rPr>
        <w:rFonts w:ascii="Century Gothic" w:hAnsi="Century Goth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7F426773"/>
    <w:multiLevelType w:val="multilevel"/>
    <w:tmpl w:val="0D304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4"/>
  </w:num>
  <w:num w:numId="3">
    <w:abstractNumId w:val="18"/>
  </w:num>
  <w:num w:numId="4">
    <w:abstractNumId w:val="5"/>
  </w:num>
  <w:num w:numId="5">
    <w:abstractNumId w:val="13"/>
  </w:num>
  <w:num w:numId="6">
    <w:abstractNumId w:val="17"/>
  </w:num>
  <w:num w:numId="7">
    <w:abstractNumId w:val="6"/>
  </w:num>
  <w:num w:numId="8">
    <w:abstractNumId w:val="12"/>
  </w:num>
  <w:num w:numId="9">
    <w:abstractNumId w:val="23"/>
  </w:num>
  <w:num w:numId="10">
    <w:abstractNumId w:val="25"/>
  </w:num>
  <w:num w:numId="11">
    <w:abstractNumId w:val="21"/>
  </w:num>
  <w:num w:numId="12">
    <w:abstractNumId w:val="9"/>
  </w:num>
  <w:num w:numId="13">
    <w:abstractNumId w:val="29"/>
  </w:num>
  <w:num w:numId="14">
    <w:abstractNumId w:val="2"/>
  </w:num>
  <w:num w:numId="15">
    <w:abstractNumId w:val="27"/>
  </w:num>
  <w:num w:numId="16">
    <w:abstractNumId w:val="1"/>
  </w:num>
  <w:num w:numId="17">
    <w:abstractNumId w:val="7"/>
  </w:num>
  <w:num w:numId="18">
    <w:abstractNumId w:val="7"/>
    <w:lvlOverride w:ilvl="0">
      <w:startOverride w:val="6"/>
    </w:lvlOverride>
    <w:lvlOverride w:ilvl="1">
      <w:startOverride w:val="1"/>
    </w:lvlOverride>
    <w:lvlOverride w:ilvl="2">
      <w:startOverride w:val="2"/>
    </w:lvlOverride>
  </w:num>
  <w:num w:numId="19">
    <w:abstractNumId w:val="26"/>
  </w:num>
  <w:num w:numId="20">
    <w:abstractNumId w:val="16"/>
  </w:num>
  <w:num w:numId="21">
    <w:abstractNumId w:val="0"/>
  </w:num>
  <w:num w:numId="22">
    <w:abstractNumId w:val="15"/>
  </w:num>
  <w:num w:numId="23">
    <w:abstractNumId w:val="10"/>
  </w:num>
  <w:num w:numId="24">
    <w:abstractNumId w:val="19"/>
  </w:num>
  <w:num w:numId="25">
    <w:abstractNumId w:val="22"/>
  </w:num>
  <w:num w:numId="26">
    <w:abstractNumId w:val="14"/>
  </w:num>
  <w:num w:numId="27">
    <w:abstractNumId w:val="28"/>
  </w:num>
  <w:num w:numId="28">
    <w:abstractNumId w:val="11"/>
  </w:num>
  <w:num w:numId="29">
    <w:abstractNumId w:val="20"/>
  </w:num>
  <w:num w:numId="30">
    <w:abstractNumId w:val="3"/>
  </w:num>
  <w:num w:numId="31">
    <w:abstractNumId w:val="4"/>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E"/>
    <w:rsid w:val="00022A52"/>
    <w:rsid w:val="000239A9"/>
    <w:rsid w:val="000253B8"/>
    <w:rsid w:val="000319C2"/>
    <w:rsid w:val="0005211E"/>
    <w:rsid w:val="00094276"/>
    <w:rsid w:val="000E05AB"/>
    <w:rsid w:val="000F51BC"/>
    <w:rsid w:val="00132526"/>
    <w:rsid w:val="00163570"/>
    <w:rsid w:val="00191003"/>
    <w:rsid w:val="00194F26"/>
    <w:rsid w:val="0019595F"/>
    <w:rsid w:val="001C2D4A"/>
    <w:rsid w:val="001D0122"/>
    <w:rsid w:val="001F54AC"/>
    <w:rsid w:val="0023513E"/>
    <w:rsid w:val="00235362"/>
    <w:rsid w:val="00241922"/>
    <w:rsid w:val="00271C7A"/>
    <w:rsid w:val="002737C7"/>
    <w:rsid w:val="0027747F"/>
    <w:rsid w:val="002B3C6A"/>
    <w:rsid w:val="002F53FD"/>
    <w:rsid w:val="00310D85"/>
    <w:rsid w:val="00312BCA"/>
    <w:rsid w:val="00316FDB"/>
    <w:rsid w:val="003441DF"/>
    <w:rsid w:val="00352859"/>
    <w:rsid w:val="00357A04"/>
    <w:rsid w:val="00375FBC"/>
    <w:rsid w:val="003936F8"/>
    <w:rsid w:val="00413AE9"/>
    <w:rsid w:val="00436185"/>
    <w:rsid w:val="00444B24"/>
    <w:rsid w:val="004662E9"/>
    <w:rsid w:val="0047030E"/>
    <w:rsid w:val="004D2232"/>
    <w:rsid w:val="004F09EF"/>
    <w:rsid w:val="0053571F"/>
    <w:rsid w:val="00552B35"/>
    <w:rsid w:val="0056686A"/>
    <w:rsid w:val="00580B42"/>
    <w:rsid w:val="00584D0D"/>
    <w:rsid w:val="00586382"/>
    <w:rsid w:val="00593063"/>
    <w:rsid w:val="005A4692"/>
    <w:rsid w:val="005B4F5E"/>
    <w:rsid w:val="005B5169"/>
    <w:rsid w:val="005E406F"/>
    <w:rsid w:val="00631EB3"/>
    <w:rsid w:val="00654821"/>
    <w:rsid w:val="006577B7"/>
    <w:rsid w:val="0067205A"/>
    <w:rsid w:val="0068379A"/>
    <w:rsid w:val="00685C03"/>
    <w:rsid w:val="0069453C"/>
    <w:rsid w:val="006963E0"/>
    <w:rsid w:val="00697063"/>
    <w:rsid w:val="006F4EC9"/>
    <w:rsid w:val="007004DE"/>
    <w:rsid w:val="00710455"/>
    <w:rsid w:val="00731B95"/>
    <w:rsid w:val="00735211"/>
    <w:rsid w:val="0076296D"/>
    <w:rsid w:val="00780742"/>
    <w:rsid w:val="007924BA"/>
    <w:rsid w:val="0080707B"/>
    <w:rsid w:val="00820609"/>
    <w:rsid w:val="008446F5"/>
    <w:rsid w:val="008926D0"/>
    <w:rsid w:val="008A4DE4"/>
    <w:rsid w:val="008B5CB0"/>
    <w:rsid w:val="008C6261"/>
    <w:rsid w:val="008D0B92"/>
    <w:rsid w:val="008D2FBE"/>
    <w:rsid w:val="008D4DA5"/>
    <w:rsid w:val="008D6C51"/>
    <w:rsid w:val="00917F72"/>
    <w:rsid w:val="00920CA0"/>
    <w:rsid w:val="0096268C"/>
    <w:rsid w:val="00963631"/>
    <w:rsid w:val="00982773"/>
    <w:rsid w:val="009A3D3E"/>
    <w:rsid w:val="009B1470"/>
    <w:rsid w:val="009C748A"/>
    <w:rsid w:val="009E794E"/>
    <w:rsid w:val="00A04638"/>
    <w:rsid w:val="00A13642"/>
    <w:rsid w:val="00A319A2"/>
    <w:rsid w:val="00A34671"/>
    <w:rsid w:val="00A50D28"/>
    <w:rsid w:val="00A850CB"/>
    <w:rsid w:val="00A879CE"/>
    <w:rsid w:val="00AA1B2F"/>
    <w:rsid w:val="00AC5CAB"/>
    <w:rsid w:val="00AD41FB"/>
    <w:rsid w:val="00AD73CC"/>
    <w:rsid w:val="00AE5691"/>
    <w:rsid w:val="00B13321"/>
    <w:rsid w:val="00B265FB"/>
    <w:rsid w:val="00B63779"/>
    <w:rsid w:val="00B958E4"/>
    <w:rsid w:val="00B96BDE"/>
    <w:rsid w:val="00BB08E4"/>
    <w:rsid w:val="00BD4A71"/>
    <w:rsid w:val="00BD5AD8"/>
    <w:rsid w:val="00BE058F"/>
    <w:rsid w:val="00BE285E"/>
    <w:rsid w:val="00C144F6"/>
    <w:rsid w:val="00C21D69"/>
    <w:rsid w:val="00C355B0"/>
    <w:rsid w:val="00C44E7D"/>
    <w:rsid w:val="00C467E4"/>
    <w:rsid w:val="00C641E8"/>
    <w:rsid w:val="00C82D5D"/>
    <w:rsid w:val="00D00460"/>
    <w:rsid w:val="00D07693"/>
    <w:rsid w:val="00D12F79"/>
    <w:rsid w:val="00D238C3"/>
    <w:rsid w:val="00D5233C"/>
    <w:rsid w:val="00D54933"/>
    <w:rsid w:val="00D658DD"/>
    <w:rsid w:val="00DC7730"/>
    <w:rsid w:val="00DC7BB2"/>
    <w:rsid w:val="00DE43C1"/>
    <w:rsid w:val="00E2233A"/>
    <w:rsid w:val="00E236AF"/>
    <w:rsid w:val="00E52C93"/>
    <w:rsid w:val="00E93095"/>
    <w:rsid w:val="00EA1B03"/>
    <w:rsid w:val="00ED136F"/>
    <w:rsid w:val="00F00A9D"/>
    <w:rsid w:val="00F11758"/>
    <w:rsid w:val="00F45495"/>
    <w:rsid w:val="00F91AC2"/>
    <w:rsid w:val="00FE48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A608"/>
  <w15:docId w15:val="{CF21ACF4-5B5F-4865-80C1-22A80536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21"/>
    <w:rPr>
      <w:rFonts w:ascii="Maiandra GD" w:hAnsi="Maiandra GD"/>
      <w:sz w:val="24"/>
    </w:rPr>
  </w:style>
  <w:style w:type="paragraph" w:styleId="Titre1">
    <w:name w:val="heading 1"/>
    <w:basedOn w:val="Normal"/>
    <w:next w:val="Normal"/>
    <w:link w:val="Titre1Car"/>
    <w:qFormat/>
    <w:rsid w:val="00654821"/>
    <w:pPr>
      <w:widowControl w:val="0"/>
      <w:spacing w:after="120" w:line="276" w:lineRule="auto"/>
      <w:outlineLvl w:val="0"/>
    </w:pPr>
    <w:rPr>
      <w:rFonts w:eastAsiaTheme="majorEastAsia" w:cstheme="majorBidi"/>
      <w:b/>
      <w:color w:val="002060"/>
      <w:szCs w:val="32"/>
    </w:rPr>
  </w:style>
  <w:style w:type="paragraph" w:styleId="Titre2">
    <w:name w:val="heading 2"/>
    <w:basedOn w:val="Normal"/>
    <w:next w:val="Normal"/>
    <w:link w:val="Titre2Car"/>
    <w:autoRedefine/>
    <w:unhideWhenUsed/>
    <w:qFormat/>
    <w:rsid w:val="00685C03"/>
    <w:pPr>
      <w:widowControl w:val="0"/>
      <w:numPr>
        <w:ilvl w:val="1"/>
        <w:numId w:val="17"/>
      </w:numPr>
      <w:tabs>
        <w:tab w:val="left" w:pos="426"/>
      </w:tabs>
      <w:spacing w:before="120" w:after="120" w:line="276" w:lineRule="auto"/>
      <w:jc w:val="both"/>
      <w:outlineLvl w:val="1"/>
    </w:pPr>
    <w:rPr>
      <w:rFonts w:cs="Times New Roman"/>
      <w:b/>
      <w:bCs/>
      <w:szCs w:val="26"/>
    </w:rPr>
  </w:style>
  <w:style w:type="paragraph" w:styleId="Titre3">
    <w:name w:val="heading 3"/>
    <w:basedOn w:val="Normal"/>
    <w:next w:val="Normal"/>
    <w:link w:val="Titre3Car"/>
    <w:unhideWhenUsed/>
    <w:qFormat/>
    <w:rsid w:val="00654821"/>
    <w:pPr>
      <w:widowControl w:val="0"/>
      <w:spacing w:before="120" w:after="120" w:line="276" w:lineRule="auto"/>
      <w:jc w:val="both"/>
      <w:outlineLvl w:val="2"/>
    </w:pPr>
    <w:rPr>
      <w:rFonts w:eastAsiaTheme="majorEastAsia" w:cstheme="majorBidi"/>
      <w:b/>
      <w:color w:val="002060"/>
      <w:szCs w:val="24"/>
    </w:rPr>
  </w:style>
  <w:style w:type="paragraph" w:styleId="Titre4">
    <w:name w:val="heading 4"/>
    <w:basedOn w:val="Normal"/>
    <w:next w:val="Normal"/>
    <w:link w:val="Titre4Car"/>
    <w:autoRedefine/>
    <w:uiPriority w:val="9"/>
    <w:unhideWhenUsed/>
    <w:qFormat/>
    <w:rsid w:val="00654821"/>
    <w:pPr>
      <w:widowControl w:val="0"/>
      <w:numPr>
        <w:ilvl w:val="3"/>
        <w:numId w:val="15"/>
      </w:numPr>
      <w:tabs>
        <w:tab w:val="left" w:pos="567"/>
        <w:tab w:val="left" w:pos="709"/>
        <w:tab w:val="left" w:pos="851"/>
        <w:tab w:val="left" w:pos="993"/>
      </w:tabs>
      <w:spacing w:before="120" w:after="60" w:line="276" w:lineRule="auto"/>
      <w:ind w:left="1508" w:hanging="1508"/>
      <w:contextualSpacing/>
      <w:jc w:val="both"/>
      <w:outlineLvl w:val="3"/>
    </w:pPr>
    <w:rPr>
      <w:rFonts w:eastAsiaTheme="majorEastAsia" w:cstheme="majorBidi"/>
      <w:b/>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821"/>
    <w:rPr>
      <w:rFonts w:ascii="Maiandra GD" w:eastAsiaTheme="majorEastAsia" w:hAnsi="Maiandra GD" w:cstheme="majorBidi"/>
      <w:b/>
      <w:color w:val="002060"/>
      <w:sz w:val="24"/>
      <w:szCs w:val="32"/>
    </w:rPr>
  </w:style>
  <w:style w:type="character" w:customStyle="1" w:styleId="Titre2Car">
    <w:name w:val="Titre 2 Car"/>
    <w:basedOn w:val="Policepardfaut"/>
    <w:link w:val="Titre2"/>
    <w:rsid w:val="00685C03"/>
    <w:rPr>
      <w:rFonts w:ascii="Maiandra GD" w:hAnsi="Maiandra GD" w:cs="Times New Roman"/>
      <w:b/>
      <w:bCs/>
      <w:sz w:val="24"/>
      <w:szCs w:val="26"/>
    </w:rPr>
  </w:style>
  <w:style w:type="character" w:customStyle="1" w:styleId="Titre3Car">
    <w:name w:val="Titre 3 Car"/>
    <w:basedOn w:val="Policepardfaut"/>
    <w:link w:val="Titre3"/>
    <w:rsid w:val="00654821"/>
    <w:rPr>
      <w:rFonts w:ascii="Maiandra GD" w:eastAsiaTheme="majorEastAsia" w:hAnsi="Maiandra GD" w:cstheme="majorBidi"/>
      <w:b/>
      <w:color w:val="002060"/>
      <w:sz w:val="24"/>
      <w:szCs w:val="24"/>
    </w:rPr>
  </w:style>
  <w:style w:type="character" w:customStyle="1" w:styleId="Titre4Car">
    <w:name w:val="Titre 4 Car"/>
    <w:basedOn w:val="Policepardfaut"/>
    <w:link w:val="Titre4"/>
    <w:uiPriority w:val="9"/>
    <w:rsid w:val="00654821"/>
    <w:rPr>
      <w:rFonts w:ascii="Maiandra GD" w:eastAsiaTheme="majorEastAsia" w:hAnsi="Maiandra GD" w:cstheme="majorBidi"/>
      <w:b/>
      <w:iCs/>
      <w:color w:val="002060"/>
      <w:sz w:val="24"/>
    </w:rPr>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uiPriority w:val="34"/>
    <w:qFormat/>
    <w:rsid w:val="00654821"/>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uiPriority w:val="34"/>
    <w:qFormat/>
    <w:locked/>
    <w:rsid w:val="00654821"/>
    <w:rPr>
      <w:rFonts w:ascii="Maiandra GD" w:hAnsi="Maiandra GD"/>
      <w:sz w:val="24"/>
    </w:rPr>
  </w:style>
  <w:style w:type="paragraph" w:styleId="Lgende">
    <w:name w:val="caption"/>
    <w:aliases w:val="Légende Car"/>
    <w:basedOn w:val="Normal"/>
    <w:next w:val="Normal"/>
    <w:link w:val="LgendeCar1"/>
    <w:qFormat/>
    <w:rsid w:val="00654821"/>
    <w:pPr>
      <w:tabs>
        <w:tab w:val="left" w:pos="0"/>
      </w:tabs>
      <w:spacing w:before="120" w:after="120" w:line="240" w:lineRule="auto"/>
      <w:ind w:right="50"/>
      <w:jc w:val="both"/>
    </w:pPr>
    <w:rPr>
      <w:rFonts w:ascii="Times New Roman" w:eastAsia="Times New Roman" w:hAnsi="Times New Roman" w:cs="Times New Roman"/>
      <w:b/>
      <w:bCs/>
      <w:sz w:val="20"/>
      <w:szCs w:val="20"/>
      <w:lang w:eastAsia="fr-FR"/>
    </w:rPr>
  </w:style>
  <w:style w:type="character" w:customStyle="1" w:styleId="LgendeCar1">
    <w:name w:val="Légende Car1"/>
    <w:aliases w:val="Légende Car Car"/>
    <w:link w:val="Lgende"/>
    <w:rsid w:val="00654821"/>
    <w:rPr>
      <w:rFonts w:ascii="Times New Roman" w:eastAsia="Times New Roman" w:hAnsi="Times New Roman" w:cs="Times New Roman"/>
      <w:b/>
      <w:bCs/>
      <w:sz w:val="20"/>
      <w:szCs w:val="20"/>
      <w:lang w:eastAsia="fr-FR"/>
    </w:rPr>
  </w:style>
  <w:style w:type="paragraph" w:customStyle="1" w:styleId="Default">
    <w:name w:val="Default"/>
    <w:rsid w:val="00654821"/>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uiPriority w:val="99"/>
    <w:unhideWhenUsed/>
    <w:qFormat/>
    <w:rsid w:val="00654821"/>
    <w:pPr>
      <w:spacing w:after="0" w:line="240" w:lineRule="auto"/>
    </w:pPr>
    <w:rPr>
      <w:sz w:val="20"/>
      <w:szCs w:val="20"/>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basedOn w:val="Policepardfaut"/>
    <w:link w:val="Notedebasdepage"/>
    <w:uiPriority w:val="99"/>
    <w:rsid w:val="00654821"/>
    <w:rPr>
      <w:rFonts w:ascii="Maiandra GD" w:hAnsi="Maiandra GD"/>
      <w:sz w:val="20"/>
      <w:szCs w:val="20"/>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link w:val="BVIfnrCarCar1Car"/>
    <w:uiPriority w:val="99"/>
    <w:unhideWhenUsed/>
    <w:rsid w:val="00654821"/>
    <w:rPr>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654821"/>
    <w:pPr>
      <w:spacing w:line="240" w:lineRule="exact"/>
      <w:ind w:left="2160"/>
      <w:jc w:val="both"/>
    </w:pPr>
    <w:rPr>
      <w:rFonts w:asciiTheme="minorHAnsi" w:hAnsiTheme="minorHAnsi"/>
      <w:sz w:val="22"/>
      <w:vertAlign w:val="superscript"/>
    </w:rPr>
  </w:style>
  <w:style w:type="character" w:customStyle="1" w:styleId="AS13Car">
    <w:name w:val="AS13 Car"/>
    <w:basedOn w:val="Policepardfaut"/>
    <w:link w:val="AS13"/>
    <w:locked/>
    <w:rsid w:val="00654821"/>
    <w:rPr>
      <w:rFonts w:ascii="Arial Narrow" w:hAnsi="Arial Narrow"/>
      <w:b/>
      <w:sz w:val="24"/>
      <w:szCs w:val="24"/>
    </w:rPr>
  </w:style>
  <w:style w:type="paragraph" w:customStyle="1" w:styleId="AS13">
    <w:name w:val="AS13"/>
    <w:basedOn w:val="Normal"/>
    <w:link w:val="AS13Car"/>
    <w:qFormat/>
    <w:rsid w:val="00654821"/>
    <w:pPr>
      <w:tabs>
        <w:tab w:val="left" w:pos="8273"/>
      </w:tabs>
      <w:spacing w:after="0" w:line="240" w:lineRule="auto"/>
      <w:jc w:val="center"/>
    </w:pPr>
    <w:rPr>
      <w:rFonts w:ascii="Arial Narrow" w:hAnsi="Arial Narrow"/>
      <w:b/>
      <w:szCs w:val="24"/>
    </w:rPr>
  </w:style>
  <w:style w:type="paragraph" w:customStyle="1" w:styleId="CS2">
    <w:name w:val="CS_2"/>
    <w:basedOn w:val="Normal"/>
    <w:qFormat/>
    <w:rsid w:val="00654821"/>
    <w:pPr>
      <w:autoSpaceDE w:val="0"/>
      <w:autoSpaceDN w:val="0"/>
      <w:adjustRightInd w:val="0"/>
      <w:spacing w:after="0" w:line="240" w:lineRule="auto"/>
    </w:pPr>
    <w:rPr>
      <w:rFonts w:ascii="Arial Narrow" w:eastAsiaTheme="minorEastAsia" w:hAnsi="Arial Narrow" w:cs="Arial"/>
      <w:b/>
      <w:lang w:eastAsia="fr-FR"/>
    </w:rPr>
  </w:style>
  <w:style w:type="numbering" w:customStyle="1" w:styleId="Style3">
    <w:name w:val="Style3"/>
    <w:uiPriority w:val="99"/>
    <w:rsid w:val="00654821"/>
    <w:pPr>
      <w:numPr>
        <w:numId w:val="10"/>
      </w:numPr>
    </w:pPr>
  </w:style>
  <w:style w:type="numbering" w:customStyle="1" w:styleId="Style4">
    <w:name w:val="Style4"/>
    <w:uiPriority w:val="99"/>
    <w:rsid w:val="00654821"/>
    <w:pPr>
      <w:numPr>
        <w:numId w:val="11"/>
      </w:numPr>
    </w:pPr>
  </w:style>
  <w:style w:type="character" w:styleId="Marquedecommentaire">
    <w:name w:val="annotation reference"/>
    <w:basedOn w:val="Policepardfaut"/>
    <w:uiPriority w:val="99"/>
    <w:semiHidden/>
    <w:unhideWhenUsed/>
    <w:rsid w:val="001F54AC"/>
    <w:rPr>
      <w:sz w:val="16"/>
      <w:szCs w:val="16"/>
    </w:rPr>
  </w:style>
  <w:style w:type="paragraph" w:styleId="Commentaire">
    <w:name w:val="annotation text"/>
    <w:basedOn w:val="Normal"/>
    <w:link w:val="CommentaireCar"/>
    <w:uiPriority w:val="99"/>
    <w:semiHidden/>
    <w:unhideWhenUsed/>
    <w:rsid w:val="001F54AC"/>
    <w:pPr>
      <w:spacing w:line="240" w:lineRule="auto"/>
    </w:pPr>
    <w:rPr>
      <w:sz w:val="20"/>
      <w:szCs w:val="20"/>
    </w:rPr>
  </w:style>
  <w:style w:type="character" w:customStyle="1" w:styleId="CommentaireCar">
    <w:name w:val="Commentaire Car"/>
    <w:basedOn w:val="Policepardfaut"/>
    <w:link w:val="Commentaire"/>
    <w:uiPriority w:val="99"/>
    <w:semiHidden/>
    <w:rsid w:val="001F54AC"/>
    <w:rPr>
      <w:rFonts w:ascii="Maiandra GD" w:hAnsi="Maiandra GD"/>
      <w:sz w:val="20"/>
      <w:szCs w:val="20"/>
    </w:rPr>
  </w:style>
  <w:style w:type="paragraph" w:styleId="Objetducommentaire">
    <w:name w:val="annotation subject"/>
    <w:basedOn w:val="Commentaire"/>
    <w:next w:val="Commentaire"/>
    <w:link w:val="ObjetducommentaireCar"/>
    <w:uiPriority w:val="99"/>
    <w:semiHidden/>
    <w:unhideWhenUsed/>
    <w:rsid w:val="001F54AC"/>
    <w:rPr>
      <w:b/>
      <w:bCs/>
    </w:rPr>
  </w:style>
  <w:style w:type="character" w:customStyle="1" w:styleId="ObjetducommentaireCar">
    <w:name w:val="Objet du commentaire Car"/>
    <w:basedOn w:val="CommentaireCar"/>
    <w:link w:val="Objetducommentaire"/>
    <w:uiPriority w:val="99"/>
    <w:semiHidden/>
    <w:rsid w:val="001F54AC"/>
    <w:rPr>
      <w:rFonts w:ascii="Maiandra GD" w:hAnsi="Maiandra GD"/>
      <w:b/>
      <w:bCs/>
      <w:sz w:val="20"/>
      <w:szCs w:val="20"/>
    </w:rPr>
  </w:style>
  <w:style w:type="paragraph" w:styleId="Sansinterligne">
    <w:name w:val="No Spacing"/>
    <w:link w:val="SansinterligneCar"/>
    <w:uiPriority w:val="1"/>
    <w:qFormat/>
    <w:rsid w:val="003936F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936F8"/>
    <w:rPr>
      <w:rFonts w:eastAsiaTheme="minorEastAsia"/>
    </w:rPr>
  </w:style>
  <w:style w:type="paragraph" w:styleId="TM1">
    <w:name w:val="toc 1"/>
    <w:basedOn w:val="Normal"/>
    <w:next w:val="Normal"/>
    <w:autoRedefine/>
    <w:uiPriority w:val="39"/>
    <w:unhideWhenUsed/>
    <w:rsid w:val="003936F8"/>
    <w:pPr>
      <w:spacing w:after="100"/>
    </w:pPr>
  </w:style>
  <w:style w:type="paragraph" w:styleId="TM2">
    <w:name w:val="toc 2"/>
    <w:basedOn w:val="Normal"/>
    <w:next w:val="Normal"/>
    <w:autoRedefine/>
    <w:uiPriority w:val="39"/>
    <w:unhideWhenUsed/>
    <w:rsid w:val="003936F8"/>
    <w:pPr>
      <w:spacing w:after="100"/>
      <w:ind w:left="240"/>
    </w:pPr>
  </w:style>
  <w:style w:type="character" w:styleId="Lienhypertexte">
    <w:name w:val="Hyperlink"/>
    <w:basedOn w:val="Policepardfaut"/>
    <w:uiPriority w:val="99"/>
    <w:unhideWhenUsed/>
    <w:rsid w:val="003936F8"/>
    <w:rPr>
      <w:color w:val="0563C1" w:themeColor="hyperlink"/>
      <w:u w:val="single"/>
    </w:rPr>
  </w:style>
  <w:style w:type="paragraph" w:styleId="En-tte">
    <w:name w:val="header"/>
    <w:basedOn w:val="Normal"/>
    <w:link w:val="En-tteCar"/>
    <w:uiPriority w:val="99"/>
    <w:unhideWhenUsed/>
    <w:rsid w:val="0023513E"/>
    <w:pPr>
      <w:tabs>
        <w:tab w:val="center" w:pos="4536"/>
        <w:tab w:val="right" w:pos="9072"/>
      </w:tabs>
      <w:spacing w:after="0" w:line="240" w:lineRule="auto"/>
    </w:pPr>
  </w:style>
  <w:style w:type="character" w:customStyle="1" w:styleId="En-tteCar">
    <w:name w:val="En-tête Car"/>
    <w:basedOn w:val="Policepardfaut"/>
    <w:link w:val="En-tte"/>
    <w:uiPriority w:val="99"/>
    <w:rsid w:val="0023513E"/>
    <w:rPr>
      <w:rFonts w:ascii="Maiandra GD" w:hAnsi="Maiandra GD"/>
      <w:sz w:val="24"/>
    </w:rPr>
  </w:style>
  <w:style w:type="paragraph" w:styleId="Pieddepage">
    <w:name w:val="footer"/>
    <w:basedOn w:val="Normal"/>
    <w:link w:val="PieddepageCar"/>
    <w:uiPriority w:val="99"/>
    <w:unhideWhenUsed/>
    <w:rsid w:val="002351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13E"/>
    <w:rPr>
      <w:rFonts w:ascii="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64237">
      <w:bodyDiv w:val="1"/>
      <w:marLeft w:val="0"/>
      <w:marRight w:val="0"/>
      <w:marTop w:val="0"/>
      <w:marBottom w:val="0"/>
      <w:divBdr>
        <w:top w:val="none" w:sz="0" w:space="0" w:color="auto"/>
        <w:left w:val="none" w:sz="0" w:space="0" w:color="auto"/>
        <w:bottom w:val="none" w:sz="0" w:space="0" w:color="auto"/>
        <w:right w:val="none" w:sz="0" w:space="0" w:color="auto"/>
      </w:divBdr>
    </w:div>
    <w:div w:id="1610308065">
      <w:bodyDiv w:val="1"/>
      <w:marLeft w:val="0"/>
      <w:marRight w:val="0"/>
      <w:marTop w:val="0"/>
      <w:marBottom w:val="0"/>
      <w:divBdr>
        <w:top w:val="none" w:sz="0" w:space="0" w:color="auto"/>
        <w:left w:val="none" w:sz="0" w:space="0" w:color="auto"/>
        <w:bottom w:val="none" w:sz="0" w:space="0" w:color="auto"/>
        <w:right w:val="none" w:sz="0" w:space="0" w:color="auto"/>
      </w:divBdr>
    </w:div>
    <w:div w:id="1902518973">
      <w:bodyDiv w:val="1"/>
      <w:marLeft w:val="0"/>
      <w:marRight w:val="0"/>
      <w:marTop w:val="0"/>
      <w:marBottom w:val="0"/>
      <w:divBdr>
        <w:top w:val="none" w:sz="0" w:space="0" w:color="auto"/>
        <w:left w:val="none" w:sz="0" w:space="0" w:color="auto"/>
        <w:bottom w:val="none" w:sz="0" w:space="0" w:color="auto"/>
        <w:right w:val="none" w:sz="0" w:space="0" w:color="auto"/>
      </w:divBdr>
    </w:div>
    <w:div w:id="192329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www.njcponline.com/searchresult.asp?search=&amp;author=E+Etiaba&amp;journal=Y&amp;but_search=Search&amp;entries=10&amp;pg=1&amp;s=0" TargetMode="External"/><Relationship Id="rId7" Type="http://schemas.openxmlformats.org/officeDocument/2006/relationships/hyperlink" Target="https://doi.org/10.1186/s12939-015-0181-z" TargetMode="External"/><Relationship Id="rId2" Type="http://schemas.openxmlformats.org/officeDocument/2006/relationships/hyperlink" Target="http://www.njcponline.com/searchresult.asp?search=&amp;author=MD+Ughasoro&amp;journal=Y&amp;but_search=Search&amp;entries=10&amp;pg=1&amp;s=0" TargetMode="External"/><Relationship Id="rId1" Type="http://schemas.openxmlformats.org/officeDocument/2006/relationships/hyperlink" Target="http://www.njcponline.com/searchresult.asp?search=&amp;author=BSC+Uzochukwu&amp;journal=Y&amp;but_search=Search&amp;entries=10&amp;pg=1&amp;s=0" TargetMode="External"/><Relationship Id="rId6" Type="http://schemas.openxmlformats.org/officeDocument/2006/relationships/hyperlink" Target="http://www.njcponline.com/searchresult.asp?search=&amp;author=OE+Onwujekwe&amp;journal=Y&amp;but_search=Search&amp;entries=10&amp;pg=1&amp;s=0" TargetMode="External"/><Relationship Id="rId5" Type="http://schemas.openxmlformats.org/officeDocument/2006/relationships/hyperlink" Target="http://www.njcponline.com/searchresult.asp?search=&amp;author=E+Envuladu&amp;journal=Y&amp;but_search=Search&amp;entries=10&amp;pg=1&amp;s=0" TargetMode="External"/><Relationship Id="rId4" Type="http://schemas.openxmlformats.org/officeDocument/2006/relationships/hyperlink" Target="http://www.njcponline.com/searchresult.asp?search=&amp;author=C+Okwuosa&amp;journal=Y&amp;but_search=Search&amp;entries=10&amp;pg=1&amp;s=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uleymane.diakite\Desktop\BUREAU\EGS\REVUE%20DU%20PNDS%202015-2024\Situation%20des%20depe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OE\Desktop\GROUPE%20THEMATIQUE%20FINANCEMENT\Analyse%20des%20donn&#233;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OE\Desktop\GROUPE%20THEMATIQUE%20FINANCEMENT\Analy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SD\Dropbox\Mon%20PC%20(LAPTOP-3HLH8JI0)\Desktop\OUTILS%20EVALUATION%20PNDS%202015-2024\ATELIER%20DE%20FINALISATION%20REVUE%20PNDS%202015-2024\FINANCEMENT%20EXTERIEUR%20DU%20PNDS%202015-20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ouleymane.diakite\AppData\Roaming\Microsoft\Excel\Analyse%20des%20donn&#233;es%20(version%201).xlsb"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'Depenses Ménages'!$B$18</c:f>
              <c:strCache>
                <c:ptCount val="1"/>
                <c:pt idx="0">
                  <c:v>Dépenses totales en santé par habitant (USD) prevu</c:v>
                </c:pt>
              </c:strCache>
            </c:strRef>
          </c:tx>
          <c:spPr>
            <a:ln w="28575" cap="rnd">
              <a:solidFill>
                <a:schemeClr val="accent1"/>
              </a:solidFill>
              <a:round/>
            </a:ln>
            <a:effectLst/>
          </c:spPr>
          <c:marker>
            <c:symbol val="none"/>
          </c:marker>
          <c:cat>
            <c:numLit>
              <c:formatCode>General</c:formatCode>
              <c:ptCount val="5"/>
              <c:pt idx="0">
                <c:v>2015</c:v>
              </c:pt>
              <c:pt idx="1">
                <c:v>2016</c:v>
              </c:pt>
              <c:pt idx="2">
                <c:v>2017</c:v>
              </c:pt>
              <c:pt idx="3">
                <c:v>2018</c:v>
              </c:pt>
              <c:pt idx="4">
                <c:v>2019</c:v>
              </c:pt>
            </c:numLit>
          </c:cat>
          <c:val>
            <c:numRef>
              <c:f>'Depenses Ménages'!$C$18:$G$18</c:f>
              <c:numCache>
                <c:formatCode>General</c:formatCode>
                <c:ptCount val="5"/>
                <c:pt idx="0">
                  <c:v>49</c:v>
                </c:pt>
                <c:pt idx="1">
                  <c:v>50</c:v>
                </c:pt>
                <c:pt idx="2">
                  <c:v>51</c:v>
                </c:pt>
                <c:pt idx="3">
                  <c:v>52</c:v>
                </c:pt>
                <c:pt idx="4">
                  <c:v>53</c:v>
                </c:pt>
              </c:numCache>
            </c:numRef>
          </c:val>
          <c:smooth val="0"/>
          <c:extLst>
            <c:ext xmlns:c16="http://schemas.microsoft.com/office/drawing/2014/chart" uri="{C3380CC4-5D6E-409C-BE32-E72D297353CC}">
              <c16:uniqueId val="{00000000-BEA5-4DC9-930C-4FF0A715F2F6}"/>
            </c:ext>
          </c:extLst>
        </c:ser>
        <c:ser>
          <c:idx val="1"/>
          <c:order val="1"/>
          <c:tx>
            <c:strRef>
              <c:f>'Depenses Ménages'!$B$19</c:f>
              <c:strCache>
                <c:ptCount val="1"/>
                <c:pt idx="0">
                  <c:v>Dépenses totales en santé par habitant (USD) réalisé</c:v>
                </c:pt>
              </c:strCache>
            </c:strRef>
          </c:tx>
          <c:spPr>
            <a:ln w="28575" cap="rnd">
              <a:solidFill>
                <a:schemeClr val="accent2"/>
              </a:solidFill>
              <a:round/>
            </a:ln>
            <a:effectLst/>
          </c:spPr>
          <c:marker>
            <c:symbol val="none"/>
          </c:marker>
          <c:cat>
            <c:numLit>
              <c:formatCode>General</c:formatCode>
              <c:ptCount val="5"/>
              <c:pt idx="0">
                <c:v>2015</c:v>
              </c:pt>
              <c:pt idx="1">
                <c:v>2016</c:v>
              </c:pt>
              <c:pt idx="2">
                <c:v>2017</c:v>
              </c:pt>
              <c:pt idx="3">
                <c:v>2018</c:v>
              </c:pt>
              <c:pt idx="4">
                <c:v>2019</c:v>
              </c:pt>
            </c:numLit>
          </c:cat>
          <c:val>
            <c:numRef>
              <c:f>'Depenses Ménages'!$C$19:$G$19</c:f>
              <c:numCache>
                <c:formatCode>General</c:formatCode>
                <c:ptCount val="5"/>
                <c:pt idx="0">
                  <c:v>40.75</c:v>
                </c:pt>
                <c:pt idx="1">
                  <c:v>42.25</c:v>
                </c:pt>
                <c:pt idx="2">
                  <c:v>36.47</c:v>
                </c:pt>
                <c:pt idx="3">
                  <c:v>38.4</c:v>
                </c:pt>
                <c:pt idx="4">
                  <c:v>46.2</c:v>
                </c:pt>
              </c:numCache>
            </c:numRef>
          </c:val>
          <c:smooth val="0"/>
          <c:extLst>
            <c:ext xmlns:c16="http://schemas.microsoft.com/office/drawing/2014/chart" uri="{C3380CC4-5D6E-409C-BE32-E72D297353CC}">
              <c16:uniqueId val="{00000001-BEA5-4DC9-930C-4FF0A715F2F6}"/>
            </c:ext>
          </c:extLst>
        </c:ser>
        <c:dLbls>
          <c:showLegendKey val="0"/>
          <c:showVal val="0"/>
          <c:showCatName val="0"/>
          <c:showSerName val="0"/>
          <c:showPercent val="0"/>
          <c:showBubbleSize val="0"/>
        </c:dLbls>
        <c:smooth val="0"/>
        <c:axId val="521382192"/>
        <c:axId val="521382848"/>
      </c:lineChart>
      <c:catAx>
        <c:axId val="52138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crossAx val="521382848"/>
        <c:crosses val="autoZero"/>
        <c:auto val="1"/>
        <c:lblAlgn val="ctr"/>
        <c:lblOffset val="100"/>
        <c:noMultiLvlLbl val="0"/>
      </c:catAx>
      <c:valAx>
        <c:axId val="52138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crossAx val="52138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7907117023479E-2"/>
          <c:y val="0.18833356356771194"/>
          <c:w val="0.92728985799851926"/>
          <c:h val="0.35363355896302434"/>
        </c:manualLayout>
      </c:layout>
      <c:lineChart>
        <c:grouping val="standard"/>
        <c:varyColors val="0"/>
        <c:ser>
          <c:idx val="0"/>
          <c:order val="0"/>
          <c:tx>
            <c:strRef>
              <c:f>'Part de l''ETAT à la santé (2)'!$A$6</c:f>
              <c:strCache>
                <c:ptCount val="1"/>
                <c:pt idx="0">
                  <c:v>Part du Budget de l'Etat alloué à la santé </c:v>
                </c:pt>
              </c:strCache>
            </c:strRef>
          </c:tx>
          <c:spPr>
            <a:ln w="28575" cap="rnd">
              <a:solidFill>
                <a:schemeClr val="accent1"/>
              </a:solidFill>
              <a:round/>
            </a:ln>
            <a:effectLst/>
          </c:spPr>
          <c:marker>
            <c:symbol val="none"/>
          </c:marker>
          <c:dLbls>
            <c:dLbl>
              <c:idx val="0"/>
              <c:layout>
                <c:manualLayout>
                  <c:x val="-6.59041099502964E-2"/>
                  <c:y val="-5.2465551181102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5A-4D9F-9807-E90F5C6D6C1E}"/>
                </c:ext>
              </c:extLst>
            </c:dLbl>
            <c:dLbl>
              <c:idx val="1"/>
              <c:layout>
                <c:manualLayout>
                  <c:x val="-6.3098445322573707E-2"/>
                  <c:y val="-4.0769506084466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5A-4D9F-9807-E90F5C6D6C1E}"/>
                </c:ext>
              </c:extLst>
            </c:dLbl>
            <c:dLbl>
              <c:idx val="2"/>
              <c:layout>
                <c:manualLayout>
                  <c:x val="-4.1585851477713952E-2"/>
                  <c:y val="-2.9405869720830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5A-4D9F-9807-E90F5C6D6C1E}"/>
                </c:ext>
              </c:extLst>
            </c:dLbl>
            <c:dLbl>
              <c:idx val="3"/>
              <c:layout>
                <c:manualLayout>
                  <c:x val="-4.5831129913625951E-2"/>
                  <c:y val="-3.4090909090909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5A-4D9F-9807-E90F5C6D6C1E}"/>
                </c:ext>
              </c:extLst>
            </c:dLbl>
            <c:dLbl>
              <c:idx val="4"/>
              <c:layout>
                <c:manualLayout>
                  <c:x val="-7.0509430636347611E-2"/>
                  <c:y val="-2.84090909090909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5A-4D9F-9807-E90F5C6D6C1E}"/>
                </c:ext>
              </c:extLst>
            </c:dLbl>
            <c:dLbl>
              <c:idx val="5"/>
              <c:layout>
                <c:manualLayout>
                  <c:x val="-4.5831129913625951E-2"/>
                  <c:y val="4.5454545454545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5A-4D9F-9807-E90F5C6D6C1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M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'Part de l''ETAT à la santé (2)'!$B$5:$H$5</c:f>
              <c:numCache>
                <c:formatCode>General</c:formatCode>
                <c:ptCount val="6"/>
                <c:pt idx="0">
                  <c:v>2015</c:v>
                </c:pt>
                <c:pt idx="1">
                  <c:v>2016</c:v>
                </c:pt>
                <c:pt idx="2">
                  <c:v>2017</c:v>
                </c:pt>
                <c:pt idx="3">
                  <c:v>2018</c:v>
                </c:pt>
                <c:pt idx="4">
                  <c:v>2019</c:v>
                </c:pt>
                <c:pt idx="5">
                  <c:v>2020</c:v>
                </c:pt>
              </c:numCache>
            </c:numRef>
          </c:cat>
          <c:val>
            <c:numRef>
              <c:f>'Part de l''ETAT à la santé (2)'!$B$6:$H$6</c:f>
              <c:numCache>
                <c:formatCode>General</c:formatCode>
                <c:ptCount val="6"/>
                <c:pt idx="0">
                  <c:v>3.88</c:v>
                </c:pt>
                <c:pt idx="1">
                  <c:v>4.66</c:v>
                </c:pt>
                <c:pt idx="2">
                  <c:v>5</c:v>
                </c:pt>
                <c:pt idx="3">
                  <c:v>6.36</c:v>
                </c:pt>
                <c:pt idx="4">
                  <c:v>6.28</c:v>
                </c:pt>
                <c:pt idx="5">
                  <c:v>10.02</c:v>
                </c:pt>
              </c:numCache>
            </c:numRef>
          </c:val>
          <c:smooth val="0"/>
          <c:extLst>
            <c:ext xmlns:c16="http://schemas.microsoft.com/office/drawing/2014/chart" uri="{C3380CC4-5D6E-409C-BE32-E72D297353CC}">
              <c16:uniqueId val="{00000006-AC5A-4D9F-9807-E90F5C6D6C1E}"/>
            </c:ext>
          </c:extLst>
        </c:ser>
        <c:ser>
          <c:idx val="1"/>
          <c:order val="1"/>
          <c:tx>
            <c:strRef>
              <c:f>'Part de l''ETAT à la santé (2)'!$A$7</c:f>
              <c:strCache>
                <c:ptCount val="1"/>
                <c:pt idx="0">
                  <c:v>Objectif de l'Union Africaine (Abuja)</c:v>
                </c:pt>
              </c:strCache>
            </c:strRef>
          </c:tx>
          <c:spPr>
            <a:ln w="28575" cap="rnd">
              <a:solidFill>
                <a:srgbClr val="00B050"/>
              </a:solidFill>
              <a:round/>
            </a:ln>
            <a:effectLst/>
          </c:spPr>
          <c:marker>
            <c:symbol val="none"/>
          </c:marker>
          <c:cat>
            <c:numRef>
              <c:f>'Part de l''ETAT à la santé (2)'!$B$5:$H$5</c:f>
              <c:numCache>
                <c:formatCode>General</c:formatCode>
                <c:ptCount val="6"/>
                <c:pt idx="0">
                  <c:v>2015</c:v>
                </c:pt>
                <c:pt idx="1">
                  <c:v>2016</c:v>
                </c:pt>
                <c:pt idx="2">
                  <c:v>2017</c:v>
                </c:pt>
                <c:pt idx="3">
                  <c:v>2018</c:v>
                </c:pt>
                <c:pt idx="4">
                  <c:v>2019</c:v>
                </c:pt>
                <c:pt idx="5">
                  <c:v>2020</c:v>
                </c:pt>
              </c:numCache>
            </c:numRef>
          </c:cat>
          <c:val>
            <c:numRef>
              <c:f>'Part de l''ETAT à la santé (2)'!$B$7:$H$7</c:f>
              <c:numCache>
                <c:formatCode>General</c:formatCode>
                <c:ptCount val="6"/>
                <c:pt idx="0">
                  <c:v>15</c:v>
                </c:pt>
                <c:pt idx="1">
                  <c:v>15</c:v>
                </c:pt>
                <c:pt idx="2">
                  <c:v>15</c:v>
                </c:pt>
                <c:pt idx="3">
                  <c:v>15</c:v>
                </c:pt>
                <c:pt idx="4">
                  <c:v>15</c:v>
                </c:pt>
                <c:pt idx="5">
                  <c:v>15</c:v>
                </c:pt>
              </c:numCache>
            </c:numRef>
          </c:val>
          <c:smooth val="0"/>
          <c:extLst>
            <c:ext xmlns:c16="http://schemas.microsoft.com/office/drawing/2014/chart" uri="{C3380CC4-5D6E-409C-BE32-E72D297353CC}">
              <c16:uniqueId val="{00000007-AC5A-4D9F-9807-E90F5C6D6C1E}"/>
            </c:ext>
          </c:extLst>
        </c:ser>
        <c:ser>
          <c:idx val="2"/>
          <c:order val="2"/>
          <c:tx>
            <c:strRef>
              <c:f>'Part de l''ETAT à la santé (2)'!$A$8</c:f>
              <c:strCache>
                <c:ptCount val="1"/>
                <c:pt idx="0">
                  <c:v>Objctif du Gouvernement Guinéen</c:v>
                </c:pt>
              </c:strCache>
            </c:strRef>
          </c:tx>
          <c:spPr>
            <a:ln w="28575" cap="rnd">
              <a:solidFill>
                <a:schemeClr val="accent2"/>
              </a:solidFill>
              <a:round/>
            </a:ln>
            <a:effectLst/>
          </c:spPr>
          <c:marker>
            <c:symbol val="none"/>
          </c:marker>
          <c:cat>
            <c:numRef>
              <c:f>'Part de l''ETAT à la santé (2)'!$B$5:$H$5</c:f>
              <c:numCache>
                <c:formatCode>General</c:formatCode>
                <c:ptCount val="6"/>
                <c:pt idx="0">
                  <c:v>2015</c:v>
                </c:pt>
                <c:pt idx="1">
                  <c:v>2016</c:v>
                </c:pt>
                <c:pt idx="2">
                  <c:v>2017</c:v>
                </c:pt>
                <c:pt idx="3">
                  <c:v>2018</c:v>
                </c:pt>
                <c:pt idx="4">
                  <c:v>2019</c:v>
                </c:pt>
                <c:pt idx="5">
                  <c:v>2020</c:v>
                </c:pt>
              </c:numCache>
            </c:numRef>
          </c:cat>
          <c:val>
            <c:numRef>
              <c:f>'Part de l''ETAT à la santé (2)'!$B$8:$H$8</c:f>
              <c:numCache>
                <c:formatCode>General</c:formatCode>
                <c:ptCount val="6"/>
                <c:pt idx="0">
                  <c:v>10</c:v>
                </c:pt>
                <c:pt idx="1">
                  <c:v>10</c:v>
                </c:pt>
                <c:pt idx="2">
                  <c:v>10</c:v>
                </c:pt>
                <c:pt idx="3">
                  <c:v>10</c:v>
                </c:pt>
                <c:pt idx="4">
                  <c:v>10</c:v>
                </c:pt>
                <c:pt idx="5">
                  <c:v>10</c:v>
                </c:pt>
              </c:numCache>
            </c:numRef>
          </c:val>
          <c:smooth val="0"/>
          <c:extLst>
            <c:ext xmlns:c16="http://schemas.microsoft.com/office/drawing/2014/chart" uri="{C3380CC4-5D6E-409C-BE32-E72D297353CC}">
              <c16:uniqueId val="{00000008-AC5A-4D9F-9807-E90F5C6D6C1E}"/>
            </c:ext>
          </c:extLst>
        </c:ser>
        <c:dLbls>
          <c:showLegendKey val="0"/>
          <c:showVal val="0"/>
          <c:showCatName val="0"/>
          <c:showSerName val="0"/>
          <c:showPercent val="0"/>
          <c:showBubbleSize val="0"/>
        </c:dLbls>
        <c:smooth val="0"/>
        <c:axId val="507554136"/>
        <c:axId val="512755896"/>
      </c:lineChart>
      <c:catAx>
        <c:axId val="50755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MP"/>
          </a:p>
        </c:txPr>
        <c:crossAx val="512755896"/>
        <c:crosses val="autoZero"/>
        <c:auto val="1"/>
        <c:lblAlgn val="ctr"/>
        <c:lblOffset val="100"/>
        <c:noMultiLvlLbl val="0"/>
      </c:catAx>
      <c:valAx>
        <c:axId val="512755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crossAx val="507554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Feuil1!$D$6:$D$11</c:f>
              <c:strCache>
                <c:ptCount val="6"/>
                <c:pt idx="0">
                  <c:v>2015</c:v>
                </c:pt>
                <c:pt idx="1">
                  <c:v>2016</c:v>
                </c:pt>
                <c:pt idx="2">
                  <c:v>2017</c:v>
                </c:pt>
                <c:pt idx="3">
                  <c:v>2018</c:v>
                </c:pt>
                <c:pt idx="4">
                  <c:v>2019</c:v>
                </c:pt>
                <c:pt idx="5">
                  <c:v>2020</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Feuil1!$D$6:$D$11</c:f>
              <c:numCache>
                <c:formatCode>General</c:formatCode>
                <c:ptCount val="6"/>
                <c:pt idx="0">
                  <c:v>2015</c:v>
                </c:pt>
                <c:pt idx="1">
                  <c:v>2016</c:v>
                </c:pt>
                <c:pt idx="2">
                  <c:v>2017</c:v>
                </c:pt>
                <c:pt idx="3">
                  <c:v>2018</c:v>
                </c:pt>
                <c:pt idx="4">
                  <c:v>2019</c:v>
                </c:pt>
                <c:pt idx="5">
                  <c:v>2020</c:v>
                </c:pt>
              </c:numCache>
            </c:numRef>
          </c:cat>
          <c:val>
            <c:numRef>
              <c:f>Feuil1!$G$6:$G$11</c:f>
              <c:numCache>
                <c:formatCode>0%</c:formatCode>
                <c:ptCount val="6"/>
                <c:pt idx="0">
                  <c:v>0.6143446376727717</c:v>
                </c:pt>
                <c:pt idx="1">
                  <c:v>0.88361044080434459</c:v>
                </c:pt>
                <c:pt idx="2">
                  <c:v>0.77775400514622861</c:v>
                </c:pt>
                <c:pt idx="3">
                  <c:v>0.71574978000792822</c:v>
                </c:pt>
                <c:pt idx="4">
                  <c:v>0.66722399031554258</c:v>
                </c:pt>
                <c:pt idx="5">
                  <c:v>0.46178115801512065</c:v>
                </c:pt>
              </c:numCache>
            </c:numRef>
          </c:val>
          <c:smooth val="0"/>
          <c:extLst>
            <c:ext xmlns:c16="http://schemas.microsoft.com/office/drawing/2014/chart" uri="{C3380CC4-5D6E-409C-BE32-E72D297353CC}">
              <c16:uniqueId val="{00000000-F18F-4154-8DBD-79BB9EC87E04}"/>
            </c:ext>
          </c:extLst>
        </c:ser>
        <c:dLbls>
          <c:dLblPos val="t"/>
          <c:showLegendKey val="0"/>
          <c:showVal val="1"/>
          <c:showCatName val="0"/>
          <c:showSerName val="0"/>
          <c:showPercent val="0"/>
          <c:showBubbleSize val="0"/>
        </c:dLbls>
        <c:smooth val="0"/>
        <c:axId val="207684960"/>
        <c:axId val="207687456"/>
      </c:lineChart>
      <c:catAx>
        <c:axId val="20768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MP"/>
          </a:p>
        </c:txPr>
        <c:crossAx val="207687456"/>
        <c:crosses val="autoZero"/>
        <c:auto val="1"/>
        <c:lblAlgn val="ctr"/>
        <c:lblOffset val="100"/>
        <c:noMultiLvlLbl val="0"/>
      </c:catAx>
      <c:valAx>
        <c:axId val="20768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crossAx val="20768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Feuil8!$C$43</c:f>
              <c:strCache>
                <c:ptCount val="1"/>
                <c:pt idx="0">
                  <c:v>Traitements &amp; Salaires</c:v>
                </c:pt>
              </c:strCache>
            </c:strRef>
          </c:tx>
          <c:spPr>
            <a:solidFill>
              <a:schemeClr val="accent1"/>
            </a:solidFill>
            <a:ln>
              <a:noFill/>
            </a:ln>
            <a:effectLst/>
            <a:sp3d/>
          </c:spPr>
          <c:invertIfNegative val="0"/>
          <c:cat>
            <c:numRef>
              <c:f>Feuil8!$D$42:$I$42</c:f>
              <c:numCache>
                <c:formatCode>General</c:formatCode>
                <c:ptCount val="6"/>
                <c:pt idx="0">
                  <c:v>2015</c:v>
                </c:pt>
                <c:pt idx="1">
                  <c:v>2016</c:v>
                </c:pt>
                <c:pt idx="2">
                  <c:v>2017</c:v>
                </c:pt>
                <c:pt idx="3">
                  <c:v>2018</c:v>
                </c:pt>
                <c:pt idx="4">
                  <c:v>2019</c:v>
                </c:pt>
                <c:pt idx="5">
                  <c:v>2020</c:v>
                </c:pt>
              </c:numCache>
            </c:numRef>
          </c:cat>
          <c:val>
            <c:numRef>
              <c:f>Feuil8!$D$43:$I$43</c:f>
              <c:numCache>
                <c:formatCode>_-* #,##0\ _€_-;\-* #,##0\ _€_-;_-* "-"??\ _€_-;_-@_-</c:formatCode>
                <c:ptCount val="6"/>
                <c:pt idx="0">
                  <c:v>136339227800</c:v>
                </c:pt>
                <c:pt idx="1">
                  <c:v>144855301624</c:v>
                </c:pt>
                <c:pt idx="2">
                  <c:v>198929616199</c:v>
                </c:pt>
                <c:pt idx="3">
                  <c:v>269061940084</c:v>
                </c:pt>
                <c:pt idx="4">
                  <c:v>278295999370</c:v>
                </c:pt>
                <c:pt idx="5">
                  <c:v>288414613210</c:v>
                </c:pt>
              </c:numCache>
            </c:numRef>
          </c:val>
          <c:extLst>
            <c:ext xmlns:c16="http://schemas.microsoft.com/office/drawing/2014/chart" uri="{C3380CC4-5D6E-409C-BE32-E72D297353CC}">
              <c16:uniqueId val="{00000000-1187-4344-BB7E-068F6D0C2A60}"/>
            </c:ext>
          </c:extLst>
        </c:ser>
        <c:ser>
          <c:idx val="1"/>
          <c:order val="1"/>
          <c:tx>
            <c:strRef>
              <c:f>Feuil8!$C$44</c:f>
              <c:strCache>
                <c:ptCount val="1"/>
                <c:pt idx="0">
                  <c:v>Fonctionnement Biens &amp; Services</c:v>
                </c:pt>
              </c:strCache>
            </c:strRef>
          </c:tx>
          <c:spPr>
            <a:solidFill>
              <a:schemeClr val="accent2"/>
            </a:solidFill>
            <a:ln>
              <a:noFill/>
            </a:ln>
            <a:effectLst/>
            <a:sp3d/>
          </c:spPr>
          <c:invertIfNegative val="0"/>
          <c:cat>
            <c:numRef>
              <c:f>Feuil8!$D$42:$I$42</c:f>
              <c:numCache>
                <c:formatCode>General</c:formatCode>
                <c:ptCount val="6"/>
                <c:pt idx="0">
                  <c:v>2015</c:v>
                </c:pt>
                <c:pt idx="1">
                  <c:v>2016</c:v>
                </c:pt>
                <c:pt idx="2">
                  <c:v>2017</c:v>
                </c:pt>
                <c:pt idx="3">
                  <c:v>2018</c:v>
                </c:pt>
                <c:pt idx="4">
                  <c:v>2019</c:v>
                </c:pt>
                <c:pt idx="5">
                  <c:v>2020</c:v>
                </c:pt>
              </c:numCache>
            </c:numRef>
          </c:cat>
          <c:val>
            <c:numRef>
              <c:f>Feuil8!$D$44:$I$44</c:f>
              <c:numCache>
                <c:formatCode>_-* #,##0\ _€_-;\-* #,##0\ _€_-;_-* "-"??\ _€_-;_-@_-</c:formatCode>
                <c:ptCount val="6"/>
                <c:pt idx="0">
                  <c:v>72444737042</c:v>
                </c:pt>
                <c:pt idx="1">
                  <c:v>204965276144</c:v>
                </c:pt>
                <c:pt idx="2">
                  <c:v>253218146769</c:v>
                </c:pt>
                <c:pt idx="3">
                  <c:v>219500576706</c:v>
                </c:pt>
                <c:pt idx="4">
                  <c:v>405067891651</c:v>
                </c:pt>
                <c:pt idx="5">
                  <c:v>290467277198</c:v>
                </c:pt>
              </c:numCache>
            </c:numRef>
          </c:val>
          <c:extLst>
            <c:ext xmlns:c16="http://schemas.microsoft.com/office/drawing/2014/chart" uri="{C3380CC4-5D6E-409C-BE32-E72D297353CC}">
              <c16:uniqueId val="{00000001-1187-4344-BB7E-068F6D0C2A60}"/>
            </c:ext>
          </c:extLst>
        </c:ser>
        <c:ser>
          <c:idx val="2"/>
          <c:order val="2"/>
          <c:tx>
            <c:strRef>
              <c:f>Feuil8!$C$45</c:f>
              <c:strCache>
                <c:ptCount val="1"/>
                <c:pt idx="0">
                  <c:v>Subventions et transferts  </c:v>
                </c:pt>
              </c:strCache>
            </c:strRef>
          </c:tx>
          <c:spPr>
            <a:solidFill>
              <a:schemeClr val="accent3"/>
            </a:solidFill>
            <a:ln>
              <a:noFill/>
            </a:ln>
            <a:effectLst/>
            <a:sp3d/>
          </c:spPr>
          <c:invertIfNegative val="0"/>
          <c:cat>
            <c:numRef>
              <c:f>Feuil8!$D$42:$I$42</c:f>
              <c:numCache>
                <c:formatCode>General</c:formatCode>
                <c:ptCount val="6"/>
                <c:pt idx="0">
                  <c:v>2015</c:v>
                </c:pt>
                <c:pt idx="1">
                  <c:v>2016</c:v>
                </c:pt>
                <c:pt idx="2">
                  <c:v>2017</c:v>
                </c:pt>
                <c:pt idx="3">
                  <c:v>2018</c:v>
                </c:pt>
                <c:pt idx="4">
                  <c:v>2019</c:v>
                </c:pt>
                <c:pt idx="5">
                  <c:v>2020</c:v>
                </c:pt>
              </c:numCache>
            </c:numRef>
          </c:cat>
          <c:val>
            <c:numRef>
              <c:f>Feuil8!$D$45:$I$45</c:f>
              <c:numCache>
                <c:formatCode>_-* #,##0\ _€_-;\-* #,##0\ _€_-;_-* "-"??\ _€_-;_-@_-</c:formatCode>
                <c:ptCount val="6"/>
                <c:pt idx="1">
                  <c:v>51602694067</c:v>
                </c:pt>
                <c:pt idx="2">
                  <c:v>39092952175</c:v>
                </c:pt>
                <c:pt idx="3">
                  <c:v>35227509880</c:v>
                </c:pt>
                <c:pt idx="4">
                  <c:v>105546251370</c:v>
                </c:pt>
                <c:pt idx="5">
                  <c:v>279148460000</c:v>
                </c:pt>
              </c:numCache>
            </c:numRef>
          </c:val>
          <c:extLst>
            <c:ext xmlns:c16="http://schemas.microsoft.com/office/drawing/2014/chart" uri="{C3380CC4-5D6E-409C-BE32-E72D297353CC}">
              <c16:uniqueId val="{00000002-1187-4344-BB7E-068F6D0C2A60}"/>
            </c:ext>
          </c:extLst>
        </c:ser>
        <c:ser>
          <c:idx val="3"/>
          <c:order val="3"/>
          <c:tx>
            <c:strRef>
              <c:f>Feuil8!$C$46</c:f>
              <c:strCache>
                <c:ptCount val="1"/>
                <c:pt idx="0">
                  <c:v>Dépenses d'investissement </c:v>
                </c:pt>
              </c:strCache>
            </c:strRef>
          </c:tx>
          <c:spPr>
            <a:solidFill>
              <a:schemeClr val="accent4"/>
            </a:solidFill>
            <a:ln>
              <a:noFill/>
            </a:ln>
            <a:effectLst/>
            <a:sp3d/>
          </c:spPr>
          <c:invertIfNegative val="0"/>
          <c:cat>
            <c:numRef>
              <c:f>Feuil8!$D$42:$I$42</c:f>
              <c:numCache>
                <c:formatCode>General</c:formatCode>
                <c:ptCount val="6"/>
                <c:pt idx="0">
                  <c:v>2015</c:v>
                </c:pt>
                <c:pt idx="1">
                  <c:v>2016</c:v>
                </c:pt>
                <c:pt idx="2">
                  <c:v>2017</c:v>
                </c:pt>
                <c:pt idx="3">
                  <c:v>2018</c:v>
                </c:pt>
                <c:pt idx="4">
                  <c:v>2019</c:v>
                </c:pt>
                <c:pt idx="5">
                  <c:v>2020</c:v>
                </c:pt>
              </c:numCache>
            </c:numRef>
          </c:cat>
          <c:val>
            <c:numRef>
              <c:f>Feuil8!$D$46:$I$46</c:f>
              <c:numCache>
                <c:formatCode>_-* #,##0\ _€_-;\-* #,##0\ _€_-;_-* "-"??\ _€_-;_-@_-</c:formatCode>
                <c:ptCount val="6"/>
                <c:pt idx="0">
                  <c:v>87332456348</c:v>
                </c:pt>
                <c:pt idx="1">
                  <c:v>156978260913</c:v>
                </c:pt>
                <c:pt idx="2">
                  <c:v>142891600568</c:v>
                </c:pt>
                <c:pt idx="3">
                  <c:v>235310087484</c:v>
                </c:pt>
                <c:pt idx="4">
                  <c:v>174610354637</c:v>
                </c:pt>
                <c:pt idx="5">
                  <c:v>344925790333</c:v>
                </c:pt>
              </c:numCache>
            </c:numRef>
          </c:val>
          <c:extLst>
            <c:ext xmlns:c16="http://schemas.microsoft.com/office/drawing/2014/chart" uri="{C3380CC4-5D6E-409C-BE32-E72D297353CC}">
              <c16:uniqueId val="{00000003-1187-4344-BB7E-068F6D0C2A60}"/>
            </c:ext>
          </c:extLst>
        </c:ser>
        <c:dLbls>
          <c:showLegendKey val="0"/>
          <c:showVal val="0"/>
          <c:showCatName val="0"/>
          <c:showSerName val="0"/>
          <c:showPercent val="0"/>
          <c:showBubbleSize val="0"/>
        </c:dLbls>
        <c:gapWidth val="150"/>
        <c:shape val="box"/>
        <c:axId val="1121632399"/>
        <c:axId val="1121633231"/>
        <c:axId val="0"/>
      </c:bar3DChart>
      <c:catAx>
        <c:axId val="11216323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MP"/>
          </a:p>
        </c:txPr>
        <c:crossAx val="1121633231"/>
        <c:crosses val="autoZero"/>
        <c:auto val="1"/>
        <c:lblAlgn val="ctr"/>
        <c:lblOffset val="100"/>
        <c:noMultiLvlLbl val="0"/>
      </c:catAx>
      <c:valAx>
        <c:axId val="11216332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crossAx val="1121632399"/>
        <c:crosses val="autoZero"/>
        <c:crossBetween val="between"/>
      </c:valAx>
      <c:spPr>
        <a:noFill/>
        <a:ln>
          <a:noFill/>
        </a:ln>
        <a:effectLst/>
      </c:spPr>
    </c:plotArea>
    <c:legend>
      <c:legendPos val="b"/>
      <c:layout>
        <c:manualLayout>
          <c:xMode val="edge"/>
          <c:yMode val="edge"/>
          <c:x val="0.19538024093142203"/>
          <c:y val="0.85352928098314029"/>
          <c:w val="0.73103438993202774"/>
          <c:h val="0.12373052572521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en-M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1" i="0" baseline="0">
                <a:effectLst/>
              </a:rPr>
              <a:t>Paiement direct des soins par les ménages en % des dépenses totales de santé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MP"/>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0"/>
                  <c:y val="-4.7571853320118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04-470C-B3B7-6DA6CB3E9F9D}"/>
                </c:ext>
              </c:extLst>
            </c:dLbl>
            <c:dLbl>
              <c:idx val="2"/>
              <c:layout>
                <c:manualLayout>
                  <c:x val="-1.5954415954415956E-2"/>
                  <c:y val="-5.9464816650148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04-470C-B3B7-6DA6CB3E9F9D}"/>
                </c:ext>
              </c:extLst>
            </c:dLbl>
            <c:dLbl>
              <c:idx val="3"/>
              <c:layout>
                <c:manualLayout>
                  <c:x val="0"/>
                  <c:y val="-4.7571853320118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04-470C-B3B7-6DA6CB3E9F9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M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2015</c:v>
              </c:pt>
              <c:pt idx="1">
                <c:v>2016</c:v>
              </c:pt>
              <c:pt idx="2">
                <c:v>2017</c:v>
              </c:pt>
              <c:pt idx="3">
                <c:v>2018</c:v>
              </c:pt>
              <c:pt idx="4">
                <c:v>2019</c:v>
              </c:pt>
            </c:numLit>
          </c:cat>
          <c:val>
            <c:numRef>
              <c:f>Feuil2!$B$48:$F$48</c:f>
              <c:numCache>
                <c:formatCode>0.00%</c:formatCode>
                <c:ptCount val="5"/>
                <c:pt idx="0">
                  <c:v>0.45190000000000002</c:v>
                </c:pt>
                <c:pt idx="1">
                  <c:v>0.4627</c:v>
                </c:pt>
                <c:pt idx="2">
                  <c:v>0.60260000000000002</c:v>
                </c:pt>
                <c:pt idx="3">
                  <c:v>0.62919999999999998</c:v>
                </c:pt>
                <c:pt idx="4">
                  <c:v>0.56599999999999995</c:v>
                </c:pt>
              </c:numCache>
            </c:numRef>
          </c:val>
          <c:smooth val="0"/>
          <c:extLst>
            <c:ext xmlns:c16="http://schemas.microsoft.com/office/drawing/2014/chart" uri="{C3380CC4-5D6E-409C-BE32-E72D297353CC}">
              <c16:uniqueId val="{00000003-CE04-470C-B3B7-6DA6CB3E9F9D}"/>
            </c:ext>
          </c:extLst>
        </c:ser>
        <c:dLbls>
          <c:showLegendKey val="0"/>
          <c:showVal val="0"/>
          <c:showCatName val="0"/>
          <c:showSerName val="0"/>
          <c:showPercent val="0"/>
          <c:showBubbleSize val="0"/>
        </c:dLbls>
        <c:smooth val="0"/>
        <c:axId val="430211584"/>
        <c:axId val="430213880"/>
      </c:lineChart>
      <c:catAx>
        <c:axId val="43021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MP"/>
          </a:p>
        </c:txPr>
        <c:crossAx val="430213880"/>
        <c:crosses val="autoZero"/>
        <c:auto val="1"/>
        <c:lblAlgn val="ctr"/>
        <c:lblOffset val="100"/>
        <c:noMultiLvlLbl val="0"/>
      </c:catAx>
      <c:valAx>
        <c:axId val="430213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MP"/>
          </a:p>
        </c:txPr>
        <c:crossAx val="430211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M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2348-232C-477E-9D81-3CA37E1F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3945</Words>
  <Characters>22487</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MISSIDE DIALLO</dc:creator>
  <cp:keywords/>
  <dc:description/>
  <cp:lastModifiedBy>diackbsd74@gmail.com</cp:lastModifiedBy>
  <cp:revision>6</cp:revision>
  <dcterms:created xsi:type="dcterms:W3CDTF">2021-08-25T13:50:00Z</dcterms:created>
  <dcterms:modified xsi:type="dcterms:W3CDTF">2021-08-25T14:29:00Z</dcterms:modified>
</cp:coreProperties>
</file>