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88BB" w14:textId="77777777" w:rsidR="00651AAD" w:rsidRPr="00651AAD" w:rsidRDefault="00651AAD" w:rsidP="00651AAD">
      <w:pPr>
        <w:jc w:val="center"/>
        <w:rPr>
          <w:rFonts w:ascii="Tahoma" w:eastAsia="Calibri" w:hAnsi="Tahoma" w:cs="Tahoma"/>
          <w:b/>
          <w:color w:val="002060"/>
          <w:sz w:val="28"/>
          <w:szCs w:val="32"/>
        </w:rPr>
      </w:pPr>
      <w:proofErr w:type="spellStart"/>
      <w:r w:rsidRPr="00651AAD">
        <w:rPr>
          <w:rFonts w:ascii="Tahoma" w:eastAsia="Calibri" w:hAnsi="Tahoma" w:cs="Tahoma"/>
          <w:b/>
          <w:color w:val="002060"/>
          <w:sz w:val="28"/>
          <w:szCs w:val="32"/>
        </w:rPr>
        <w:t>REPUBLIQUE</w:t>
      </w:r>
      <w:proofErr w:type="spellEnd"/>
      <w:r w:rsidRPr="00651AAD">
        <w:rPr>
          <w:rFonts w:ascii="Tahoma" w:eastAsia="Calibri" w:hAnsi="Tahoma" w:cs="Tahoma"/>
          <w:b/>
          <w:color w:val="002060"/>
          <w:sz w:val="28"/>
          <w:szCs w:val="32"/>
        </w:rPr>
        <w:t xml:space="preserve"> DE GUINEE</w:t>
      </w:r>
    </w:p>
    <w:p w14:paraId="0577545D" w14:textId="77777777" w:rsidR="00651AAD" w:rsidRPr="00651AAD" w:rsidRDefault="00651AAD" w:rsidP="00651AAD">
      <w:pPr>
        <w:jc w:val="center"/>
        <w:rPr>
          <w:rFonts w:ascii="Tahoma" w:eastAsia="Calibri" w:hAnsi="Tahoma" w:cs="Tahoma"/>
          <w:bCs/>
          <w:i/>
          <w:iCs/>
          <w:szCs w:val="28"/>
        </w:rPr>
      </w:pPr>
      <w:r w:rsidRPr="00651AAD">
        <w:rPr>
          <w:rFonts w:ascii="Tahoma" w:eastAsia="Calibri" w:hAnsi="Tahoma" w:cs="Tahoma"/>
          <w:bCs/>
          <w:i/>
          <w:iCs/>
          <w:color w:val="FF0000"/>
          <w:szCs w:val="28"/>
        </w:rPr>
        <w:t>Travail-</w:t>
      </w:r>
      <w:r w:rsidRPr="00651AAD">
        <w:rPr>
          <w:rFonts w:ascii="Tahoma" w:eastAsia="Calibri" w:hAnsi="Tahoma" w:cs="Tahoma"/>
          <w:bCs/>
          <w:i/>
          <w:iCs/>
          <w:color w:val="FFC000"/>
          <w:szCs w:val="28"/>
        </w:rPr>
        <w:t>Justice-</w:t>
      </w:r>
      <w:r w:rsidRPr="00651AAD">
        <w:rPr>
          <w:rFonts w:ascii="Tahoma" w:eastAsia="Calibri" w:hAnsi="Tahoma" w:cs="Tahoma"/>
          <w:bCs/>
          <w:i/>
          <w:iCs/>
          <w:color w:val="00B050"/>
          <w:szCs w:val="28"/>
        </w:rPr>
        <w:t>Solidarité</w:t>
      </w:r>
    </w:p>
    <w:p w14:paraId="4DEC32E0" w14:textId="77777777" w:rsidR="00651AAD" w:rsidRDefault="00651AAD" w:rsidP="00651AAD">
      <w:pPr>
        <w:jc w:val="center"/>
        <w:rPr>
          <w:rFonts w:ascii="Tahoma" w:eastAsia="Calibri" w:hAnsi="Tahoma" w:cs="Tahoma"/>
          <w:b/>
          <w:sz w:val="28"/>
          <w:szCs w:val="28"/>
        </w:rPr>
      </w:pPr>
      <w:r w:rsidRPr="003B7910">
        <w:rPr>
          <w:i/>
          <w:iCs/>
          <w:noProof/>
          <w:lang w:val="en-US"/>
        </w:rPr>
        <w:drawing>
          <wp:anchor distT="0" distB="0" distL="114300" distR="114300" simplePos="0" relativeHeight="251663360" behindDoc="0" locked="0" layoutInCell="1" allowOverlap="1" wp14:anchorId="7728A5BA" wp14:editId="6D6AC5FB">
            <wp:simplePos x="0" y="0"/>
            <wp:positionH relativeFrom="margin">
              <wp:align>center</wp:align>
            </wp:positionH>
            <wp:positionV relativeFrom="paragraph">
              <wp:posOffset>227330</wp:posOffset>
            </wp:positionV>
            <wp:extent cx="1056764" cy="118630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764" cy="1186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892F7" w14:textId="77777777" w:rsidR="00651AAD" w:rsidRDefault="00651AAD" w:rsidP="00A54960">
      <w:pPr>
        <w:pStyle w:val="Titre1"/>
        <w:rPr>
          <w:rFonts w:eastAsia="Calibri"/>
        </w:rPr>
      </w:pPr>
    </w:p>
    <w:p w14:paraId="3BDAF488" w14:textId="77777777" w:rsidR="00651AAD" w:rsidRDefault="00651AAD" w:rsidP="00651AAD">
      <w:pPr>
        <w:jc w:val="center"/>
        <w:rPr>
          <w:rFonts w:ascii="Tahoma" w:eastAsia="Calibri" w:hAnsi="Tahoma" w:cs="Tahoma"/>
          <w:b/>
          <w:sz w:val="28"/>
          <w:szCs w:val="28"/>
        </w:rPr>
      </w:pPr>
    </w:p>
    <w:p w14:paraId="59E3E756" w14:textId="77777777" w:rsidR="00651AAD" w:rsidRDefault="00651AAD" w:rsidP="00651AAD">
      <w:pPr>
        <w:jc w:val="center"/>
        <w:rPr>
          <w:rFonts w:ascii="Tahoma" w:eastAsia="Calibri" w:hAnsi="Tahoma" w:cs="Tahoma"/>
          <w:b/>
          <w:sz w:val="28"/>
          <w:szCs w:val="28"/>
        </w:rPr>
      </w:pPr>
    </w:p>
    <w:p w14:paraId="172EB798" w14:textId="77777777" w:rsidR="00651AAD" w:rsidRDefault="00651AAD" w:rsidP="00651AAD">
      <w:pPr>
        <w:jc w:val="center"/>
        <w:rPr>
          <w:rFonts w:ascii="Tahoma" w:eastAsia="Calibri" w:hAnsi="Tahoma" w:cs="Tahoma"/>
          <w:b/>
          <w:sz w:val="28"/>
          <w:szCs w:val="28"/>
        </w:rPr>
      </w:pPr>
    </w:p>
    <w:p w14:paraId="76460487" w14:textId="77777777" w:rsidR="00651AAD" w:rsidRPr="00651AAD" w:rsidRDefault="00651AAD" w:rsidP="00651AAD">
      <w:pPr>
        <w:jc w:val="center"/>
        <w:rPr>
          <w:rFonts w:ascii="Tahoma" w:eastAsia="Calibri" w:hAnsi="Tahoma" w:cs="Tahoma"/>
          <w:b/>
          <w:color w:val="0070C0"/>
          <w:sz w:val="28"/>
          <w:szCs w:val="32"/>
        </w:rPr>
      </w:pPr>
      <w:proofErr w:type="spellStart"/>
      <w:r w:rsidRPr="00651AAD">
        <w:rPr>
          <w:rFonts w:ascii="Tahoma" w:eastAsia="Calibri" w:hAnsi="Tahoma" w:cs="Tahoma"/>
          <w:b/>
          <w:color w:val="0070C0"/>
          <w:sz w:val="28"/>
          <w:szCs w:val="32"/>
        </w:rPr>
        <w:t>MINISTERE</w:t>
      </w:r>
      <w:proofErr w:type="spellEnd"/>
      <w:r w:rsidRPr="00651AAD">
        <w:rPr>
          <w:rFonts w:ascii="Tahoma" w:eastAsia="Calibri" w:hAnsi="Tahoma" w:cs="Tahoma"/>
          <w:b/>
          <w:color w:val="0070C0"/>
          <w:sz w:val="28"/>
          <w:szCs w:val="32"/>
        </w:rPr>
        <w:t xml:space="preserve"> DE LA SANTE </w:t>
      </w:r>
    </w:p>
    <w:p w14:paraId="79CE9138" w14:textId="77777777" w:rsidR="005B603F" w:rsidRPr="0001795E" w:rsidRDefault="005B603F" w:rsidP="00E06F65">
      <w:pPr>
        <w:jc w:val="center"/>
        <w:rPr>
          <w:b/>
          <w:sz w:val="28"/>
        </w:rPr>
      </w:pPr>
    </w:p>
    <w:p w14:paraId="730A2D72" w14:textId="77777777" w:rsidR="005B603F" w:rsidRPr="0001795E" w:rsidRDefault="005B603F" w:rsidP="00E06F65">
      <w:pPr>
        <w:jc w:val="center"/>
        <w:rPr>
          <w:b/>
          <w:sz w:val="28"/>
        </w:rPr>
      </w:pPr>
    </w:p>
    <w:p w14:paraId="55D0D049" w14:textId="77777777" w:rsidR="005B603F" w:rsidRPr="0001795E" w:rsidRDefault="005B603F" w:rsidP="00E06F65">
      <w:pPr>
        <w:jc w:val="center"/>
        <w:rPr>
          <w:b/>
          <w:sz w:val="28"/>
        </w:rPr>
      </w:pPr>
    </w:p>
    <w:p w14:paraId="35526C30" w14:textId="77777777" w:rsidR="005B603F" w:rsidRPr="0001795E" w:rsidRDefault="005B603F" w:rsidP="00E06F65">
      <w:pPr>
        <w:jc w:val="center"/>
        <w:rPr>
          <w:b/>
          <w:sz w:val="28"/>
        </w:rPr>
      </w:pPr>
    </w:p>
    <w:p w14:paraId="771B4F9D" w14:textId="77777777" w:rsidR="00651AAD" w:rsidRPr="00E946D5" w:rsidRDefault="00651AAD" w:rsidP="00651AAD">
      <w:pPr>
        <w:spacing w:line="254" w:lineRule="auto"/>
        <w:rPr>
          <w:rFonts w:ascii="Tahoma" w:eastAsia="Calibri" w:hAnsi="Tahoma" w:cs="Tahoma"/>
          <w:b/>
          <w:szCs w:val="24"/>
        </w:rPr>
      </w:pPr>
    </w:p>
    <w:p w14:paraId="620D236F" w14:textId="47A7ECC1" w:rsidR="00651AAD" w:rsidRPr="00651AAD" w:rsidRDefault="00651AAD" w:rsidP="00651AAD">
      <w:pPr>
        <w:pBdr>
          <w:top w:val="single" w:sz="4" w:space="1" w:color="auto"/>
          <w:left w:val="single" w:sz="4" w:space="4" w:color="auto"/>
          <w:bottom w:val="single" w:sz="4" w:space="1" w:color="auto"/>
          <w:right w:val="single" w:sz="4" w:space="4" w:color="auto"/>
        </w:pBdr>
        <w:spacing w:before="0" w:after="0" w:line="360" w:lineRule="auto"/>
        <w:jc w:val="center"/>
        <w:rPr>
          <w:rFonts w:eastAsiaTheme="majorEastAsia" w:cstheme="majorBidi"/>
          <w:b/>
          <w:color w:val="002060"/>
          <w:sz w:val="28"/>
          <w:szCs w:val="32"/>
        </w:rPr>
      </w:pPr>
      <w:bookmarkStart w:id="0" w:name="_GoBack"/>
      <w:r w:rsidRPr="00651AAD">
        <w:rPr>
          <w:rFonts w:eastAsiaTheme="majorEastAsia" w:cstheme="majorBidi"/>
          <w:b/>
          <w:color w:val="002060"/>
          <w:sz w:val="28"/>
          <w:szCs w:val="32"/>
        </w:rPr>
        <w:t xml:space="preserve">RAPPORT DE L’EVALUATION RAPIDE DE LA </w:t>
      </w:r>
      <w:r w:rsidR="000B7360" w:rsidRPr="00651AAD">
        <w:rPr>
          <w:rFonts w:eastAsiaTheme="majorEastAsia" w:cstheme="majorBidi"/>
          <w:b/>
          <w:color w:val="002060"/>
          <w:sz w:val="28"/>
          <w:szCs w:val="32"/>
        </w:rPr>
        <w:t>FONCTIONNALITÉ</w:t>
      </w:r>
      <w:r w:rsidRPr="00651AAD">
        <w:rPr>
          <w:rFonts w:eastAsiaTheme="majorEastAsia" w:cstheme="majorBidi"/>
          <w:b/>
          <w:color w:val="002060"/>
          <w:sz w:val="28"/>
          <w:szCs w:val="32"/>
        </w:rPr>
        <w:t xml:space="preserve"> DES DISTRICTS DE SANTE</w:t>
      </w:r>
    </w:p>
    <w:bookmarkEnd w:id="0"/>
    <w:p w14:paraId="2D15332A" w14:textId="77777777" w:rsidR="00651AAD" w:rsidRPr="00E946D5" w:rsidRDefault="00651AAD" w:rsidP="00651AAD">
      <w:pPr>
        <w:spacing w:line="254" w:lineRule="auto"/>
        <w:jc w:val="center"/>
        <w:rPr>
          <w:rFonts w:ascii="Tahoma" w:eastAsia="Calibri" w:hAnsi="Tahoma" w:cs="Tahoma"/>
          <w:b/>
          <w:szCs w:val="24"/>
        </w:rPr>
      </w:pPr>
    </w:p>
    <w:p w14:paraId="37D010D1" w14:textId="77777777" w:rsidR="005B603F" w:rsidRPr="0001795E" w:rsidRDefault="005B603F" w:rsidP="00E06F65">
      <w:pPr>
        <w:jc w:val="center"/>
        <w:rPr>
          <w:b/>
          <w:sz w:val="28"/>
        </w:rPr>
      </w:pPr>
    </w:p>
    <w:p w14:paraId="66B60085" w14:textId="77777777" w:rsidR="005B603F" w:rsidRPr="0001795E" w:rsidRDefault="005B603F" w:rsidP="00E06F65">
      <w:pPr>
        <w:jc w:val="center"/>
        <w:rPr>
          <w:b/>
          <w:sz w:val="28"/>
        </w:rPr>
      </w:pPr>
    </w:p>
    <w:p w14:paraId="5D650BB4" w14:textId="087ED77A" w:rsidR="00B77F07" w:rsidRPr="0001795E" w:rsidRDefault="00B77F07" w:rsidP="00E06F65">
      <w:pPr>
        <w:jc w:val="center"/>
        <w:rPr>
          <w:b/>
          <w:sz w:val="28"/>
        </w:rPr>
      </w:pPr>
    </w:p>
    <w:p w14:paraId="6617430E" w14:textId="77777777" w:rsidR="00E06F65" w:rsidRDefault="00E06F65" w:rsidP="00AF29C6"/>
    <w:p w14:paraId="41C50FC2" w14:textId="77777777" w:rsidR="009E2202" w:rsidRDefault="009E2202" w:rsidP="00AF29C6"/>
    <w:p w14:paraId="0377F47B" w14:textId="77777777" w:rsidR="009E2202" w:rsidRDefault="009E2202" w:rsidP="00AF29C6"/>
    <w:p w14:paraId="68A425DC" w14:textId="77777777" w:rsidR="009E2202" w:rsidRDefault="009E2202" w:rsidP="00AF29C6"/>
    <w:p w14:paraId="3B630060" w14:textId="77777777" w:rsidR="009E2202" w:rsidRDefault="009E2202" w:rsidP="00AF29C6"/>
    <w:p w14:paraId="18C5B0F9" w14:textId="77777777" w:rsidR="009E2202" w:rsidRPr="0001795E" w:rsidRDefault="009E2202" w:rsidP="009E2202">
      <w:pPr>
        <w:jc w:val="right"/>
        <w:rPr>
          <w:b/>
          <w:sz w:val="28"/>
        </w:rPr>
      </w:pPr>
      <w:r w:rsidRPr="0001795E">
        <w:rPr>
          <w:b/>
          <w:sz w:val="28"/>
        </w:rPr>
        <w:t>Novembre 2020</w:t>
      </w:r>
    </w:p>
    <w:p w14:paraId="69AA66F1" w14:textId="63CC047C" w:rsidR="009E2202" w:rsidRPr="0001795E" w:rsidRDefault="009E2202" w:rsidP="00AF29C6">
      <w:pPr>
        <w:sectPr w:rsidR="009E2202" w:rsidRPr="0001795E" w:rsidSect="0001795E">
          <w:headerReference w:type="default" r:id="rId9"/>
          <w:footerReference w:type="default" r:id="rId10"/>
          <w:headerReference w:type="first" r:id="rId11"/>
          <w:type w:val="continuous"/>
          <w:pgSz w:w="11906" w:h="16838" w:code="9"/>
          <w:pgMar w:top="1418" w:right="1418" w:bottom="1418" w:left="1418" w:header="709" w:footer="709" w:gutter="0"/>
          <w:pgBorders>
            <w:top w:val="single" w:sz="4" w:space="1" w:color="auto"/>
            <w:bottom w:val="single" w:sz="4" w:space="1" w:color="auto"/>
          </w:pgBorders>
          <w:cols w:space="708"/>
          <w:titlePg/>
          <w:docGrid w:linePitch="360"/>
        </w:sectPr>
      </w:pPr>
    </w:p>
    <w:sdt>
      <w:sdtPr>
        <w:rPr>
          <w:rFonts w:eastAsiaTheme="minorHAnsi" w:cstheme="minorBidi"/>
          <w:color w:val="auto"/>
          <w:szCs w:val="22"/>
          <w:lang w:eastAsia="en-US"/>
        </w:rPr>
        <w:id w:val="-537193104"/>
        <w:docPartObj>
          <w:docPartGallery w:val="Table of Contents"/>
          <w:docPartUnique/>
        </w:docPartObj>
      </w:sdtPr>
      <w:sdtEndPr>
        <w:rPr>
          <w:b/>
          <w:bCs/>
        </w:rPr>
      </w:sdtEndPr>
      <w:sdtContent>
        <w:p w14:paraId="2BBFCE0A" w14:textId="41E248D8" w:rsidR="007A6C12" w:rsidRPr="0001795E" w:rsidRDefault="007A6C12" w:rsidP="006A44DA">
          <w:pPr>
            <w:pStyle w:val="En-ttedetabledesmatires"/>
          </w:pPr>
          <w:r w:rsidRPr="0001795E">
            <w:t>Table des matières</w:t>
          </w:r>
        </w:p>
        <w:p w14:paraId="476C5F82" w14:textId="77777777" w:rsidR="00474F90" w:rsidRDefault="007A6C12">
          <w:pPr>
            <w:pStyle w:val="TM1"/>
            <w:rPr>
              <w:rFonts w:asciiTheme="minorHAnsi" w:eastAsiaTheme="minorEastAsia" w:hAnsiTheme="minorHAnsi" w:cstheme="minorBidi"/>
              <w:noProof/>
            </w:rPr>
          </w:pPr>
          <w:r w:rsidRPr="0001795E">
            <w:fldChar w:fldCharType="begin"/>
          </w:r>
          <w:r w:rsidRPr="0001795E">
            <w:instrText xml:space="preserve"> TOC \o "1-3" \h \z \u </w:instrText>
          </w:r>
          <w:r w:rsidRPr="0001795E">
            <w:fldChar w:fldCharType="separate"/>
          </w:r>
          <w:hyperlink w:anchor="_Toc63233177" w:history="1">
            <w:r w:rsidR="00474F90" w:rsidRPr="005A3BC7">
              <w:rPr>
                <w:rStyle w:val="Lienhypertexte"/>
                <w:noProof/>
              </w:rPr>
              <w:t>Sigles et abréviations</w:t>
            </w:r>
            <w:r w:rsidR="00474F90">
              <w:rPr>
                <w:noProof/>
                <w:webHidden/>
              </w:rPr>
              <w:tab/>
            </w:r>
            <w:r w:rsidR="00474F90">
              <w:rPr>
                <w:noProof/>
                <w:webHidden/>
              </w:rPr>
              <w:fldChar w:fldCharType="begin"/>
            </w:r>
            <w:r w:rsidR="00474F90">
              <w:rPr>
                <w:noProof/>
                <w:webHidden/>
              </w:rPr>
              <w:instrText xml:space="preserve"> PAGEREF _Toc63233177 \h </w:instrText>
            </w:r>
            <w:r w:rsidR="00474F90">
              <w:rPr>
                <w:noProof/>
                <w:webHidden/>
              </w:rPr>
            </w:r>
            <w:r w:rsidR="00474F90">
              <w:rPr>
                <w:noProof/>
                <w:webHidden/>
              </w:rPr>
              <w:fldChar w:fldCharType="separate"/>
            </w:r>
            <w:r w:rsidR="00474F90">
              <w:rPr>
                <w:noProof/>
                <w:webHidden/>
              </w:rPr>
              <w:t>5</w:t>
            </w:r>
            <w:r w:rsidR="00474F90">
              <w:rPr>
                <w:noProof/>
                <w:webHidden/>
              </w:rPr>
              <w:fldChar w:fldCharType="end"/>
            </w:r>
          </w:hyperlink>
        </w:p>
        <w:p w14:paraId="2398DC30" w14:textId="77777777" w:rsidR="00474F90" w:rsidRDefault="000B7360">
          <w:pPr>
            <w:pStyle w:val="TM1"/>
            <w:rPr>
              <w:rFonts w:asciiTheme="minorHAnsi" w:eastAsiaTheme="minorEastAsia" w:hAnsiTheme="minorHAnsi" w:cstheme="minorBidi"/>
              <w:noProof/>
            </w:rPr>
          </w:pPr>
          <w:hyperlink w:anchor="_Toc63233178" w:history="1">
            <w:r w:rsidR="00474F90" w:rsidRPr="005A3BC7">
              <w:rPr>
                <w:rStyle w:val="Lienhypertexte"/>
                <w:noProof/>
              </w:rPr>
              <w:t>Liste des tableaux</w:t>
            </w:r>
            <w:r w:rsidR="00474F90">
              <w:rPr>
                <w:noProof/>
                <w:webHidden/>
              </w:rPr>
              <w:tab/>
            </w:r>
            <w:r w:rsidR="00474F90">
              <w:rPr>
                <w:noProof/>
                <w:webHidden/>
              </w:rPr>
              <w:fldChar w:fldCharType="begin"/>
            </w:r>
            <w:r w:rsidR="00474F90">
              <w:rPr>
                <w:noProof/>
                <w:webHidden/>
              </w:rPr>
              <w:instrText xml:space="preserve"> PAGEREF _Toc63233178 \h </w:instrText>
            </w:r>
            <w:r w:rsidR="00474F90">
              <w:rPr>
                <w:noProof/>
                <w:webHidden/>
              </w:rPr>
            </w:r>
            <w:r w:rsidR="00474F90">
              <w:rPr>
                <w:noProof/>
                <w:webHidden/>
              </w:rPr>
              <w:fldChar w:fldCharType="separate"/>
            </w:r>
            <w:r w:rsidR="00474F90">
              <w:rPr>
                <w:noProof/>
                <w:webHidden/>
              </w:rPr>
              <w:t>7</w:t>
            </w:r>
            <w:r w:rsidR="00474F90">
              <w:rPr>
                <w:noProof/>
                <w:webHidden/>
              </w:rPr>
              <w:fldChar w:fldCharType="end"/>
            </w:r>
          </w:hyperlink>
        </w:p>
        <w:p w14:paraId="3A43EEBC" w14:textId="77777777" w:rsidR="00474F90" w:rsidRDefault="000B7360">
          <w:pPr>
            <w:pStyle w:val="TM1"/>
            <w:rPr>
              <w:rFonts w:asciiTheme="minorHAnsi" w:eastAsiaTheme="minorEastAsia" w:hAnsiTheme="minorHAnsi" w:cstheme="minorBidi"/>
              <w:noProof/>
            </w:rPr>
          </w:pPr>
          <w:hyperlink w:anchor="_Toc63233179" w:history="1">
            <w:r w:rsidR="00474F90" w:rsidRPr="005A3BC7">
              <w:rPr>
                <w:rStyle w:val="Lienhypertexte"/>
                <w:noProof/>
              </w:rPr>
              <w:t>Résumé exécutif</w:t>
            </w:r>
            <w:r w:rsidR="00474F90">
              <w:rPr>
                <w:noProof/>
                <w:webHidden/>
              </w:rPr>
              <w:tab/>
            </w:r>
            <w:r w:rsidR="00474F90">
              <w:rPr>
                <w:noProof/>
                <w:webHidden/>
              </w:rPr>
              <w:fldChar w:fldCharType="begin"/>
            </w:r>
            <w:r w:rsidR="00474F90">
              <w:rPr>
                <w:noProof/>
                <w:webHidden/>
              </w:rPr>
              <w:instrText xml:space="preserve"> PAGEREF _Toc63233179 \h </w:instrText>
            </w:r>
            <w:r w:rsidR="00474F90">
              <w:rPr>
                <w:noProof/>
                <w:webHidden/>
              </w:rPr>
            </w:r>
            <w:r w:rsidR="00474F90">
              <w:rPr>
                <w:noProof/>
                <w:webHidden/>
              </w:rPr>
              <w:fldChar w:fldCharType="separate"/>
            </w:r>
            <w:r w:rsidR="00474F90">
              <w:rPr>
                <w:noProof/>
                <w:webHidden/>
              </w:rPr>
              <w:t>8</w:t>
            </w:r>
            <w:r w:rsidR="00474F90">
              <w:rPr>
                <w:noProof/>
                <w:webHidden/>
              </w:rPr>
              <w:fldChar w:fldCharType="end"/>
            </w:r>
          </w:hyperlink>
        </w:p>
        <w:p w14:paraId="5B2A7F35" w14:textId="77777777" w:rsidR="00474F90" w:rsidRDefault="000B7360">
          <w:pPr>
            <w:pStyle w:val="TM1"/>
            <w:rPr>
              <w:rFonts w:asciiTheme="minorHAnsi" w:eastAsiaTheme="minorEastAsia" w:hAnsiTheme="minorHAnsi" w:cstheme="minorBidi"/>
              <w:noProof/>
            </w:rPr>
          </w:pPr>
          <w:hyperlink w:anchor="_Toc63233180" w:history="1">
            <w:r w:rsidR="00474F90" w:rsidRPr="005A3BC7">
              <w:rPr>
                <w:rStyle w:val="Lienhypertexte"/>
                <w:noProof/>
              </w:rPr>
              <w:t>INTRODUCTION</w:t>
            </w:r>
            <w:r w:rsidR="00474F90">
              <w:rPr>
                <w:noProof/>
                <w:webHidden/>
              </w:rPr>
              <w:tab/>
            </w:r>
            <w:r w:rsidR="00474F90">
              <w:rPr>
                <w:noProof/>
                <w:webHidden/>
              </w:rPr>
              <w:fldChar w:fldCharType="begin"/>
            </w:r>
            <w:r w:rsidR="00474F90">
              <w:rPr>
                <w:noProof/>
                <w:webHidden/>
              </w:rPr>
              <w:instrText xml:space="preserve"> PAGEREF _Toc63233180 \h </w:instrText>
            </w:r>
            <w:r w:rsidR="00474F90">
              <w:rPr>
                <w:noProof/>
                <w:webHidden/>
              </w:rPr>
            </w:r>
            <w:r w:rsidR="00474F90">
              <w:rPr>
                <w:noProof/>
                <w:webHidden/>
              </w:rPr>
              <w:fldChar w:fldCharType="separate"/>
            </w:r>
            <w:r w:rsidR="00474F90">
              <w:rPr>
                <w:noProof/>
                <w:webHidden/>
              </w:rPr>
              <w:t>10</w:t>
            </w:r>
            <w:r w:rsidR="00474F90">
              <w:rPr>
                <w:noProof/>
                <w:webHidden/>
              </w:rPr>
              <w:fldChar w:fldCharType="end"/>
            </w:r>
          </w:hyperlink>
        </w:p>
        <w:p w14:paraId="085EF717" w14:textId="77777777" w:rsidR="00474F90" w:rsidRDefault="000B7360">
          <w:pPr>
            <w:pStyle w:val="TM1"/>
            <w:rPr>
              <w:rFonts w:asciiTheme="minorHAnsi" w:eastAsiaTheme="minorEastAsia" w:hAnsiTheme="minorHAnsi" w:cstheme="minorBidi"/>
              <w:noProof/>
            </w:rPr>
          </w:pPr>
          <w:hyperlink w:anchor="_Toc63233181" w:history="1">
            <w:r w:rsidR="00474F90" w:rsidRPr="005A3BC7">
              <w:rPr>
                <w:rStyle w:val="Lienhypertexte"/>
                <w:noProof/>
              </w:rPr>
              <w:t>CHAPITRE I : CONTEXTE DE L’ETUDE</w:t>
            </w:r>
            <w:r w:rsidR="00474F90">
              <w:rPr>
                <w:noProof/>
                <w:webHidden/>
              </w:rPr>
              <w:tab/>
            </w:r>
            <w:r w:rsidR="00474F90">
              <w:rPr>
                <w:noProof/>
                <w:webHidden/>
              </w:rPr>
              <w:fldChar w:fldCharType="begin"/>
            </w:r>
            <w:r w:rsidR="00474F90">
              <w:rPr>
                <w:noProof/>
                <w:webHidden/>
              </w:rPr>
              <w:instrText xml:space="preserve"> PAGEREF _Toc63233181 \h </w:instrText>
            </w:r>
            <w:r w:rsidR="00474F90">
              <w:rPr>
                <w:noProof/>
                <w:webHidden/>
              </w:rPr>
            </w:r>
            <w:r w:rsidR="00474F90">
              <w:rPr>
                <w:noProof/>
                <w:webHidden/>
              </w:rPr>
              <w:fldChar w:fldCharType="separate"/>
            </w:r>
            <w:r w:rsidR="00474F90">
              <w:rPr>
                <w:noProof/>
                <w:webHidden/>
              </w:rPr>
              <w:t>11</w:t>
            </w:r>
            <w:r w:rsidR="00474F90">
              <w:rPr>
                <w:noProof/>
                <w:webHidden/>
              </w:rPr>
              <w:fldChar w:fldCharType="end"/>
            </w:r>
          </w:hyperlink>
        </w:p>
        <w:p w14:paraId="3E39D0DF" w14:textId="77777777" w:rsidR="00474F90" w:rsidRDefault="000B7360">
          <w:pPr>
            <w:pStyle w:val="TM2"/>
            <w:rPr>
              <w:rFonts w:asciiTheme="minorHAnsi" w:eastAsiaTheme="minorEastAsia" w:hAnsiTheme="minorHAnsi" w:cstheme="minorBidi"/>
              <w:noProof/>
            </w:rPr>
          </w:pPr>
          <w:hyperlink w:anchor="_Toc63233182" w:history="1">
            <w:r w:rsidR="00474F90" w:rsidRPr="005A3BC7">
              <w:rPr>
                <w:rStyle w:val="Lienhypertexte"/>
                <w:noProof/>
              </w:rPr>
              <w:t>1.1</w:t>
            </w:r>
            <w:r w:rsidR="00474F90">
              <w:rPr>
                <w:rFonts w:asciiTheme="minorHAnsi" w:eastAsiaTheme="minorEastAsia" w:hAnsiTheme="minorHAnsi" w:cstheme="minorBidi"/>
                <w:noProof/>
              </w:rPr>
              <w:tab/>
            </w:r>
            <w:r w:rsidR="00474F90" w:rsidRPr="005A3BC7">
              <w:rPr>
                <w:rStyle w:val="Lienhypertexte"/>
                <w:noProof/>
              </w:rPr>
              <w:t>Aperçu de la géographie physique et des subdivisions administratives</w:t>
            </w:r>
            <w:r w:rsidR="00474F90">
              <w:rPr>
                <w:noProof/>
                <w:webHidden/>
              </w:rPr>
              <w:tab/>
            </w:r>
            <w:r w:rsidR="00474F90">
              <w:rPr>
                <w:noProof/>
                <w:webHidden/>
              </w:rPr>
              <w:fldChar w:fldCharType="begin"/>
            </w:r>
            <w:r w:rsidR="00474F90">
              <w:rPr>
                <w:noProof/>
                <w:webHidden/>
              </w:rPr>
              <w:instrText xml:space="preserve"> PAGEREF _Toc63233182 \h </w:instrText>
            </w:r>
            <w:r w:rsidR="00474F90">
              <w:rPr>
                <w:noProof/>
                <w:webHidden/>
              </w:rPr>
            </w:r>
            <w:r w:rsidR="00474F90">
              <w:rPr>
                <w:noProof/>
                <w:webHidden/>
              </w:rPr>
              <w:fldChar w:fldCharType="separate"/>
            </w:r>
            <w:r w:rsidR="00474F90">
              <w:rPr>
                <w:noProof/>
                <w:webHidden/>
              </w:rPr>
              <w:t>11</w:t>
            </w:r>
            <w:r w:rsidR="00474F90">
              <w:rPr>
                <w:noProof/>
                <w:webHidden/>
              </w:rPr>
              <w:fldChar w:fldCharType="end"/>
            </w:r>
          </w:hyperlink>
        </w:p>
        <w:p w14:paraId="4B0ED899" w14:textId="77777777" w:rsidR="00474F90" w:rsidRDefault="000B7360">
          <w:pPr>
            <w:pStyle w:val="TM2"/>
            <w:rPr>
              <w:rFonts w:asciiTheme="minorHAnsi" w:eastAsiaTheme="minorEastAsia" w:hAnsiTheme="minorHAnsi" w:cstheme="minorBidi"/>
              <w:noProof/>
            </w:rPr>
          </w:pPr>
          <w:hyperlink w:anchor="_Toc63233183" w:history="1">
            <w:r w:rsidR="00474F90" w:rsidRPr="005A3BC7">
              <w:rPr>
                <w:rStyle w:val="Lienhypertexte"/>
                <w:noProof/>
              </w:rPr>
              <w:t>1.2</w:t>
            </w:r>
            <w:r w:rsidR="00474F90">
              <w:rPr>
                <w:rFonts w:asciiTheme="minorHAnsi" w:eastAsiaTheme="minorEastAsia" w:hAnsiTheme="minorHAnsi" w:cstheme="minorBidi"/>
                <w:noProof/>
              </w:rPr>
              <w:tab/>
            </w:r>
            <w:r w:rsidR="00474F90" w:rsidRPr="005A3BC7">
              <w:rPr>
                <w:rStyle w:val="Lienhypertexte"/>
                <w:noProof/>
              </w:rPr>
              <w:t>Population</w:t>
            </w:r>
            <w:r w:rsidR="00474F90">
              <w:rPr>
                <w:noProof/>
                <w:webHidden/>
              </w:rPr>
              <w:tab/>
            </w:r>
            <w:r w:rsidR="00474F90">
              <w:rPr>
                <w:noProof/>
                <w:webHidden/>
              </w:rPr>
              <w:fldChar w:fldCharType="begin"/>
            </w:r>
            <w:r w:rsidR="00474F90">
              <w:rPr>
                <w:noProof/>
                <w:webHidden/>
              </w:rPr>
              <w:instrText xml:space="preserve"> PAGEREF _Toc63233183 \h </w:instrText>
            </w:r>
            <w:r w:rsidR="00474F90">
              <w:rPr>
                <w:noProof/>
                <w:webHidden/>
              </w:rPr>
            </w:r>
            <w:r w:rsidR="00474F90">
              <w:rPr>
                <w:noProof/>
                <w:webHidden/>
              </w:rPr>
              <w:fldChar w:fldCharType="separate"/>
            </w:r>
            <w:r w:rsidR="00474F90">
              <w:rPr>
                <w:noProof/>
                <w:webHidden/>
              </w:rPr>
              <w:t>12</w:t>
            </w:r>
            <w:r w:rsidR="00474F90">
              <w:rPr>
                <w:noProof/>
                <w:webHidden/>
              </w:rPr>
              <w:fldChar w:fldCharType="end"/>
            </w:r>
          </w:hyperlink>
        </w:p>
        <w:p w14:paraId="13983A67" w14:textId="77777777" w:rsidR="00474F90" w:rsidRDefault="000B7360">
          <w:pPr>
            <w:pStyle w:val="TM2"/>
            <w:rPr>
              <w:rFonts w:asciiTheme="minorHAnsi" w:eastAsiaTheme="minorEastAsia" w:hAnsiTheme="minorHAnsi" w:cstheme="minorBidi"/>
              <w:noProof/>
            </w:rPr>
          </w:pPr>
          <w:hyperlink w:anchor="_Toc63233184" w:history="1">
            <w:r w:rsidR="00474F90" w:rsidRPr="005A3BC7">
              <w:rPr>
                <w:rStyle w:val="Lienhypertexte"/>
                <w:noProof/>
              </w:rPr>
              <w:t>1.3</w:t>
            </w:r>
            <w:r w:rsidR="00474F90">
              <w:rPr>
                <w:rFonts w:asciiTheme="minorHAnsi" w:eastAsiaTheme="minorEastAsia" w:hAnsiTheme="minorHAnsi" w:cstheme="minorBidi"/>
                <w:noProof/>
              </w:rPr>
              <w:tab/>
            </w:r>
            <w:r w:rsidR="00474F90" w:rsidRPr="005A3BC7">
              <w:rPr>
                <w:rStyle w:val="Lienhypertexte"/>
                <w:noProof/>
              </w:rPr>
              <w:t>Données socio-économiques</w:t>
            </w:r>
            <w:r w:rsidR="00474F90">
              <w:rPr>
                <w:noProof/>
                <w:webHidden/>
              </w:rPr>
              <w:tab/>
            </w:r>
            <w:r w:rsidR="00474F90">
              <w:rPr>
                <w:noProof/>
                <w:webHidden/>
              </w:rPr>
              <w:fldChar w:fldCharType="begin"/>
            </w:r>
            <w:r w:rsidR="00474F90">
              <w:rPr>
                <w:noProof/>
                <w:webHidden/>
              </w:rPr>
              <w:instrText xml:space="preserve"> PAGEREF _Toc63233184 \h </w:instrText>
            </w:r>
            <w:r w:rsidR="00474F90">
              <w:rPr>
                <w:noProof/>
                <w:webHidden/>
              </w:rPr>
            </w:r>
            <w:r w:rsidR="00474F90">
              <w:rPr>
                <w:noProof/>
                <w:webHidden/>
              </w:rPr>
              <w:fldChar w:fldCharType="separate"/>
            </w:r>
            <w:r w:rsidR="00474F90">
              <w:rPr>
                <w:noProof/>
                <w:webHidden/>
              </w:rPr>
              <w:t>12</w:t>
            </w:r>
            <w:r w:rsidR="00474F90">
              <w:rPr>
                <w:noProof/>
                <w:webHidden/>
              </w:rPr>
              <w:fldChar w:fldCharType="end"/>
            </w:r>
          </w:hyperlink>
        </w:p>
        <w:p w14:paraId="52054C92" w14:textId="77777777" w:rsidR="00474F90" w:rsidRDefault="000B7360">
          <w:pPr>
            <w:pStyle w:val="TM2"/>
            <w:rPr>
              <w:rFonts w:asciiTheme="minorHAnsi" w:eastAsiaTheme="minorEastAsia" w:hAnsiTheme="minorHAnsi" w:cstheme="minorBidi"/>
              <w:noProof/>
            </w:rPr>
          </w:pPr>
          <w:hyperlink w:anchor="_Toc63233185" w:history="1">
            <w:r w:rsidR="00474F90" w:rsidRPr="005A3BC7">
              <w:rPr>
                <w:rStyle w:val="Lienhypertexte"/>
                <w:noProof/>
              </w:rPr>
              <w:t>1.4</w:t>
            </w:r>
            <w:r w:rsidR="00474F90">
              <w:rPr>
                <w:rFonts w:asciiTheme="minorHAnsi" w:eastAsiaTheme="minorEastAsia" w:hAnsiTheme="minorHAnsi" w:cstheme="minorBidi"/>
                <w:noProof/>
              </w:rPr>
              <w:tab/>
            </w:r>
            <w:r w:rsidR="00474F90" w:rsidRPr="005A3BC7">
              <w:rPr>
                <w:rStyle w:val="Lienhypertexte"/>
                <w:noProof/>
              </w:rPr>
              <w:t>Etat de santé</w:t>
            </w:r>
            <w:r w:rsidR="00474F90">
              <w:rPr>
                <w:noProof/>
                <w:webHidden/>
              </w:rPr>
              <w:tab/>
            </w:r>
            <w:r w:rsidR="00474F90">
              <w:rPr>
                <w:noProof/>
                <w:webHidden/>
              </w:rPr>
              <w:fldChar w:fldCharType="begin"/>
            </w:r>
            <w:r w:rsidR="00474F90">
              <w:rPr>
                <w:noProof/>
                <w:webHidden/>
              </w:rPr>
              <w:instrText xml:space="preserve"> PAGEREF _Toc63233185 \h </w:instrText>
            </w:r>
            <w:r w:rsidR="00474F90">
              <w:rPr>
                <w:noProof/>
                <w:webHidden/>
              </w:rPr>
            </w:r>
            <w:r w:rsidR="00474F90">
              <w:rPr>
                <w:noProof/>
                <w:webHidden/>
              </w:rPr>
              <w:fldChar w:fldCharType="separate"/>
            </w:r>
            <w:r w:rsidR="00474F90">
              <w:rPr>
                <w:noProof/>
                <w:webHidden/>
              </w:rPr>
              <w:t>12</w:t>
            </w:r>
            <w:r w:rsidR="00474F90">
              <w:rPr>
                <w:noProof/>
                <w:webHidden/>
              </w:rPr>
              <w:fldChar w:fldCharType="end"/>
            </w:r>
          </w:hyperlink>
        </w:p>
        <w:p w14:paraId="30575DFF" w14:textId="77777777" w:rsidR="00474F90" w:rsidRDefault="000B7360">
          <w:pPr>
            <w:pStyle w:val="TM2"/>
            <w:rPr>
              <w:rFonts w:asciiTheme="minorHAnsi" w:eastAsiaTheme="minorEastAsia" w:hAnsiTheme="minorHAnsi" w:cstheme="minorBidi"/>
              <w:noProof/>
            </w:rPr>
          </w:pPr>
          <w:hyperlink w:anchor="_Toc63233186" w:history="1">
            <w:r w:rsidR="00474F90" w:rsidRPr="005A3BC7">
              <w:rPr>
                <w:rStyle w:val="Lienhypertexte"/>
                <w:noProof/>
              </w:rPr>
              <w:t>1.5</w:t>
            </w:r>
            <w:r w:rsidR="00474F90">
              <w:rPr>
                <w:rFonts w:asciiTheme="minorHAnsi" w:eastAsiaTheme="minorEastAsia" w:hAnsiTheme="minorHAnsi" w:cstheme="minorBidi"/>
                <w:noProof/>
              </w:rPr>
              <w:tab/>
            </w:r>
            <w:r w:rsidR="00474F90" w:rsidRPr="005A3BC7">
              <w:rPr>
                <w:rStyle w:val="Lienhypertexte"/>
                <w:noProof/>
              </w:rPr>
              <w:t>Politique de santé</w:t>
            </w:r>
            <w:r w:rsidR="00474F90">
              <w:rPr>
                <w:noProof/>
                <w:webHidden/>
              </w:rPr>
              <w:tab/>
            </w:r>
            <w:r w:rsidR="00474F90">
              <w:rPr>
                <w:noProof/>
                <w:webHidden/>
              </w:rPr>
              <w:fldChar w:fldCharType="begin"/>
            </w:r>
            <w:r w:rsidR="00474F90">
              <w:rPr>
                <w:noProof/>
                <w:webHidden/>
              </w:rPr>
              <w:instrText xml:space="preserve"> PAGEREF _Toc63233186 \h </w:instrText>
            </w:r>
            <w:r w:rsidR="00474F90">
              <w:rPr>
                <w:noProof/>
                <w:webHidden/>
              </w:rPr>
            </w:r>
            <w:r w:rsidR="00474F90">
              <w:rPr>
                <w:noProof/>
                <w:webHidden/>
              </w:rPr>
              <w:fldChar w:fldCharType="separate"/>
            </w:r>
            <w:r w:rsidR="00474F90">
              <w:rPr>
                <w:noProof/>
                <w:webHidden/>
              </w:rPr>
              <w:t>13</w:t>
            </w:r>
            <w:r w:rsidR="00474F90">
              <w:rPr>
                <w:noProof/>
                <w:webHidden/>
              </w:rPr>
              <w:fldChar w:fldCharType="end"/>
            </w:r>
          </w:hyperlink>
        </w:p>
        <w:p w14:paraId="22BDDB20"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187" w:history="1">
            <w:r w:rsidR="00474F90" w:rsidRPr="005A3BC7">
              <w:rPr>
                <w:rStyle w:val="Lienhypertexte"/>
                <w:noProof/>
              </w:rPr>
              <w:t>1.5.1</w:t>
            </w:r>
            <w:r w:rsidR="00474F90">
              <w:rPr>
                <w:rFonts w:asciiTheme="minorHAnsi" w:eastAsiaTheme="minorEastAsia" w:hAnsiTheme="minorHAnsi"/>
                <w:noProof/>
                <w:sz w:val="22"/>
                <w:lang w:eastAsia="fr-FR"/>
              </w:rPr>
              <w:tab/>
            </w:r>
            <w:r w:rsidR="00474F90" w:rsidRPr="005A3BC7">
              <w:rPr>
                <w:rStyle w:val="Lienhypertexte"/>
                <w:noProof/>
              </w:rPr>
              <w:t>Vision</w:t>
            </w:r>
            <w:r w:rsidR="00474F90">
              <w:rPr>
                <w:noProof/>
                <w:webHidden/>
              </w:rPr>
              <w:tab/>
            </w:r>
            <w:r w:rsidR="00474F90">
              <w:rPr>
                <w:noProof/>
                <w:webHidden/>
              </w:rPr>
              <w:fldChar w:fldCharType="begin"/>
            </w:r>
            <w:r w:rsidR="00474F90">
              <w:rPr>
                <w:noProof/>
                <w:webHidden/>
              </w:rPr>
              <w:instrText xml:space="preserve"> PAGEREF _Toc63233187 \h </w:instrText>
            </w:r>
            <w:r w:rsidR="00474F90">
              <w:rPr>
                <w:noProof/>
                <w:webHidden/>
              </w:rPr>
            </w:r>
            <w:r w:rsidR="00474F90">
              <w:rPr>
                <w:noProof/>
                <w:webHidden/>
              </w:rPr>
              <w:fldChar w:fldCharType="separate"/>
            </w:r>
            <w:r w:rsidR="00474F90">
              <w:rPr>
                <w:noProof/>
                <w:webHidden/>
              </w:rPr>
              <w:t>13</w:t>
            </w:r>
            <w:r w:rsidR="00474F90">
              <w:rPr>
                <w:noProof/>
                <w:webHidden/>
              </w:rPr>
              <w:fldChar w:fldCharType="end"/>
            </w:r>
          </w:hyperlink>
        </w:p>
        <w:p w14:paraId="688C2C25"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188" w:history="1">
            <w:r w:rsidR="00474F90" w:rsidRPr="005A3BC7">
              <w:rPr>
                <w:rStyle w:val="Lienhypertexte"/>
                <w:noProof/>
              </w:rPr>
              <w:t>1.5.2</w:t>
            </w:r>
            <w:r w:rsidR="00474F90">
              <w:rPr>
                <w:rFonts w:asciiTheme="minorHAnsi" w:eastAsiaTheme="minorEastAsia" w:hAnsiTheme="minorHAnsi"/>
                <w:noProof/>
                <w:sz w:val="22"/>
                <w:lang w:eastAsia="fr-FR"/>
              </w:rPr>
              <w:tab/>
            </w:r>
            <w:r w:rsidR="00474F90" w:rsidRPr="005A3BC7">
              <w:rPr>
                <w:rStyle w:val="Lienhypertexte"/>
                <w:noProof/>
              </w:rPr>
              <w:t>But</w:t>
            </w:r>
            <w:r w:rsidR="00474F90">
              <w:rPr>
                <w:noProof/>
                <w:webHidden/>
              </w:rPr>
              <w:tab/>
            </w:r>
            <w:r w:rsidR="00474F90">
              <w:rPr>
                <w:noProof/>
                <w:webHidden/>
              </w:rPr>
              <w:fldChar w:fldCharType="begin"/>
            </w:r>
            <w:r w:rsidR="00474F90">
              <w:rPr>
                <w:noProof/>
                <w:webHidden/>
              </w:rPr>
              <w:instrText xml:space="preserve"> PAGEREF _Toc63233188 \h </w:instrText>
            </w:r>
            <w:r w:rsidR="00474F90">
              <w:rPr>
                <w:noProof/>
                <w:webHidden/>
              </w:rPr>
            </w:r>
            <w:r w:rsidR="00474F90">
              <w:rPr>
                <w:noProof/>
                <w:webHidden/>
              </w:rPr>
              <w:fldChar w:fldCharType="separate"/>
            </w:r>
            <w:r w:rsidR="00474F90">
              <w:rPr>
                <w:noProof/>
                <w:webHidden/>
              </w:rPr>
              <w:t>13</w:t>
            </w:r>
            <w:r w:rsidR="00474F90">
              <w:rPr>
                <w:noProof/>
                <w:webHidden/>
              </w:rPr>
              <w:fldChar w:fldCharType="end"/>
            </w:r>
          </w:hyperlink>
        </w:p>
        <w:p w14:paraId="64867941"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189" w:history="1">
            <w:r w:rsidR="00474F90" w:rsidRPr="005A3BC7">
              <w:rPr>
                <w:rStyle w:val="Lienhypertexte"/>
                <w:noProof/>
              </w:rPr>
              <w:t>1.5.3</w:t>
            </w:r>
            <w:r w:rsidR="00474F90">
              <w:rPr>
                <w:rFonts w:asciiTheme="minorHAnsi" w:eastAsiaTheme="minorEastAsia" w:hAnsiTheme="minorHAnsi"/>
                <w:noProof/>
                <w:sz w:val="22"/>
                <w:lang w:eastAsia="fr-FR"/>
              </w:rPr>
              <w:tab/>
            </w:r>
            <w:r w:rsidR="00474F90" w:rsidRPr="005A3BC7">
              <w:rPr>
                <w:rStyle w:val="Lienhypertexte"/>
                <w:noProof/>
              </w:rPr>
              <w:t>Objectif</w:t>
            </w:r>
            <w:r w:rsidR="00474F90">
              <w:rPr>
                <w:noProof/>
                <w:webHidden/>
              </w:rPr>
              <w:tab/>
            </w:r>
            <w:r w:rsidR="00474F90">
              <w:rPr>
                <w:noProof/>
                <w:webHidden/>
              </w:rPr>
              <w:fldChar w:fldCharType="begin"/>
            </w:r>
            <w:r w:rsidR="00474F90">
              <w:rPr>
                <w:noProof/>
                <w:webHidden/>
              </w:rPr>
              <w:instrText xml:space="preserve"> PAGEREF _Toc63233189 \h </w:instrText>
            </w:r>
            <w:r w:rsidR="00474F90">
              <w:rPr>
                <w:noProof/>
                <w:webHidden/>
              </w:rPr>
            </w:r>
            <w:r w:rsidR="00474F90">
              <w:rPr>
                <w:noProof/>
                <w:webHidden/>
              </w:rPr>
              <w:fldChar w:fldCharType="separate"/>
            </w:r>
            <w:r w:rsidR="00474F90">
              <w:rPr>
                <w:noProof/>
                <w:webHidden/>
              </w:rPr>
              <w:t>13</w:t>
            </w:r>
            <w:r w:rsidR="00474F90">
              <w:rPr>
                <w:noProof/>
                <w:webHidden/>
              </w:rPr>
              <w:fldChar w:fldCharType="end"/>
            </w:r>
          </w:hyperlink>
        </w:p>
        <w:p w14:paraId="15E6AF72"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190" w:history="1">
            <w:r w:rsidR="00474F90" w:rsidRPr="005A3BC7">
              <w:rPr>
                <w:rStyle w:val="Lienhypertexte"/>
                <w:noProof/>
              </w:rPr>
              <w:t>1.5.4</w:t>
            </w:r>
            <w:r w:rsidR="00474F90">
              <w:rPr>
                <w:rFonts w:asciiTheme="minorHAnsi" w:eastAsiaTheme="minorEastAsia" w:hAnsiTheme="minorHAnsi"/>
                <w:noProof/>
                <w:sz w:val="22"/>
                <w:lang w:eastAsia="fr-FR"/>
              </w:rPr>
              <w:tab/>
            </w:r>
            <w:r w:rsidR="00474F90" w:rsidRPr="005A3BC7">
              <w:rPr>
                <w:rStyle w:val="Lienhypertexte"/>
                <w:noProof/>
              </w:rPr>
              <w:t>Orientations stratégiques</w:t>
            </w:r>
            <w:r w:rsidR="00474F90">
              <w:rPr>
                <w:noProof/>
                <w:webHidden/>
              </w:rPr>
              <w:tab/>
            </w:r>
            <w:r w:rsidR="00474F90">
              <w:rPr>
                <w:noProof/>
                <w:webHidden/>
              </w:rPr>
              <w:fldChar w:fldCharType="begin"/>
            </w:r>
            <w:r w:rsidR="00474F90">
              <w:rPr>
                <w:noProof/>
                <w:webHidden/>
              </w:rPr>
              <w:instrText xml:space="preserve"> PAGEREF _Toc63233190 \h </w:instrText>
            </w:r>
            <w:r w:rsidR="00474F90">
              <w:rPr>
                <w:noProof/>
                <w:webHidden/>
              </w:rPr>
            </w:r>
            <w:r w:rsidR="00474F90">
              <w:rPr>
                <w:noProof/>
                <w:webHidden/>
              </w:rPr>
              <w:fldChar w:fldCharType="separate"/>
            </w:r>
            <w:r w:rsidR="00474F90">
              <w:rPr>
                <w:noProof/>
                <w:webHidden/>
              </w:rPr>
              <w:t>13</w:t>
            </w:r>
            <w:r w:rsidR="00474F90">
              <w:rPr>
                <w:noProof/>
                <w:webHidden/>
              </w:rPr>
              <w:fldChar w:fldCharType="end"/>
            </w:r>
          </w:hyperlink>
        </w:p>
        <w:p w14:paraId="4DE5736B" w14:textId="77777777" w:rsidR="00474F90" w:rsidRDefault="000B7360">
          <w:pPr>
            <w:pStyle w:val="TM2"/>
            <w:rPr>
              <w:rFonts w:asciiTheme="minorHAnsi" w:eastAsiaTheme="minorEastAsia" w:hAnsiTheme="minorHAnsi" w:cstheme="minorBidi"/>
              <w:noProof/>
            </w:rPr>
          </w:pPr>
          <w:hyperlink w:anchor="_Toc63233191" w:history="1">
            <w:r w:rsidR="00474F90" w:rsidRPr="005A3BC7">
              <w:rPr>
                <w:rStyle w:val="Lienhypertexte"/>
                <w:noProof/>
              </w:rPr>
              <w:t>1.6</w:t>
            </w:r>
            <w:r w:rsidR="00474F90">
              <w:rPr>
                <w:rFonts w:asciiTheme="minorHAnsi" w:eastAsiaTheme="minorEastAsia" w:hAnsiTheme="minorHAnsi" w:cstheme="minorBidi"/>
                <w:noProof/>
              </w:rPr>
              <w:tab/>
            </w:r>
            <w:r w:rsidR="00474F90" w:rsidRPr="005A3BC7">
              <w:rPr>
                <w:rStyle w:val="Lienhypertexte"/>
                <w:noProof/>
              </w:rPr>
              <w:t>Organisation du système national de santé</w:t>
            </w:r>
            <w:r w:rsidR="00474F90">
              <w:rPr>
                <w:noProof/>
                <w:webHidden/>
              </w:rPr>
              <w:tab/>
            </w:r>
            <w:r w:rsidR="00474F90">
              <w:rPr>
                <w:noProof/>
                <w:webHidden/>
              </w:rPr>
              <w:fldChar w:fldCharType="begin"/>
            </w:r>
            <w:r w:rsidR="00474F90">
              <w:rPr>
                <w:noProof/>
                <w:webHidden/>
              </w:rPr>
              <w:instrText xml:space="preserve"> PAGEREF _Toc63233191 \h </w:instrText>
            </w:r>
            <w:r w:rsidR="00474F90">
              <w:rPr>
                <w:noProof/>
                <w:webHidden/>
              </w:rPr>
            </w:r>
            <w:r w:rsidR="00474F90">
              <w:rPr>
                <w:noProof/>
                <w:webHidden/>
              </w:rPr>
              <w:fldChar w:fldCharType="separate"/>
            </w:r>
            <w:r w:rsidR="00474F90">
              <w:rPr>
                <w:noProof/>
                <w:webHidden/>
              </w:rPr>
              <w:t>13</w:t>
            </w:r>
            <w:r w:rsidR="00474F90">
              <w:rPr>
                <w:noProof/>
                <w:webHidden/>
              </w:rPr>
              <w:fldChar w:fldCharType="end"/>
            </w:r>
          </w:hyperlink>
        </w:p>
        <w:p w14:paraId="7689A2E3"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192" w:history="1">
            <w:r w:rsidR="00474F90" w:rsidRPr="005A3BC7">
              <w:rPr>
                <w:rStyle w:val="Lienhypertexte"/>
                <w:noProof/>
              </w:rPr>
              <w:t>1.6.1</w:t>
            </w:r>
            <w:r w:rsidR="00474F90">
              <w:rPr>
                <w:rFonts w:asciiTheme="minorHAnsi" w:eastAsiaTheme="minorEastAsia" w:hAnsiTheme="minorHAnsi"/>
                <w:noProof/>
                <w:sz w:val="22"/>
                <w:lang w:eastAsia="fr-FR"/>
              </w:rPr>
              <w:tab/>
            </w:r>
            <w:r w:rsidR="00474F90" w:rsidRPr="005A3BC7">
              <w:rPr>
                <w:rStyle w:val="Lienhypertexte"/>
                <w:noProof/>
              </w:rPr>
              <w:t>Organisation administrative du système de santé</w:t>
            </w:r>
            <w:r w:rsidR="00474F90">
              <w:rPr>
                <w:noProof/>
                <w:webHidden/>
              </w:rPr>
              <w:tab/>
            </w:r>
            <w:r w:rsidR="00474F90">
              <w:rPr>
                <w:noProof/>
                <w:webHidden/>
              </w:rPr>
              <w:fldChar w:fldCharType="begin"/>
            </w:r>
            <w:r w:rsidR="00474F90">
              <w:rPr>
                <w:noProof/>
                <w:webHidden/>
              </w:rPr>
              <w:instrText xml:space="preserve"> PAGEREF _Toc63233192 \h </w:instrText>
            </w:r>
            <w:r w:rsidR="00474F90">
              <w:rPr>
                <w:noProof/>
                <w:webHidden/>
              </w:rPr>
            </w:r>
            <w:r w:rsidR="00474F90">
              <w:rPr>
                <w:noProof/>
                <w:webHidden/>
              </w:rPr>
              <w:fldChar w:fldCharType="separate"/>
            </w:r>
            <w:r w:rsidR="00474F90">
              <w:rPr>
                <w:noProof/>
                <w:webHidden/>
              </w:rPr>
              <w:t>14</w:t>
            </w:r>
            <w:r w:rsidR="00474F90">
              <w:rPr>
                <w:noProof/>
                <w:webHidden/>
              </w:rPr>
              <w:fldChar w:fldCharType="end"/>
            </w:r>
          </w:hyperlink>
        </w:p>
        <w:p w14:paraId="193AE88F"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193" w:history="1">
            <w:r w:rsidR="00474F90" w:rsidRPr="005A3BC7">
              <w:rPr>
                <w:rStyle w:val="Lienhypertexte"/>
                <w:noProof/>
              </w:rPr>
              <w:t>1.6.2</w:t>
            </w:r>
            <w:r w:rsidR="00474F90">
              <w:rPr>
                <w:rFonts w:asciiTheme="minorHAnsi" w:eastAsiaTheme="minorEastAsia" w:hAnsiTheme="minorHAnsi"/>
                <w:noProof/>
                <w:sz w:val="22"/>
                <w:lang w:eastAsia="fr-FR"/>
              </w:rPr>
              <w:tab/>
            </w:r>
            <w:r w:rsidR="00474F90" w:rsidRPr="005A3BC7">
              <w:rPr>
                <w:rStyle w:val="Lienhypertexte"/>
                <w:noProof/>
              </w:rPr>
              <w:t>Organisation et fonctionnement des structures de soins</w:t>
            </w:r>
            <w:r w:rsidR="00474F90">
              <w:rPr>
                <w:noProof/>
                <w:webHidden/>
              </w:rPr>
              <w:tab/>
            </w:r>
            <w:r w:rsidR="00474F90">
              <w:rPr>
                <w:noProof/>
                <w:webHidden/>
              </w:rPr>
              <w:fldChar w:fldCharType="begin"/>
            </w:r>
            <w:r w:rsidR="00474F90">
              <w:rPr>
                <w:noProof/>
                <w:webHidden/>
              </w:rPr>
              <w:instrText xml:space="preserve"> PAGEREF _Toc63233193 \h </w:instrText>
            </w:r>
            <w:r w:rsidR="00474F90">
              <w:rPr>
                <w:noProof/>
                <w:webHidden/>
              </w:rPr>
            </w:r>
            <w:r w:rsidR="00474F90">
              <w:rPr>
                <w:noProof/>
                <w:webHidden/>
              </w:rPr>
              <w:fldChar w:fldCharType="separate"/>
            </w:r>
            <w:r w:rsidR="00474F90">
              <w:rPr>
                <w:noProof/>
                <w:webHidden/>
              </w:rPr>
              <w:t>14</w:t>
            </w:r>
            <w:r w:rsidR="00474F90">
              <w:rPr>
                <w:noProof/>
                <w:webHidden/>
              </w:rPr>
              <w:fldChar w:fldCharType="end"/>
            </w:r>
          </w:hyperlink>
        </w:p>
        <w:p w14:paraId="03F886CD" w14:textId="77777777" w:rsidR="00474F90" w:rsidRDefault="000B7360">
          <w:pPr>
            <w:pStyle w:val="TM2"/>
            <w:rPr>
              <w:rFonts w:asciiTheme="minorHAnsi" w:eastAsiaTheme="minorEastAsia" w:hAnsiTheme="minorHAnsi" w:cstheme="minorBidi"/>
              <w:noProof/>
            </w:rPr>
          </w:pPr>
          <w:hyperlink w:anchor="_Toc63233194" w:history="1">
            <w:r w:rsidR="00474F90" w:rsidRPr="005A3BC7">
              <w:rPr>
                <w:rStyle w:val="Lienhypertexte"/>
                <w:noProof/>
              </w:rPr>
              <w:t>1.7</w:t>
            </w:r>
            <w:r w:rsidR="00474F90">
              <w:rPr>
                <w:rFonts w:asciiTheme="minorHAnsi" w:eastAsiaTheme="minorEastAsia" w:hAnsiTheme="minorHAnsi" w:cstheme="minorBidi"/>
                <w:noProof/>
              </w:rPr>
              <w:tab/>
            </w:r>
            <w:r w:rsidR="00474F90" w:rsidRPr="005A3BC7">
              <w:rPr>
                <w:rStyle w:val="Lienhypertexte"/>
                <w:noProof/>
              </w:rPr>
              <w:t>Les ressources du secteur</w:t>
            </w:r>
            <w:r w:rsidR="00474F90">
              <w:rPr>
                <w:noProof/>
                <w:webHidden/>
              </w:rPr>
              <w:tab/>
            </w:r>
            <w:r w:rsidR="00474F90">
              <w:rPr>
                <w:noProof/>
                <w:webHidden/>
              </w:rPr>
              <w:fldChar w:fldCharType="begin"/>
            </w:r>
            <w:r w:rsidR="00474F90">
              <w:rPr>
                <w:noProof/>
                <w:webHidden/>
              </w:rPr>
              <w:instrText xml:space="preserve"> PAGEREF _Toc63233194 \h </w:instrText>
            </w:r>
            <w:r w:rsidR="00474F90">
              <w:rPr>
                <w:noProof/>
                <w:webHidden/>
              </w:rPr>
            </w:r>
            <w:r w:rsidR="00474F90">
              <w:rPr>
                <w:noProof/>
                <w:webHidden/>
              </w:rPr>
              <w:fldChar w:fldCharType="separate"/>
            </w:r>
            <w:r w:rsidR="00474F90">
              <w:rPr>
                <w:noProof/>
                <w:webHidden/>
              </w:rPr>
              <w:t>14</w:t>
            </w:r>
            <w:r w:rsidR="00474F90">
              <w:rPr>
                <w:noProof/>
                <w:webHidden/>
              </w:rPr>
              <w:fldChar w:fldCharType="end"/>
            </w:r>
          </w:hyperlink>
        </w:p>
        <w:p w14:paraId="70581992"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195" w:history="1">
            <w:r w:rsidR="00474F90" w:rsidRPr="005A3BC7">
              <w:rPr>
                <w:rStyle w:val="Lienhypertexte"/>
                <w:noProof/>
              </w:rPr>
              <w:t>1.7.1</w:t>
            </w:r>
            <w:r w:rsidR="00474F90">
              <w:rPr>
                <w:rFonts w:asciiTheme="minorHAnsi" w:eastAsiaTheme="minorEastAsia" w:hAnsiTheme="minorHAnsi"/>
                <w:noProof/>
                <w:sz w:val="22"/>
                <w:lang w:eastAsia="fr-FR"/>
              </w:rPr>
              <w:tab/>
            </w:r>
            <w:r w:rsidR="00474F90" w:rsidRPr="005A3BC7">
              <w:rPr>
                <w:rStyle w:val="Lienhypertexte"/>
                <w:noProof/>
              </w:rPr>
              <w:t>Ressources humaines</w:t>
            </w:r>
            <w:r w:rsidR="00474F90">
              <w:rPr>
                <w:noProof/>
                <w:webHidden/>
              </w:rPr>
              <w:tab/>
            </w:r>
            <w:r w:rsidR="00474F90">
              <w:rPr>
                <w:noProof/>
                <w:webHidden/>
              </w:rPr>
              <w:fldChar w:fldCharType="begin"/>
            </w:r>
            <w:r w:rsidR="00474F90">
              <w:rPr>
                <w:noProof/>
                <w:webHidden/>
              </w:rPr>
              <w:instrText xml:space="preserve"> PAGEREF _Toc63233195 \h </w:instrText>
            </w:r>
            <w:r w:rsidR="00474F90">
              <w:rPr>
                <w:noProof/>
                <w:webHidden/>
              </w:rPr>
            </w:r>
            <w:r w:rsidR="00474F90">
              <w:rPr>
                <w:noProof/>
                <w:webHidden/>
              </w:rPr>
              <w:fldChar w:fldCharType="separate"/>
            </w:r>
            <w:r w:rsidR="00474F90">
              <w:rPr>
                <w:noProof/>
                <w:webHidden/>
              </w:rPr>
              <w:t>14</w:t>
            </w:r>
            <w:r w:rsidR="00474F90">
              <w:rPr>
                <w:noProof/>
                <w:webHidden/>
              </w:rPr>
              <w:fldChar w:fldCharType="end"/>
            </w:r>
          </w:hyperlink>
        </w:p>
        <w:p w14:paraId="7ED9F198"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196" w:history="1">
            <w:r w:rsidR="00474F90" w:rsidRPr="005A3BC7">
              <w:rPr>
                <w:rStyle w:val="Lienhypertexte"/>
                <w:noProof/>
              </w:rPr>
              <w:t>1.7.2</w:t>
            </w:r>
            <w:r w:rsidR="00474F90">
              <w:rPr>
                <w:rFonts w:asciiTheme="minorHAnsi" w:eastAsiaTheme="minorEastAsia" w:hAnsiTheme="minorHAnsi"/>
                <w:noProof/>
                <w:sz w:val="22"/>
                <w:lang w:eastAsia="fr-FR"/>
              </w:rPr>
              <w:tab/>
            </w:r>
            <w:r w:rsidR="00474F90" w:rsidRPr="005A3BC7">
              <w:rPr>
                <w:rStyle w:val="Lienhypertexte"/>
                <w:noProof/>
              </w:rPr>
              <w:t>Ressources financières :</w:t>
            </w:r>
            <w:r w:rsidR="00474F90">
              <w:rPr>
                <w:noProof/>
                <w:webHidden/>
              </w:rPr>
              <w:tab/>
            </w:r>
            <w:r w:rsidR="00474F90">
              <w:rPr>
                <w:noProof/>
                <w:webHidden/>
              </w:rPr>
              <w:fldChar w:fldCharType="begin"/>
            </w:r>
            <w:r w:rsidR="00474F90">
              <w:rPr>
                <w:noProof/>
                <w:webHidden/>
              </w:rPr>
              <w:instrText xml:space="preserve"> PAGEREF _Toc63233196 \h </w:instrText>
            </w:r>
            <w:r w:rsidR="00474F90">
              <w:rPr>
                <w:noProof/>
                <w:webHidden/>
              </w:rPr>
            </w:r>
            <w:r w:rsidR="00474F90">
              <w:rPr>
                <w:noProof/>
                <w:webHidden/>
              </w:rPr>
              <w:fldChar w:fldCharType="separate"/>
            </w:r>
            <w:r w:rsidR="00474F90">
              <w:rPr>
                <w:noProof/>
                <w:webHidden/>
              </w:rPr>
              <w:t>15</w:t>
            </w:r>
            <w:r w:rsidR="00474F90">
              <w:rPr>
                <w:noProof/>
                <w:webHidden/>
              </w:rPr>
              <w:fldChar w:fldCharType="end"/>
            </w:r>
          </w:hyperlink>
        </w:p>
        <w:p w14:paraId="0A16424B" w14:textId="77777777" w:rsidR="00474F90" w:rsidRDefault="000B7360">
          <w:pPr>
            <w:pStyle w:val="TM1"/>
            <w:rPr>
              <w:rFonts w:asciiTheme="minorHAnsi" w:eastAsiaTheme="minorEastAsia" w:hAnsiTheme="minorHAnsi" w:cstheme="minorBidi"/>
              <w:noProof/>
            </w:rPr>
          </w:pPr>
          <w:hyperlink w:anchor="_Toc63233197" w:history="1">
            <w:r w:rsidR="00474F90" w:rsidRPr="005A3BC7">
              <w:rPr>
                <w:rStyle w:val="Lienhypertexte"/>
                <w:noProof/>
              </w:rPr>
              <w:t>CHAPITRE II : OBJECTIFS ET METHODOLOGIE</w:t>
            </w:r>
            <w:r w:rsidR="00474F90">
              <w:rPr>
                <w:noProof/>
                <w:webHidden/>
              </w:rPr>
              <w:tab/>
            </w:r>
            <w:r w:rsidR="00474F90">
              <w:rPr>
                <w:noProof/>
                <w:webHidden/>
              </w:rPr>
              <w:fldChar w:fldCharType="begin"/>
            </w:r>
            <w:r w:rsidR="00474F90">
              <w:rPr>
                <w:noProof/>
                <w:webHidden/>
              </w:rPr>
              <w:instrText xml:space="preserve"> PAGEREF _Toc63233197 \h </w:instrText>
            </w:r>
            <w:r w:rsidR="00474F90">
              <w:rPr>
                <w:noProof/>
                <w:webHidden/>
              </w:rPr>
            </w:r>
            <w:r w:rsidR="00474F90">
              <w:rPr>
                <w:noProof/>
                <w:webHidden/>
              </w:rPr>
              <w:fldChar w:fldCharType="separate"/>
            </w:r>
            <w:r w:rsidR="00474F90">
              <w:rPr>
                <w:noProof/>
                <w:webHidden/>
              </w:rPr>
              <w:t>16</w:t>
            </w:r>
            <w:r w:rsidR="00474F90">
              <w:rPr>
                <w:noProof/>
                <w:webHidden/>
              </w:rPr>
              <w:fldChar w:fldCharType="end"/>
            </w:r>
          </w:hyperlink>
        </w:p>
        <w:p w14:paraId="12F9E448" w14:textId="77777777" w:rsidR="00474F90" w:rsidRDefault="000B7360">
          <w:pPr>
            <w:pStyle w:val="TM2"/>
            <w:rPr>
              <w:rFonts w:asciiTheme="minorHAnsi" w:eastAsiaTheme="minorEastAsia" w:hAnsiTheme="minorHAnsi" w:cstheme="minorBidi"/>
              <w:noProof/>
            </w:rPr>
          </w:pPr>
          <w:hyperlink w:anchor="_Toc63233199" w:history="1">
            <w:r w:rsidR="00474F90" w:rsidRPr="005A3BC7">
              <w:rPr>
                <w:rStyle w:val="Lienhypertexte"/>
                <w:noProof/>
              </w:rPr>
              <w:t>2.1</w:t>
            </w:r>
            <w:r w:rsidR="00474F90">
              <w:rPr>
                <w:rFonts w:asciiTheme="minorHAnsi" w:eastAsiaTheme="minorEastAsia" w:hAnsiTheme="minorHAnsi" w:cstheme="minorBidi"/>
                <w:noProof/>
              </w:rPr>
              <w:tab/>
            </w:r>
            <w:r w:rsidR="00474F90" w:rsidRPr="005A3BC7">
              <w:rPr>
                <w:rStyle w:val="Lienhypertexte"/>
                <w:noProof/>
              </w:rPr>
              <w:t>Objectifs</w:t>
            </w:r>
            <w:r w:rsidR="00474F90">
              <w:rPr>
                <w:noProof/>
                <w:webHidden/>
              </w:rPr>
              <w:tab/>
            </w:r>
            <w:r w:rsidR="00474F90">
              <w:rPr>
                <w:noProof/>
                <w:webHidden/>
              </w:rPr>
              <w:fldChar w:fldCharType="begin"/>
            </w:r>
            <w:r w:rsidR="00474F90">
              <w:rPr>
                <w:noProof/>
                <w:webHidden/>
              </w:rPr>
              <w:instrText xml:space="preserve"> PAGEREF _Toc63233199 \h </w:instrText>
            </w:r>
            <w:r w:rsidR="00474F90">
              <w:rPr>
                <w:noProof/>
                <w:webHidden/>
              </w:rPr>
            </w:r>
            <w:r w:rsidR="00474F90">
              <w:rPr>
                <w:noProof/>
                <w:webHidden/>
              </w:rPr>
              <w:fldChar w:fldCharType="separate"/>
            </w:r>
            <w:r w:rsidR="00474F90">
              <w:rPr>
                <w:noProof/>
                <w:webHidden/>
              </w:rPr>
              <w:t>16</w:t>
            </w:r>
            <w:r w:rsidR="00474F90">
              <w:rPr>
                <w:noProof/>
                <w:webHidden/>
              </w:rPr>
              <w:fldChar w:fldCharType="end"/>
            </w:r>
          </w:hyperlink>
        </w:p>
        <w:p w14:paraId="17B75801" w14:textId="77777777" w:rsidR="00474F90" w:rsidRDefault="000B7360">
          <w:pPr>
            <w:pStyle w:val="TM2"/>
            <w:rPr>
              <w:rFonts w:asciiTheme="minorHAnsi" w:eastAsiaTheme="minorEastAsia" w:hAnsiTheme="minorHAnsi" w:cstheme="minorBidi"/>
              <w:noProof/>
            </w:rPr>
          </w:pPr>
          <w:hyperlink w:anchor="_Toc63233200" w:history="1">
            <w:r w:rsidR="00474F90" w:rsidRPr="005A3BC7">
              <w:rPr>
                <w:rStyle w:val="Lienhypertexte"/>
                <w:rFonts w:cs="Arial"/>
                <w:noProof/>
              </w:rPr>
              <w:t>2.2</w:t>
            </w:r>
            <w:r w:rsidR="00474F90">
              <w:rPr>
                <w:rFonts w:asciiTheme="minorHAnsi" w:eastAsiaTheme="minorEastAsia" w:hAnsiTheme="minorHAnsi" w:cstheme="minorBidi"/>
                <w:noProof/>
              </w:rPr>
              <w:tab/>
            </w:r>
            <w:r w:rsidR="00474F90" w:rsidRPr="005A3BC7">
              <w:rPr>
                <w:rStyle w:val="Lienhypertexte"/>
                <w:noProof/>
              </w:rPr>
              <w:t>Méthodologie</w:t>
            </w:r>
            <w:r w:rsidR="00474F90">
              <w:rPr>
                <w:noProof/>
                <w:webHidden/>
              </w:rPr>
              <w:tab/>
            </w:r>
            <w:r w:rsidR="00474F90">
              <w:rPr>
                <w:noProof/>
                <w:webHidden/>
              </w:rPr>
              <w:fldChar w:fldCharType="begin"/>
            </w:r>
            <w:r w:rsidR="00474F90">
              <w:rPr>
                <w:noProof/>
                <w:webHidden/>
              </w:rPr>
              <w:instrText xml:space="preserve"> PAGEREF _Toc63233200 \h </w:instrText>
            </w:r>
            <w:r w:rsidR="00474F90">
              <w:rPr>
                <w:noProof/>
                <w:webHidden/>
              </w:rPr>
            </w:r>
            <w:r w:rsidR="00474F90">
              <w:rPr>
                <w:noProof/>
                <w:webHidden/>
              </w:rPr>
              <w:fldChar w:fldCharType="separate"/>
            </w:r>
            <w:r w:rsidR="00474F90">
              <w:rPr>
                <w:noProof/>
                <w:webHidden/>
              </w:rPr>
              <w:t>16</w:t>
            </w:r>
            <w:r w:rsidR="00474F90">
              <w:rPr>
                <w:noProof/>
                <w:webHidden/>
              </w:rPr>
              <w:fldChar w:fldCharType="end"/>
            </w:r>
          </w:hyperlink>
        </w:p>
        <w:p w14:paraId="6FB7DA87"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01" w:history="1">
            <w:r w:rsidR="00474F90" w:rsidRPr="005A3BC7">
              <w:rPr>
                <w:rStyle w:val="Lienhypertexte"/>
                <w:noProof/>
              </w:rPr>
              <w:t>2.2.1</w:t>
            </w:r>
            <w:r w:rsidR="00474F90">
              <w:rPr>
                <w:rFonts w:asciiTheme="minorHAnsi" w:eastAsiaTheme="minorEastAsia" w:hAnsiTheme="minorHAnsi"/>
                <w:noProof/>
                <w:sz w:val="22"/>
                <w:lang w:eastAsia="fr-FR"/>
              </w:rPr>
              <w:tab/>
            </w:r>
            <w:r w:rsidR="00474F90" w:rsidRPr="005A3BC7">
              <w:rPr>
                <w:rStyle w:val="Lienhypertexte"/>
                <w:noProof/>
              </w:rPr>
              <w:t>Critères d’évaluation :</w:t>
            </w:r>
            <w:r w:rsidR="00474F90">
              <w:rPr>
                <w:noProof/>
                <w:webHidden/>
              </w:rPr>
              <w:tab/>
            </w:r>
            <w:r w:rsidR="00474F90">
              <w:rPr>
                <w:noProof/>
                <w:webHidden/>
              </w:rPr>
              <w:fldChar w:fldCharType="begin"/>
            </w:r>
            <w:r w:rsidR="00474F90">
              <w:rPr>
                <w:noProof/>
                <w:webHidden/>
              </w:rPr>
              <w:instrText xml:space="preserve"> PAGEREF _Toc63233201 \h </w:instrText>
            </w:r>
            <w:r w:rsidR="00474F90">
              <w:rPr>
                <w:noProof/>
                <w:webHidden/>
              </w:rPr>
            </w:r>
            <w:r w:rsidR="00474F90">
              <w:rPr>
                <w:noProof/>
                <w:webHidden/>
              </w:rPr>
              <w:fldChar w:fldCharType="separate"/>
            </w:r>
            <w:r w:rsidR="00474F90">
              <w:rPr>
                <w:noProof/>
                <w:webHidden/>
              </w:rPr>
              <w:t>16</w:t>
            </w:r>
            <w:r w:rsidR="00474F90">
              <w:rPr>
                <w:noProof/>
                <w:webHidden/>
              </w:rPr>
              <w:fldChar w:fldCharType="end"/>
            </w:r>
          </w:hyperlink>
        </w:p>
        <w:p w14:paraId="7B4767C6"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02" w:history="1">
            <w:r w:rsidR="00474F90" w:rsidRPr="005A3BC7">
              <w:rPr>
                <w:rStyle w:val="Lienhypertexte"/>
                <w:noProof/>
              </w:rPr>
              <w:t>2.2.2</w:t>
            </w:r>
            <w:r w:rsidR="00474F90">
              <w:rPr>
                <w:rFonts w:asciiTheme="minorHAnsi" w:eastAsiaTheme="minorEastAsia" w:hAnsiTheme="minorHAnsi"/>
                <w:noProof/>
                <w:sz w:val="22"/>
                <w:lang w:eastAsia="fr-FR"/>
              </w:rPr>
              <w:tab/>
            </w:r>
            <w:r w:rsidR="00474F90" w:rsidRPr="005A3BC7">
              <w:rPr>
                <w:rStyle w:val="Lienhypertexte"/>
                <w:noProof/>
              </w:rPr>
              <w:t>Taille et distribution de l’échantillon</w:t>
            </w:r>
            <w:r w:rsidR="00474F90">
              <w:rPr>
                <w:noProof/>
                <w:webHidden/>
              </w:rPr>
              <w:tab/>
            </w:r>
            <w:r w:rsidR="00474F90">
              <w:rPr>
                <w:noProof/>
                <w:webHidden/>
              </w:rPr>
              <w:fldChar w:fldCharType="begin"/>
            </w:r>
            <w:r w:rsidR="00474F90">
              <w:rPr>
                <w:noProof/>
                <w:webHidden/>
              </w:rPr>
              <w:instrText xml:space="preserve"> PAGEREF _Toc63233202 \h </w:instrText>
            </w:r>
            <w:r w:rsidR="00474F90">
              <w:rPr>
                <w:noProof/>
                <w:webHidden/>
              </w:rPr>
            </w:r>
            <w:r w:rsidR="00474F90">
              <w:rPr>
                <w:noProof/>
                <w:webHidden/>
              </w:rPr>
              <w:fldChar w:fldCharType="separate"/>
            </w:r>
            <w:r w:rsidR="00474F90">
              <w:rPr>
                <w:noProof/>
                <w:webHidden/>
              </w:rPr>
              <w:t>17</w:t>
            </w:r>
            <w:r w:rsidR="00474F90">
              <w:rPr>
                <w:noProof/>
                <w:webHidden/>
              </w:rPr>
              <w:fldChar w:fldCharType="end"/>
            </w:r>
          </w:hyperlink>
        </w:p>
        <w:p w14:paraId="7D650525"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03" w:history="1">
            <w:r w:rsidR="00474F90" w:rsidRPr="005A3BC7">
              <w:rPr>
                <w:rStyle w:val="Lienhypertexte"/>
                <w:noProof/>
              </w:rPr>
              <w:t>2.2.3</w:t>
            </w:r>
            <w:r w:rsidR="00474F90">
              <w:rPr>
                <w:rFonts w:asciiTheme="minorHAnsi" w:eastAsiaTheme="minorEastAsia" w:hAnsiTheme="minorHAnsi"/>
                <w:noProof/>
                <w:sz w:val="22"/>
                <w:lang w:eastAsia="fr-FR"/>
              </w:rPr>
              <w:tab/>
            </w:r>
            <w:r w:rsidR="00474F90" w:rsidRPr="005A3BC7">
              <w:rPr>
                <w:rStyle w:val="Lienhypertexte"/>
                <w:noProof/>
              </w:rPr>
              <w:t>Sources des données</w:t>
            </w:r>
            <w:r w:rsidR="00474F90">
              <w:rPr>
                <w:noProof/>
                <w:webHidden/>
              </w:rPr>
              <w:tab/>
            </w:r>
            <w:r w:rsidR="00474F90">
              <w:rPr>
                <w:noProof/>
                <w:webHidden/>
              </w:rPr>
              <w:fldChar w:fldCharType="begin"/>
            </w:r>
            <w:r w:rsidR="00474F90">
              <w:rPr>
                <w:noProof/>
                <w:webHidden/>
              </w:rPr>
              <w:instrText xml:space="preserve"> PAGEREF _Toc63233203 \h </w:instrText>
            </w:r>
            <w:r w:rsidR="00474F90">
              <w:rPr>
                <w:noProof/>
                <w:webHidden/>
              </w:rPr>
            </w:r>
            <w:r w:rsidR="00474F90">
              <w:rPr>
                <w:noProof/>
                <w:webHidden/>
              </w:rPr>
              <w:fldChar w:fldCharType="separate"/>
            </w:r>
            <w:r w:rsidR="00474F90">
              <w:rPr>
                <w:noProof/>
                <w:webHidden/>
              </w:rPr>
              <w:t>18</w:t>
            </w:r>
            <w:r w:rsidR="00474F90">
              <w:rPr>
                <w:noProof/>
                <w:webHidden/>
              </w:rPr>
              <w:fldChar w:fldCharType="end"/>
            </w:r>
          </w:hyperlink>
        </w:p>
        <w:p w14:paraId="27836423"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04" w:history="1">
            <w:r w:rsidR="00474F90" w:rsidRPr="005A3BC7">
              <w:rPr>
                <w:rStyle w:val="Lienhypertexte"/>
                <w:noProof/>
              </w:rPr>
              <w:t>2.2.4</w:t>
            </w:r>
            <w:r w:rsidR="00474F90">
              <w:rPr>
                <w:rFonts w:asciiTheme="minorHAnsi" w:eastAsiaTheme="minorEastAsia" w:hAnsiTheme="minorHAnsi"/>
                <w:noProof/>
                <w:sz w:val="22"/>
                <w:lang w:eastAsia="fr-FR"/>
              </w:rPr>
              <w:tab/>
            </w:r>
            <w:r w:rsidR="00474F90" w:rsidRPr="005A3BC7">
              <w:rPr>
                <w:rStyle w:val="Lienhypertexte"/>
                <w:noProof/>
              </w:rPr>
              <w:t>Saisie et traitement des données</w:t>
            </w:r>
            <w:r w:rsidR="00474F90">
              <w:rPr>
                <w:noProof/>
                <w:webHidden/>
              </w:rPr>
              <w:tab/>
            </w:r>
            <w:r w:rsidR="00474F90">
              <w:rPr>
                <w:noProof/>
                <w:webHidden/>
              </w:rPr>
              <w:fldChar w:fldCharType="begin"/>
            </w:r>
            <w:r w:rsidR="00474F90">
              <w:rPr>
                <w:noProof/>
                <w:webHidden/>
              </w:rPr>
              <w:instrText xml:space="preserve"> PAGEREF _Toc63233204 \h </w:instrText>
            </w:r>
            <w:r w:rsidR="00474F90">
              <w:rPr>
                <w:noProof/>
                <w:webHidden/>
              </w:rPr>
            </w:r>
            <w:r w:rsidR="00474F90">
              <w:rPr>
                <w:noProof/>
                <w:webHidden/>
              </w:rPr>
              <w:fldChar w:fldCharType="separate"/>
            </w:r>
            <w:r w:rsidR="00474F90">
              <w:rPr>
                <w:noProof/>
                <w:webHidden/>
              </w:rPr>
              <w:t>18</w:t>
            </w:r>
            <w:r w:rsidR="00474F90">
              <w:rPr>
                <w:noProof/>
                <w:webHidden/>
              </w:rPr>
              <w:fldChar w:fldCharType="end"/>
            </w:r>
          </w:hyperlink>
        </w:p>
        <w:p w14:paraId="76A56AC1"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05" w:history="1">
            <w:r w:rsidR="00474F90" w:rsidRPr="005A3BC7">
              <w:rPr>
                <w:rStyle w:val="Lienhypertexte"/>
                <w:noProof/>
              </w:rPr>
              <w:t>2.2.5</w:t>
            </w:r>
            <w:r w:rsidR="00474F90">
              <w:rPr>
                <w:rFonts w:asciiTheme="minorHAnsi" w:eastAsiaTheme="minorEastAsia" w:hAnsiTheme="minorHAnsi"/>
                <w:noProof/>
                <w:sz w:val="22"/>
                <w:lang w:eastAsia="fr-FR"/>
              </w:rPr>
              <w:tab/>
            </w:r>
            <w:r w:rsidR="00474F90" w:rsidRPr="005A3BC7">
              <w:rPr>
                <w:rStyle w:val="Lienhypertexte"/>
                <w:noProof/>
              </w:rPr>
              <w:t>Analyse des données et rédaction du rapport</w:t>
            </w:r>
            <w:r w:rsidR="00474F90">
              <w:rPr>
                <w:noProof/>
                <w:webHidden/>
              </w:rPr>
              <w:tab/>
            </w:r>
            <w:r w:rsidR="00474F90">
              <w:rPr>
                <w:noProof/>
                <w:webHidden/>
              </w:rPr>
              <w:fldChar w:fldCharType="begin"/>
            </w:r>
            <w:r w:rsidR="00474F90">
              <w:rPr>
                <w:noProof/>
                <w:webHidden/>
              </w:rPr>
              <w:instrText xml:space="preserve"> PAGEREF _Toc63233205 \h </w:instrText>
            </w:r>
            <w:r w:rsidR="00474F90">
              <w:rPr>
                <w:noProof/>
                <w:webHidden/>
              </w:rPr>
            </w:r>
            <w:r w:rsidR="00474F90">
              <w:rPr>
                <w:noProof/>
                <w:webHidden/>
              </w:rPr>
              <w:fldChar w:fldCharType="separate"/>
            </w:r>
            <w:r w:rsidR="00474F90">
              <w:rPr>
                <w:noProof/>
                <w:webHidden/>
              </w:rPr>
              <w:t>18</w:t>
            </w:r>
            <w:r w:rsidR="00474F90">
              <w:rPr>
                <w:noProof/>
                <w:webHidden/>
              </w:rPr>
              <w:fldChar w:fldCharType="end"/>
            </w:r>
          </w:hyperlink>
        </w:p>
        <w:p w14:paraId="42FD585D" w14:textId="77777777" w:rsidR="00474F90" w:rsidRDefault="000B7360">
          <w:pPr>
            <w:pStyle w:val="TM1"/>
            <w:rPr>
              <w:rFonts w:asciiTheme="minorHAnsi" w:eastAsiaTheme="minorEastAsia" w:hAnsiTheme="minorHAnsi" w:cstheme="minorBidi"/>
              <w:noProof/>
            </w:rPr>
          </w:pPr>
          <w:hyperlink w:anchor="_Toc63233206" w:history="1">
            <w:r w:rsidR="00474F90" w:rsidRPr="005A3BC7">
              <w:rPr>
                <w:rStyle w:val="Lienhypertexte"/>
                <w:noProof/>
              </w:rPr>
              <w:t xml:space="preserve">CHAPITRE III : </w:t>
            </w:r>
            <w:r w:rsidR="00474F90" w:rsidRPr="005A3BC7">
              <w:rPr>
                <w:rStyle w:val="Lienhypertexte"/>
                <w:iCs/>
                <w:noProof/>
              </w:rPr>
              <w:t>PRESENTATION</w:t>
            </w:r>
            <w:r w:rsidR="00474F90" w:rsidRPr="005A3BC7">
              <w:rPr>
                <w:rStyle w:val="Lienhypertexte"/>
                <w:noProof/>
              </w:rPr>
              <w:t xml:space="preserve"> DES RESULTATS DE L’ETUDE</w:t>
            </w:r>
            <w:r w:rsidR="00474F90">
              <w:rPr>
                <w:noProof/>
                <w:webHidden/>
              </w:rPr>
              <w:tab/>
            </w:r>
            <w:r w:rsidR="00474F90">
              <w:rPr>
                <w:noProof/>
                <w:webHidden/>
              </w:rPr>
              <w:fldChar w:fldCharType="begin"/>
            </w:r>
            <w:r w:rsidR="00474F90">
              <w:rPr>
                <w:noProof/>
                <w:webHidden/>
              </w:rPr>
              <w:instrText xml:space="preserve"> PAGEREF _Toc63233206 \h </w:instrText>
            </w:r>
            <w:r w:rsidR="00474F90">
              <w:rPr>
                <w:noProof/>
                <w:webHidden/>
              </w:rPr>
            </w:r>
            <w:r w:rsidR="00474F90">
              <w:rPr>
                <w:noProof/>
                <w:webHidden/>
              </w:rPr>
              <w:fldChar w:fldCharType="separate"/>
            </w:r>
            <w:r w:rsidR="00474F90">
              <w:rPr>
                <w:noProof/>
                <w:webHidden/>
              </w:rPr>
              <w:t>20</w:t>
            </w:r>
            <w:r w:rsidR="00474F90">
              <w:rPr>
                <w:noProof/>
                <w:webHidden/>
              </w:rPr>
              <w:fldChar w:fldCharType="end"/>
            </w:r>
          </w:hyperlink>
        </w:p>
        <w:p w14:paraId="0C33B125" w14:textId="77777777" w:rsidR="00474F90" w:rsidRDefault="000B7360">
          <w:pPr>
            <w:pStyle w:val="TM2"/>
            <w:rPr>
              <w:rFonts w:asciiTheme="minorHAnsi" w:eastAsiaTheme="minorEastAsia" w:hAnsiTheme="minorHAnsi" w:cstheme="minorBidi"/>
              <w:noProof/>
            </w:rPr>
          </w:pPr>
          <w:hyperlink w:anchor="_Toc63233207" w:history="1">
            <w:r w:rsidR="00474F90" w:rsidRPr="005A3BC7">
              <w:rPr>
                <w:rStyle w:val="Lienhypertexte"/>
                <w:noProof/>
              </w:rPr>
              <w:t>3.1</w:t>
            </w:r>
            <w:r w:rsidR="00474F90">
              <w:rPr>
                <w:rFonts w:asciiTheme="minorHAnsi" w:eastAsiaTheme="minorEastAsia" w:hAnsiTheme="minorHAnsi" w:cstheme="minorBidi"/>
                <w:noProof/>
              </w:rPr>
              <w:tab/>
            </w:r>
            <w:r w:rsidR="00474F90" w:rsidRPr="005A3BC7">
              <w:rPr>
                <w:rStyle w:val="Lienhypertexte"/>
                <w:noProof/>
              </w:rPr>
              <w:t>Caractéristiques des districts sanitaires</w:t>
            </w:r>
            <w:r w:rsidR="00474F90">
              <w:rPr>
                <w:noProof/>
                <w:webHidden/>
              </w:rPr>
              <w:tab/>
            </w:r>
            <w:r w:rsidR="00474F90">
              <w:rPr>
                <w:noProof/>
                <w:webHidden/>
              </w:rPr>
              <w:fldChar w:fldCharType="begin"/>
            </w:r>
            <w:r w:rsidR="00474F90">
              <w:rPr>
                <w:noProof/>
                <w:webHidden/>
              </w:rPr>
              <w:instrText xml:space="preserve"> PAGEREF _Toc63233207 \h </w:instrText>
            </w:r>
            <w:r w:rsidR="00474F90">
              <w:rPr>
                <w:noProof/>
                <w:webHidden/>
              </w:rPr>
            </w:r>
            <w:r w:rsidR="00474F90">
              <w:rPr>
                <w:noProof/>
                <w:webHidden/>
              </w:rPr>
              <w:fldChar w:fldCharType="separate"/>
            </w:r>
            <w:r w:rsidR="00474F90">
              <w:rPr>
                <w:noProof/>
                <w:webHidden/>
              </w:rPr>
              <w:t>20</w:t>
            </w:r>
            <w:r w:rsidR="00474F90">
              <w:rPr>
                <w:noProof/>
                <w:webHidden/>
              </w:rPr>
              <w:fldChar w:fldCharType="end"/>
            </w:r>
          </w:hyperlink>
        </w:p>
        <w:p w14:paraId="361F8540" w14:textId="77777777" w:rsidR="00474F90" w:rsidRDefault="000B7360">
          <w:pPr>
            <w:pStyle w:val="TM2"/>
            <w:rPr>
              <w:rFonts w:asciiTheme="minorHAnsi" w:eastAsiaTheme="minorEastAsia" w:hAnsiTheme="minorHAnsi" w:cstheme="minorBidi"/>
              <w:noProof/>
            </w:rPr>
          </w:pPr>
          <w:hyperlink w:anchor="_Toc63233208" w:history="1">
            <w:r w:rsidR="00474F90" w:rsidRPr="005A3BC7">
              <w:rPr>
                <w:rStyle w:val="Lienhypertexte"/>
                <w:noProof/>
              </w:rPr>
              <w:t>3.2</w:t>
            </w:r>
            <w:r w:rsidR="00474F90">
              <w:rPr>
                <w:rFonts w:asciiTheme="minorHAnsi" w:eastAsiaTheme="minorEastAsia" w:hAnsiTheme="minorHAnsi" w:cstheme="minorBidi"/>
                <w:noProof/>
              </w:rPr>
              <w:tab/>
            </w:r>
            <w:r w:rsidR="00474F90" w:rsidRPr="005A3BC7">
              <w:rPr>
                <w:rStyle w:val="Lienhypertexte"/>
                <w:noProof/>
              </w:rPr>
              <w:t>Gestion du district</w:t>
            </w:r>
            <w:r w:rsidR="00474F90">
              <w:rPr>
                <w:noProof/>
                <w:webHidden/>
              </w:rPr>
              <w:tab/>
            </w:r>
            <w:r w:rsidR="00474F90">
              <w:rPr>
                <w:noProof/>
                <w:webHidden/>
              </w:rPr>
              <w:fldChar w:fldCharType="begin"/>
            </w:r>
            <w:r w:rsidR="00474F90">
              <w:rPr>
                <w:noProof/>
                <w:webHidden/>
              </w:rPr>
              <w:instrText xml:space="preserve"> PAGEREF _Toc63233208 \h </w:instrText>
            </w:r>
            <w:r w:rsidR="00474F90">
              <w:rPr>
                <w:noProof/>
                <w:webHidden/>
              </w:rPr>
            </w:r>
            <w:r w:rsidR="00474F90">
              <w:rPr>
                <w:noProof/>
                <w:webHidden/>
              </w:rPr>
              <w:fldChar w:fldCharType="separate"/>
            </w:r>
            <w:r w:rsidR="00474F90">
              <w:rPr>
                <w:noProof/>
                <w:webHidden/>
              </w:rPr>
              <w:t>20</w:t>
            </w:r>
            <w:r w:rsidR="00474F90">
              <w:rPr>
                <w:noProof/>
                <w:webHidden/>
              </w:rPr>
              <w:fldChar w:fldCharType="end"/>
            </w:r>
          </w:hyperlink>
        </w:p>
        <w:p w14:paraId="7247B38D"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09" w:history="1">
            <w:r w:rsidR="00474F90" w:rsidRPr="005A3BC7">
              <w:rPr>
                <w:rStyle w:val="Lienhypertexte"/>
                <w:noProof/>
              </w:rPr>
              <w:t>3.2.1</w:t>
            </w:r>
            <w:r w:rsidR="00474F90">
              <w:rPr>
                <w:rFonts w:asciiTheme="minorHAnsi" w:eastAsiaTheme="minorEastAsia" w:hAnsiTheme="minorHAnsi"/>
                <w:noProof/>
                <w:sz w:val="22"/>
                <w:lang w:eastAsia="fr-FR"/>
              </w:rPr>
              <w:tab/>
            </w:r>
            <w:r w:rsidR="00474F90" w:rsidRPr="005A3BC7">
              <w:rPr>
                <w:rStyle w:val="Lienhypertexte"/>
                <w:noProof/>
              </w:rPr>
              <w:t>Structures de gestion</w:t>
            </w:r>
            <w:r w:rsidR="00474F90">
              <w:rPr>
                <w:noProof/>
                <w:webHidden/>
              </w:rPr>
              <w:tab/>
            </w:r>
            <w:r w:rsidR="00474F90">
              <w:rPr>
                <w:noProof/>
                <w:webHidden/>
              </w:rPr>
              <w:fldChar w:fldCharType="begin"/>
            </w:r>
            <w:r w:rsidR="00474F90">
              <w:rPr>
                <w:noProof/>
                <w:webHidden/>
              </w:rPr>
              <w:instrText xml:space="preserve"> PAGEREF _Toc63233209 \h </w:instrText>
            </w:r>
            <w:r w:rsidR="00474F90">
              <w:rPr>
                <w:noProof/>
                <w:webHidden/>
              </w:rPr>
            </w:r>
            <w:r w:rsidR="00474F90">
              <w:rPr>
                <w:noProof/>
                <w:webHidden/>
              </w:rPr>
              <w:fldChar w:fldCharType="separate"/>
            </w:r>
            <w:r w:rsidR="00474F90">
              <w:rPr>
                <w:noProof/>
                <w:webHidden/>
              </w:rPr>
              <w:t>20</w:t>
            </w:r>
            <w:r w:rsidR="00474F90">
              <w:rPr>
                <w:noProof/>
                <w:webHidden/>
              </w:rPr>
              <w:fldChar w:fldCharType="end"/>
            </w:r>
          </w:hyperlink>
        </w:p>
        <w:p w14:paraId="43C0171E"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13" w:history="1">
            <w:r w:rsidR="00474F90" w:rsidRPr="005A3BC7">
              <w:rPr>
                <w:rStyle w:val="Lienhypertexte"/>
                <w:noProof/>
              </w:rPr>
              <w:t>3.2.2</w:t>
            </w:r>
            <w:r w:rsidR="00474F90">
              <w:rPr>
                <w:rFonts w:asciiTheme="minorHAnsi" w:eastAsiaTheme="minorEastAsia" w:hAnsiTheme="minorHAnsi"/>
                <w:noProof/>
                <w:sz w:val="22"/>
                <w:lang w:eastAsia="fr-FR"/>
              </w:rPr>
              <w:tab/>
            </w:r>
            <w:r w:rsidR="00474F90" w:rsidRPr="005A3BC7">
              <w:rPr>
                <w:rStyle w:val="Lienhypertexte"/>
                <w:noProof/>
              </w:rPr>
              <w:t>Processus gestionnaires</w:t>
            </w:r>
            <w:r w:rsidR="00474F90">
              <w:rPr>
                <w:noProof/>
                <w:webHidden/>
              </w:rPr>
              <w:tab/>
            </w:r>
            <w:r w:rsidR="00474F90">
              <w:rPr>
                <w:noProof/>
                <w:webHidden/>
              </w:rPr>
              <w:fldChar w:fldCharType="begin"/>
            </w:r>
            <w:r w:rsidR="00474F90">
              <w:rPr>
                <w:noProof/>
                <w:webHidden/>
              </w:rPr>
              <w:instrText xml:space="preserve"> PAGEREF _Toc63233213 \h </w:instrText>
            </w:r>
            <w:r w:rsidR="00474F90">
              <w:rPr>
                <w:noProof/>
                <w:webHidden/>
              </w:rPr>
            </w:r>
            <w:r w:rsidR="00474F90">
              <w:rPr>
                <w:noProof/>
                <w:webHidden/>
              </w:rPr>
              <w:fldChar w:fldCharType="separate"/>
            </w:r>
            <w:r w:rsidR="00474F90">
              <w:rPr>
                <w:noProof/>
                <w:webHidden/>
              </w:rPr>
              <w:t>21</w:t>
            </w:r>
            <w:r w:rsidR="00474F90">
              <w:rPr>
                <w:noProof/>
                <w:webHidden/>
              </w:rPr>
              <w:fldChar w:fldCharType="end"/>
            </w:r>
          </w:hyperlink>
        </w:p>
        <w:p w14:paraId="3B43AD25" w14:textId="77777777" w:rsidR="00474F90" w:rsidRDefault="000B7360">
          <w:pPr>
            <w:pStyle w:val="TM2"/>
            <w:rPr>
              <w:rFonts w:asciiTheme="minorHAnsi" w:eastAsiaTheme="minorEastAsia" w:hAnsiTheme="minorHAnsi" w:cstheme="minorBidi"/>
              <w:noProof/>
            </w:rPr>
          </w:pPr>
          <w:hyperlink w:anchor="_Toc63233215" w:history="1">
            <w:r w:rsidR="00474F90" w:rsidRPr="005A3BC7">
              <w:rPr>
                <w:rStyle w:val="Lienhypertexte"/>
                <w:noProof/>
              </w:rPr>
              <w:t>3.3</w:t>
            </w:r>
            <w:r w:rsidR="00474F90">
              <w:rPr>
                <w:rFonts w:asciiTheme="minorHAnsi" w:eastAsiaTheme="minorEastAsia" w:hAnsiTheme="minorHAnsi" w:cstheme="minorBidi"/>
                <w:noProof/>
              </w:rPr>
              <w:tab/>
            </w:r>
            <w:r w:rsidR="00474F90" w:rsidRPr="005A3BC7">
              <w:rPr>
                <w:rStyle w:val="Lienhypertexte"/>
                <w:noProof/>
              </w:rPr>
              <w:t>Ressources et Activités de l’équipe cadre de district sanitaire</w:t>
            </w:r>
            <w:r w:rsidR="00474F90">
              <w:rPr>
                <w:noProof/>
                <w:webHidden/>
              </w:rPr>
              <w:tab/>
            </w:r>
            <w:r w:rsidR="00474F90">
              <w:rPr>
                <w:noProof/>
                <w:webHidden/>
              </w:rPr>
              <w:fldChar w:fldCharType="begin"/>
            </w:r>
            <w:r w:rsidR="00474F90">
              <w:rPr>
                <w:noProof/>
                <w:webHidden/>
              </w:rPr>
              <w:instrText xml:space="preserve"> PAGEREF _Toc63233215 \h </w:instrText>
            </w:r>
            <w:r w:rsidR="00474F90">
              <w:rPr>
                <w:noProof/>
                <w:webHidden/>
              </w:rPr>
            </w:r>
            <w:r w:rsidR="00474F90">
              <w:rPr>
                <w:noProof/>
                <w:webHidden/>
              </w:rPr>
              <w:fldChar w:fldCharType="separate"/>
            </w:r>
            <w:r w:rsidR="00474F90">
              <w:rPr>
                <w:noProof/>
                <w:webHidden/>
              </w:rPr>
              <w:t>22</w:t>
            </w:r>
            <w:r w:rsidR="00474F90">
              <w:rPr>
                <w:noProof/>
                <w:webHidden/>
              </w:rPr>
              <w:fldChar w:fldCharType="end"/>
            </w:r>
          </w:hyperlink>
        </w:p>
        <w:p w14:paraId="2E5636B7"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16" w:history="1">
            <w:r w:rsidR="00474F90" w:rsidRPr="005A3BC7">
              <w:rPr>
                <w:rStyle w:val="Lienhypertexte"/>
                <w:rFonts w:cs="Times New Roman"/>
                <w:noProof/>
              </w:rPr>
              <w:t>3.3.1</w:t>
            </w:r>
            <w:r w:rsidR="00474F90">
              <w:rPr>
                <w:rFonts w:asciiTheme="minorHAnsi" w:eastAsiaTheme="minorEastAsia" w:hAnsiTheme="minorHAnsi"/>
                <w:noProof/>
                <w:sz w:val="22"/>
                <w:lang w:eastAsia="fr-FR"/>
              </w:rPr>
              <w:tab/>
            </w:r>
            <w:r w:rsidR="00474F90" w:rsidRPr="005A3BC7">
              <w:rPr>
                <w:rStyle w:val="Lienhypertexte"/>
                <w:noProof/>
              </w:rPr>
              <w:t>Potentialités de l’équipe cadre de district sanitaire</w:t>
            </w:r>
            <w:r w:rsidR="00474F90">
              <w:rPr>
                <w:noProof/>
                <w:webHidden/>
              </w:rPr>
              <w:tab/>
            </w:r>
            <w:r w:rsidR="00474F90">
              <w:rPr>
                <w:noProof/>
                <w:webHidden/>
              </w:rPr>
              <w:fldChar w:fldCharType="begin"/>
            </w:r>
            <w:r w:rsidR="00474F90">
              <w:rPr>
                <w:noProof/>
                <w:webHidden/>
              </w:rPr>
              <w:instrText xml:space="preserve"> PAGEREF _Toc63233216 \h </w:instrText>
            </w:r>
            <w:r w:rsidR="00474F90">
              <w:rPr>
                <w:noProof/>
                <w:webHidden/>
              </w:rPr>
            </w:r>
            <w:r w:rsidR="00474F90">
              <w:rPr>
                <w:noProof/>
                <w:webHidden/>
              </w:rPr>
              <w:fldChar w:fldCharType="separate"/>
            </w:r>
            <w:r w:rsidR="00474F90">
              <w:rPr>
                <w:noProof/>
                <w:webHidden/>
              </w:rPr>
              <w:t>22</w:t>
            </w:r>
            <w:r w:rsidR="00474F90">
              <w:rPr>
                <w:noProof/>
                <w:webHidden/>
              </w:rPr>
              <w:fldChar w:fldCharType="end"/>
            </w:r>
          </w:hyperlink>
        </w:p>
        <w:p w14:paraId="3C7DCEE4"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17" w:history="1">
            <w:r w:rsidR="00474F90" w:rsidRPr="005A3BC7">
              <w:rPr>
                <w:rStyle w:val="Lienhypertexte"/>
                <w:noProof/>
              </w:rPr>
              <w:t>3.3.2</w:t>
            </w:r>
            <w:r w:rsidR="00474F90">
              <w:rPr>
                <w:rFonts w:asciiTheme="minorHAnsi" w:eastAsiaTheme="minorEastAsia" w:hAnsiTheme="minorHAnsi"/>
                <w:noProof/>
                <w:sz w:val="22"/>
                <w:lang w:eastAsia="fr-FR"/>
              </w:rPr>
              <w:tab/>
            </w:r>
            <w:r w:rsidR="00474F90" w:rsidRPr="005A3BC7">
              <w:rPr>
                <w:rStyle w:val="Lienhypertexte"/>
                <w:noProof/>
              </w:rPr>
              <w:t>Activités de l’équipe cadre de district</w:t>
            </w:r>
            <w:r w:rsidR="00474F90">
              <w:rPr>
                <w:noProof/>
                <w:webHidden/>
              </w:rPr>
              <w:tab/>
            </w:r>
            <w:r w:rsidR="00474F90">
              <w:rPr>
                <w:noProof/>
                <w:webHidden/>
              </w:rPr>
              <w:fldChar w:fldCharType="begin"/>
            </w:r>
            <w:r w:rsidR="00474F90">
              <w:rPr>
                <w:noProof/>
                <w:webHidden/>
              </w:rPr>
              <w:instrText xml:space="preserve"> PAGEREF _Toc63233217 \h </w:instrText>
            </w:r>
            <w:r w:rsidR="00474F90">
              <w:rPr>
                <w:noProof/>
                <w:webHidden/>
              </w:rPr>
            </w:r>
            <w:r w:rsidR="00474F90">
              <w:rPr>
                <w:noProof/>
                <w:webHidden/>
              </w:rPr>
              <w:fldChar w:fldCharType="separate"/>
            </w:r>
            <w:r w:rsidR="00474F90">
              <w:rPr>
                <w:noProof/>
                <w:webHidden/>
              </w:rPr>
              <w:t>22</w:t>
            </w:r>
            <w:r w:rsidR="00474F90">
              <w:rPr>
                <w:noProof/>
                <w:webHidden/>
              </w:rPr>
              <w:fldChar w:fldCharType="end"/>
            </w:r>
          </w:hyperlink>
        </w:p>
        <w:p w14:paraId="4176D473"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18" w:history="1">
            <w:r w:rsidR="00474F90" w:rsidRPr="005A3BC7">
              <w:rPr>
                <w:rStyle w:val="Lienhypertexte"/>
                <w:noProof/>
              </w:rPr>
              <w:t>3.3.3</w:t>
            </w:r>
            <w:r w:rsidR="00474F90">
              <w:rPr>
                <w:rFonts w:asciiTheme="minorHAnsi" w:eastAsiaTheme="minorEastAsia" w:hAnsiTheme="minorHAnsi"/>
                <w:noProof/>
                <w:sz w:val="22"/>
                <w:lang w:eastAsia="fr-FR"/>
              </w:rPr>
              <w:tab/>
            </w:r>
            <w:r w:rsidR="00474F90" w:rsidRPr="005A3BC7">
              <w:rPr>
                <w:rStyle w:val="Lienhypertexte"/>
                <w:noProof/>
              </w:rPr>
              <w:t>Ressources financières</w:t>
            </w:r>
            <w:r w:rsidR="00474F90">
              <w:rPr>
                <w:noProof/>
                <w:webHidden/>
              </w:rPr>
              <w:tab/>
            </w:r>
            <w:r w:rsidR="00474F90">
              <w:rPr>
                <w:noProof/>
                <w:webHidden/>
              </w:rPr>
              <w:fldChar w:fldCharType="begin"/>
            </w:r>
            <w:r w:rsidR="00474F90">
              <w:rPr>
                <w:noProof/>
                <w:webHidden/>
              </w:rPr>
              <w:instrText xml:space="preserve"> PAGEREF _Toc63233218 \h </w:instrText>
            </w:r>
            <w:r w:rsidR="00474F90">
              <w:rPr>
                <w:noProof/>
                <w:webHidden/>
              </w:rPr>
            </w:r>
            <w:r w:rsidR="00474F90">
              <w:rPr>
                <w:noProof/>
                <w:webHidden/>
              </w:rPr>
              <w:fldChar w:fldCharType="separate"/>
            </w:r>
            <w:r w:rsidR="00474F90">
              <w:rPr>
                <w:noProof/>
                <w:webHidden/>
              </w:rPr>
              <w:t>23</w:t>
            </w:r>
            <w:r w:rsidR="00474F90">
              <w:rPr>
                <w:noProof/>
                <w:webHidden/>
              </w:rPr>
              <w:fldChar w:fldCharType="end"/>
            </w:r>
          </w:hyperlink>
        </w:p>
        <w:p w14:paraId="06C10E88" w14:textId="77777777" w:rsidR="00474F90" w:rsidRDefault="000B7360">
          <w:pPr>
            <w:pStyle w:val="TM2"/>
            <w:rPr>
              <w:rFonts w:asciiTheme="minorHAnsi" w:eastAsiaTheme="minorEastAsia" w:hAnsiTheme="minorHAnsi" w:cstheme="minorBidi"/>
              <w:noProof/>
            </w:rPr>
          </w:pPr>
          <w:hyperlink w:anchor="_Toc63233219" w:history="1">
            <w:r w:rsidR="00474F90" w:rsidRPr="005A3BC7">
              <w:rPr>
                <w:rStyle w:val="Lienhypertexte"/>
                <w:noProof/>
              </w:rPr>
              <w:t>3.4</w:t>
            </w:r>
            <w:r w:rsidR="00474F90">
              <w:rPr>
                <w:rFonts w:asciiTheme="minorHAnsi" w:eastAsiaTheme="minorEastAsia" w:hAnsiTheme="minorHAnsi" w:cstheme="minorBidi"/>
                <w:noProof/>
              </w:rPr>
              <w:tab/>
            </w:r>
            <w:r w:rsidR="00474F90" w:rsidRPr="005A3BC7">
              <w:rPr>
                <w:rStyle w:val="Lienhypertexte"/>
                <w:noProof/>
              </w:rPr>
              <w:t>Formations sanitaires des districts</w:t>
            </w:r>
            <w:r w:rsidR="00474F90">
              <w:rPr>
                <w:noProof/>
                <w:webHidden/>
              </w:rPr>
              <w:tab/>
            </w:r>
            <w:r w:rsidR="00474F90">
              <w:rPr>
                <w:noProof/>
                <w:webHidden/>
              </w:rPr>
              <w:fldChar w:fldCharType="begin"/>
            </w:r>
            <w:r w:rsidR="00474F90">
              <w:rPr>
                <w:noProof/>
                <w:webHidden/>
              </w:rPr>
              <w:instrText xml:space="preserve"> PAGEREF _Toc63233219 \h </w:instrText>
            </w:r>
            <w:r w:rsidR="00474F90">
              <w:rPr>
                <w:noProof/>
                <w:webHidden/>
              </w:rPr>
            </w:r>
            <w:r w:rsidR="00474F90">
              <w:rPr>
                <w:noProof/>
                <w:webHidden/>
              </w:rPr>
              <w:fldChar w:fldCharType="separate"/>
            </w:r>
            <w:r w:rsidR="00474F90">
              <w:rPr>
                <w:noProof/>
                <w:webHidden/>
              </w:rPr>
              <w:t>24</w:t>
            </w:r>
            <w:r w:rsidR="00474F90">
              <w:rPr>
                <w:noProof/>
                <w:webHidden/>
              </w:rPr>
              <w:fldChar w:fldCharType="end"/>
            </w:r>
          </w:hyperlink>
        </w:p>
        <w:p w14:paraId="37572736"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20" w:history="1">
            <w:r w:rsidR="00474F90" w:rsidRPr="005A3BC7">
              <w:rPr>
                <w:rStyle w:val="Lienhypertexte"/>
                <w:noProof/>
              </w:rPr>
              <w:t>3.4.1</w:t>
            </w:r>
            <w:r w:rsidR="00474F90">
              <w:rPr>
                <w:rFonts w:asciiTheme="minorHAnsi" w:eastAsiaTheme="minorEastAsia" w:hAnsiTheme="minorHAnsi"/>
                <w:noProof/>
                <w:sz w:val="22"/>
                <w:lang w:eastAsia="fr-FR"/>
              </w:rPr>
              <w:tab/>
            </w:r>
            <w:r w:rsidR="00474F90" w:rsidRPr="005A3BC7">
              <w:rPr>
                <w:rStyle w:val="Lienhypertexte"/>
                <w:noProof/>
              </w:rPr>
              <w:t>Hôpitaux de district</w:t>
            </w:r>
            <w:r w:rsidR="00474F90">
              <w:rPr>
                <w:noProof/>
                <w:webHidden/>
              </w:rPr>
              <w:tab/>
            </w:r>
            <w:r w:rsidR="00474F90">
              <w:rPr>
                <w:noProof/>
                <w:webHidden/>
              </w:rPr>
              <w:fldChar w:fldCharType="begin"/>
            </w:r>
            <w:r w:rsidR="00474F90">
              <w:rPr>
                <w:noProof/>
                <w:webHidden/>
              </w:rPr>
              <w:instrText xml:space="preserve"> PAGEREF _Toc63233220 \h </w:instrText>
            </w:r>
            <w:r w:rsidR="00474F90">
              <w:rPr>
                <w:noProof/>
                <w:webHidden/>
              </w:rPr>
            </w:r>
            <w:r w:rsidR="00474F90">
              <w:rPr>
                <w:noProof/>
                <w:webHidden/>
              </w:rPr>
              <w:fldChar w:fldCharType="separate"/>
            </w:r>
            <w:r w:rsidR="00474F90">
              <w:rPr>
                <w:noProof/>
                <w:webHidden/>
              </w:rPr>
              <w:t>24</w:t>
            </w:r>
            <w:r w:rsidR="00474F90">
              <w:rPr>
                <w:noProof/>
                <w:webHidden/>
              </w:rPr>
              <w:fldChar w:fldCharType="end"/>
            </w:r>
          </w:hyperlink>
        </w:p>
        <w:p w14:paraId="2588181D"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21" w:history="1">
            <w:r w:rsidR="00474F90" w:rsidRPr="005A3BC7">
              <w:rPr>
                <w:rStyle w:val="Lienhypertexte"/>
                <w:noProof/>
              </w:rPr>
              <w:t>3.4.2</w:t>
            </w:r>
            <w:r w:rsidR="00474F90">
              <w:rPr>
                <w:rFonts w:asciiTheme="minorHAnsi" w:eastAsiaTheme="minorEastAsia" w:hAnsiTheme="minorHAnsi"/>
                <w:noProof/>
                <w:sz w:val="22"/>
                <w:lang w:eastAsia="fr-FR"/>
              </w:rPr>
              <w:tab/>
            </w:r>
            <w:r w:rsidR="00474F90" w:rsidRPr="005A3BC7">
              <w:rPr>
                <w:rStyle w:val="Lienhypertexte"/>
                <w:noProof/>
              </w:rPr>
              <w:t>Etablissements de soins spécialisés</w:t>
            </w:r>
            <w:r w:rsidR="00474F90">
              <w:rPr>
                <w:noProof/>
                <w:webHidden/>
              </w:rPr>
              <w:tab/>
            </w:r>
            <w:r w:rsidR="00474F90">
              <w:rPr>
                <w:noProof/>
                <w:webHidden/>
              </w:rPr>
              <w:fldChar w:fldCharType="begin"/>
            </w:r>
            <w:r w:rsidR="00474F90">
              <w:rPr>
                <w:noProof/>
                <w:webHidden/>
              </w:rPr>
              <w:instrText xml:space="preserve"> PAGEREF _Toc63233221 \h </w:instrText>
            </w:r>
            <w:r w:rsidR="00474F90">
              <w:rPr>
                <w:noProof/>
                <w:webHidden/>
              </w:rPr>
            </w:r>
            <w:r w:rsidR="00474F90">
              <w:rPr>
                <w:noProof/>
                <w:webHidden/>
              </w:rPr>
              <w:fldChar w:fldCharType="separate"/>
            </w:r>
            <w:r w:rsidR="00474F90">
              <w:rPr>
                <w:noProof/>
                <w:webHidden/>
              </w:rPr>
              <w:t>24</w:t>
            </w:r>
            <w:r w:rsidR="00474F90">
              <w:rPr>
                <w:noProof/>
                <w:webHidden/>
              </w:rPr>
              <w:fldChar w:fldCharType="end"/>
            </w:r>
          </w:hyperlink>
        </w:p>
        <w:p w14:paraId="7111CDAD"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22" w:history="1">
            <w:r w:rsidR="00474F90" w:rsidRPr="005A3BC7">
              <w:rPr>
                <w:rStyle w:val="Lienhypertexte"/>
                <w:noProof/>
              </w:rPr>
              <w:t>3.4.3</w:t>
            </w:r>
            <w:r w:rsidR="00474F90">
              <w:rPr>
                <w:rFonts w:asciiTheme="minorHAnsi" w:eastAsiaTheme="minorEastAsia" w:hAnsiTheme="minorHAnsi"/>
                <w:noProof/>
                <w:sz w:val="22"/>
                <w:lang w:eastAsia="fr-FR"/>
              </w:rPr>
              <w:tab/>
            </w:r>
            <w:r w:rsidR="00474F90" w:rsidRPr="005A3BC7">
              <w:rPr>
                <w:rStyle w:val="Lienhypertexte"/>
                <w:noProof/>
              </w:rPr>
              <w:t>Formations sanitaires de base : Centres de santé intégrés</w:t>
            </w:r>
            <w:r w:rsidR="00474F90">
              <w:rPr>
                <w:noProof/>
                <w:webHidden/>
              </w:rPr>
              <w:tab/>
            </w:r>
            <w:r w:rsidR="00474F90">
              <w:rPr>
                <w:noProof/>
                <w:webHidden/>
              </w:rPr>
              <w:fldChar w:fldCharType="begin"/>
            </w:r>
            <w:r w:rsidR="00474F90">
              <w:rPr>
                <w:noProof/>
                <w:webHidden/>
              </w:rPr>
              <w:instrText xml:space="preserve"> PAGEREF _Toc63233222 \h </w:instrText>
            </w:r>
            <w:r w:rsidR="00474F90">
              <w:rPr>
                <w:noProof/>
                <w:webHidden/>
              </w:rPr>
            </w:r>
            <w:r w:rsidR="00474F90">
              <w:rPr>
                <w:noProof/>
                <w:webHidden/>
              </w:rPr>
              <w:fldChar w:fldCharType="separate"/>
            </w:r>
            <w:r w:rsidR="00474F90">
              <w:rPr>
                <w:noProof/>
                <w:webHidden/>
              </w:rPr>
              <w:t>25</w:t>
            </w:r>
            <w:r w:rsidR="00474F90">
              <w:rPr>
                <w:noProof/>
                <w:webHidden/>
              </w:rPr>
              <w:fldChar w:fldCharType="end"/>
            </w:r>
          </w:hyperlink>
        </w:p>
        <w:p w14:paraId="530C4814" w14:textId="77777777" w:rsidR="00474F90" w:rsidRDefault="000B7360">
          <w:pPr>
            <w:pStyle w:val="TM2"/>
            <w:rPr>
              <w:rFonts w:asciiTheme="minorHAnsi" w:eastAsiaTheme="minorEastAsia" w:hAnsiTheme="minorHAnsi" w:cstheme="minorBidi"/>
              <w:noProof/>
            </w:rPr>
          </w:pPr>
          <w:hyperlink w:anchor="_Toc63233223" w:history="1">
            <w:r w:rsidR="00474F90" w:rsidRPr="005A3BC7">
              <w:rPr>
                <w:rStyle w:val="Lienhypertexte"/>
                <w:rFonts w:cs="Arial"/>
                <w:noProof/>
              </w:rPr>
              <w:t>3.5</w:t>
            </w:r>
            <w:r w:rsidR="00474F90">
              <w:rPr>
                <w:rFonts w:asciiTheme="minorHAnsi" w:eastAsiaTheme="minorEastAsia" w:hAnsiTheme="minorHAnsi" w:cstheme="minorBidi"/>
                <w:noProof/>
              </w:rPr>
              <w:tab/>
            </w:r>
            <w:r w:rsidR="00474F90" w:rsidRPr="005A3BC7">
              <w:rPr>
                <w:rStyle w:val="Lienhypertexte"/>
                <w:noProof/>
              </w:rPr>
              <w:t>Activités</w:t>
            </w:r>
            <w:r w:rsidR="00474F90" w:rsidRPr="005A3BC7">
              <w:rPr>
                <w:rStyle w:val="Lienhypertexte"/>
                <w:rFonts w:cs="Arial"/>
                <w:noProof/>
              </w:rPr>
              <w:t xml:space="preserve"> communautaires</w:t>
            </w:r>
            <w:r w:rsidR="00474F90">
              <w:rPr>
                <w:noProof/>
                <w:webHidden/>
              </w:rPr>
              <w:tab/>
            </w:r>
            <w:r w:rsidR="00474F90">
              <w:rPr>
                <w:noProof/>
                <w:webHidden/>
              </w:rPr>
              <w:fldChar w:fldCharType="begin"/>
            </w:r>
            <w:r w:rsidR="00474F90">
              <w:rPr>
                <w:noProof/>
                <w:webHidden/>
              </w:rPr>
              <w:instrText xml:space="preserve"> PAGEREF _Toc63233223 \h </w:instrText>
            </w:r>
            <w:r w:rsidR="00474F90">
              <w:rPr>
                <w:noProof/>
                <w:webHidden/>
              </w:rPr>
            </w:r>
            <w:r w:rsidR="00474F90">
              <w:rPr>
                <w:noProof/>
                <w:webHidden/>
              </w:rPr>
              <w:fldChar w:fldCharType="separate"/>
            </w:r>
            <w:r w:rsidR="00474F90">
              <w:rPr>
                <w:noProof/>
                <w:webHidden/>
              </w:rPr>
              <w:t>25</w:t>
            </w:r>
            <w:r w:rsidR="00474F90">
              <w:rPr>
                <w:noProof/>
                <w:webHidden/>
              </w:rPr>
              <w:fldChar w:fldCharType="end"/>
            </w:r>
          </w:hyperlink>
        </w:p>
        <w:p w14:paraId="19360634" w14:textId="77777777" w:rsidR="00474F90" w:rsidRDefault="000B7360">
          <w:pPr>
            <w:pStyle w:val="TM2"/>
            <w:rPr>
              <w:rFonts w:asciiTheme="minorHAnsi" w:eastAsiaTheme="minorEastAsia" w:hAnsiTheme="minorHAnsi" w:cstheme="minorBidi"/>
              <w:noProof/>
            </w:rPr>
          </w:pPr>
          <w:hyperlink w:anchor="_Toc63233224" w:history="1">
            <w:r w:rsidR="00474F90" w:rsidRPr="005A3BC7">
              <w:rPr>
                <w:rStyle w:val="Lienhypertexte"/>
                <w:noProof/>
              </w:rPr>
              <w:t>3.6</w:t>
            </w:r>
            <w:r w:rsidR="00474F90">
              <w:rPr>
                <w:rFonts w:asciiTheme="minorHAnsi" w:eastAsiaTheme="minorEastAsia" w:hAnsiTheme="minorHAnsi" w:cstheme="minorBidi"/>
                <w:noProof/>
              </w:rPr>
              <w:tab/>
            </w:r>
            <w:r w:rsidR="00474F90" w:rsidRPr="005A3BC7">
              <w:rPr>
                <w:rStyle w:val="Lienhypertexte"/>
                <w:noProof/>
              </w:rPr>
              <w:t>Résultats des formations sanitaires</w:t>
            </w:r>
            <w:r w:rsidR="00474F90">
              <w:rPr>
                <w:noProof/>
                <w:webHidden/>
              </w:rPr>
              <w:tab/>
            </w:r>
            <w:r w:rsidR="00474F90">
              <w:rPr>
                <w:noProof/>
                <w:webHidden/>
              </w:rPr>
              <w:fldChar w:fldCharType="begin"/>
            </w:r>
            <w:r w:rsidR="00474F90">
              <w:rPr>
                <w:noProof/>
                <w:webHidden/>
              </w:rPr>
              <w:instrText xml:space="preserve"> PAGEREF _Toc63233224 \h </w:instrText>
            </w:r>
            <w:r w:rsidR="00474F90">
              <w:rPr>
                <w:noProof/>
                <w:webHidden/>
              </w:rPr>
            </w:r>
            <w:r w:rsidR="00474F90">
              <w:rPr>
                <w:noProof/>
                <w:webHidden/>
              </w:rPr>
              <w:fldChar w:fldCharType="separate"/>
            </w:r>
            <w:r w:rsidR="00474F90">
              <w:rPr>
                <w:noProof/>
                <w:webHidden/>
              </w:rPr>
              <w:t>26</w:t>
            </w:r>
            <w:r w:rsidR="00474F90">
              <w:rPr>
                <w:noProof/>
                <w:webHidden/>
              </w:rPr>
              <w:fldChar w:fldCharType="end"/>
            </w:r>
          </w:hyperlink>
        </w:p>
        <w:p w14:paraId="4898B1B0"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25" w:history="1">
            <w:r w:rsidR="00474F90" w:rsidRPr="005A3BC7">
              <w:rPr>
                <w:rStyle w:val="Lienhypertexte"/>
                <w:noProof/>
              </w:rPr>
              <w:t>3.6.1</w:t>
            </w:r>
            <w:r w:rsidR="00474F90">
              <w:rPr>
                <w:rFonts w:asciiTheme="minorHAnsi" w:eastAsiaTheme="minorEastAsia" w:hAnsiTheme="minorHAnsi"/>
                <w:noProof/>
                <w:sz w:val="22"/>
                <w:lang w:eastAsia="fr-FR"/>
              </w:rPr>
              <w:tab/>
            </w:r>
            <w:r w:rsidR="00474F90" w:rsidRPr="005A3BC7">
              <w:rPr>
                <w:rStyle w:val="Lienhypertexte"/>
                <w:noProof/>
              </w:rPr>
              <w:t>Couverture des prestations</w:t>
            </w:r>
            <w:r w:rsidR="00474F90">
              <w:rPr>
                <w:noProof/>
                <w:webHidden/>
              </w:rPr>
              <w:tab/>
            </w:r>
            <w:r w:rsidR="00474F90">
              <w:rPr>
                <w:noProof/>
                <w:webHidden/>
              </w:rPr>
              <w:fldChar w:fldCharType="begin"/>
            </w:r>
            <w:r w:rsidR="00474F90">
              <w:rPr>
                <w:noProof/>
                <w:webHidden/>
              </w:rPr>
              <w:instrText xml:space="preserve"> PAGEREF _Toc63233225 \h </w:instrText>
            </w:r>
            <w:r w:rsidR="00474F90">
              <w:rPr>
                <w:noProof/>
                <w:webHidden/>
              </w:rPr>
            </w:r>
            <w:r w:rsidR="00474F90">
              <w:rPr>
                <w:noProof/>
                <w:webHidden/>
              </w:rPr>
              <w:fldChar w:fldCharType="separate"/>
            </w:r>
            <w:r w:rsidR="00474F90">
              <w:rPr>
                <w:noProof/>
                <w:webHidden/>
              </w:rPr>
              <w:t>26</w:t>
            </w:r>
            <w:r w:rsidR="00474F90">
              <w:rPr>
                <w:noProof/>
                <w:webHidden/>
              </w:rPr>
              <w:fldChar w:fldCharType="end"/>
            </w:r>
          </w:hyperlink>
        </w:p>
        <w:p w14:paraId="24E57AA4"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26" w:history="1">
            <w:r w:rsidR="00474F90" w:rsidRPr="005A3BC7">
              <w:rPr>
                <w:rStyle w:val="Lienhypertexte"/>
                <w:noProof/>
              </w:rPr>
              <w:t>3.6.2</w:t>
            </w:r>
            <w:r w:rsidR="00474F90">
              <w:rPr>
                <w:rFonts w:asciiTheme="minorHAnsi" w:eastAsiaTheme="minorEastAsia" w:hAnsiTheme="minorHAnsi"/>
                <w:noProof/>
                <w:sz w:val="22"/>
                <w:lang w:eastAsia="fr-FR"/>
              </w:rPr>
              <w:tab/>
            </w:r>
            <w:r w:rsidR="00474F90" w:rsidRPr="005A3BC7">
              <w:rPr>
                <w:rStyle w:val="Lienhypertexte"/>
                <w:noProof/>
              </w:rPr>
              <w:t>Contribution du district aux ODD</w:t>
            </w:r>
            <w:r w:rsidR="00474F90">
              <w:rPr>
                <w:noProof/>
                <w:webHidden/>
              </w:rPr>
              <w:tab/>
            </w:r>
            <w:r w:rsidR="00474F90">
              <w:rPr>
                <w:noProof/>
                <w:webHidden/>
              </w:rPr>
              <w:fldChar w:fldCharType="begin"/>
            </w:r>
            <w:r w:rsidR="00474F90">
              <w:rPr>
                <w:noProof/>
                <w:webHidden/>
              </w:rPr>
              <w:instrText xml:space="preserve"> PAGEREF _Toc63233226 \h </w:instrText>
            </w:r>
            <w:r w:rsidR="00474F90">
              <w:rPr>
                <w:noProof/>
                <w:webHidden/>
              </w:rPr>
            </w:r>
            <w:r w:rsidR="00474F90">
              <w:rPr>
                <w:noProof/>
                <w:webHidden/>
              </w:rPr>
              <w:fldChar w:fldCharType="separate"/>
            </w:r>
            <w:r w:rsidR="00474F90">
              <w:rPr>
                <w:noProof/>
                <w:webHidden/>
              </w:rPr>
              <w:t>26</w:t>
            </w:r>
            <w:r w:rsidR="00474F90">
              <w:rPr>
                <w:noProof/>
                <w:webHidden/>
              </w:rPr>
              <w:fldChar w:fldCharType="end"/>
            </w:r>
          </w:hyperlink>
        </w:p>
        <w:p w14:paraId="129EA6EB"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27" w:history="1">
            <w:r w:rsidR="00474F90" w:rsidRPr="005A3BC7">
              <w:rPr>
                <w:rStyle w:val="Lienhypertexte"/>
                <w:noProof/>
              </w:rPr>
              <w:t>3.6.3</w:t>
            </w:r>
            <w:r w:rsidR="00474F90">
              <w:rPr>
                <w:rFonts w:asciiTheme="minorHAnsi" w:eastAsiaTheme="minorEastAsia" w:hAnsiTheme="minorHAnsi"/>
                <w:noProof/>
                <w:sz w:val="22"/>
                <w:lang w:eastAsia="fr-FR"/>
              </w:rPr>
              <w:tab/>
            </w:r>
            <w:r w:rsidR="00474F90" w:rsidRPr="005A3BC7">
              <w:rPr>
                <w:rStyle w:val="Lienhypertexte"/>
                <w:noProof/>
              </w:rPr>
              <w:t>Disponibilité des ressources pour 100.000  habitants</w:t>
            </w:r>
            <w:r w:rsidR="00474F90">
              <w:rPr>
                <w:noProof/>
                <w:webHidden/>
              </w:rPr>
              <w:tab/>
            </w:r>
            <w:r w:rsidR="00474F90">
              <w:rPr>
                <w:noProof/>
                <w:webHidden/>
              </w:rPr>
              <w:fldChar w:fldCharType="begin"/>
            </w:r>
            <w:r w:rsidR="00474F90">
              <w:rPr>
                <w:noProof/>
                <w:webHidden/>
              </w:rPr>
              <w:instrText xml:space="preserve"> PAGEREF _Toc63233227 \h </w:instrText>
            </w:r>
            <w:r w:rsidR="00474F90">
              <w:rPr>
                <w:noProof/>
                <w:webHidden/>
              </w:rPr>
            </w:r>
            <w:r w:rsidR="00474F90">
              <w:rPr>
                <w:noProof/>
                <w:webHidden/>
              </w:rPr>
              <w:fldChar w:fldCharType="separate"/>
            </w:r>
            <w:r w:rsidR="00474F90">
              <w:rPr>
                <w:noProof/>
                <w:webHidden/>
              </w:rPr>
              <w:t>27</w:t>
            </w:r>
            <w:r w:rsidR="00474F90">
              <w:rPr>
                <w:noProof/>
                <w:webHidden/>
              </w:rPr>
              <w:fldChar w:fldCharType="end"/>
            </w:r>
          </w:hyperlink>
        </w:p>
        <w:p w14:paraId="6B7647D5" w14:textId="77777777" w:rsidR="00474F90" w:rsidRDefault="000B7360">
          <w:pPr>
            <w:pStyle w:val="TM2"/>
            <w:rPr>
              <w:rFonts w:asciiTheme="minorHAnsi" w:eastAsiaTheme="minorEastAsia" w:hAnsiTheme="minorHAnsi" w:cstheme="minorBidi"/>
              <w:noProof/>
            </w:rPr>
          </w:pPr>
          <w:hyperlink w:anchor="_Toc63233228" w:history="1">
            <w:r w:rsidR="00474F90" w:rsidRPr="005A3BC7">
              <w:rPr>
                <w:rStyle w:val="Lienhypertexte"/>
                <w:noProof/>
              </w:rPr>
              <w:t>3.7</w:t>
            </w:r>
            <w:r w:rsidR="00474F90">
              <w:rPr>
                <w:rFonts w:asciiTheme="minorHAnsi" w:eastAsiaTheme="minorEastAsia" w:hAnsiTheme="minorHAnsi" w:cstheme="minorBidi"/>
                <w:noProof/>
              </w:rPr>
              <w:tab/>
            </w:r>
            <w:r w:rsidR="00474F90" w:rsidRPr="005A3BC7">
              <w:rPr>
                <w:rStyle w:val="Lienhypertexte"/>
                <w:noProof/>
              </w:rPr>
              <w:t>Potentialités et équipement des formations sanitaires</w:t>
            </w:r>
            <w:r w:rsidR="00474F90">
              <w:rPr>
                <w:noProof/>
                <w:webHidden/>
              </w:rPr>
              <w:tab/>
            </w:r>
            <w:r w:rsidR="00474F90">
              <w:rPr>
                <w:noProof/>
                <w:webHidden/>
              </w:rPr>
              <w:fldChar w:fldCharType="begin"/>
            </w:r>
            <w:r w:rsidR="00474F90">
              <w:rPr>
                <w:noProof/>
                <w:webHidden/>
              </w:rPr>
              <w:instrText xml:space="preserve"> PAGEREF _Toc63233228 \h </w:instrText>
            </w:r>
            <w:r w:rsidR="00474F90">
              <w:rPr>
                <w:noProof/>
                <w:webHidden/>
              </w:rPr>
            </w:r>
            <w:r w:rsidR="00474F90">
              <w:rPr>
                <w:noProof/>
                <w:webHidden/>
              </w:rPr>
              <w:fldChar w:fldCharType="separate"/>
            </w:r>
            <w:r w:rsidR="00474F90">
              <w:rPr>
                <w:noProof/>
                <w:webHidden/>
              </w:rPr>
              <w:t>28</w:t>
            </w:r>
            <w:r w:rsidR="00474F90">
              <w:rPr>
                <w:noProof/>
                <w:webHidden/>
              </w:rPr>
              <w:fldChar w:fldCharType="end"/>
            </w:r>
          </w:hyperlink>
        </w:p>
        <w:p w14:paraId="33AE94A4"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29" w:history="1">
            <w:r w:rsidR="00474F90" w:rsidRPr="005A3BC7">
              <w:rPr>
                <w:rStyle w:val="Lienhypertexte"/>
                <w:noProof/>
              </w:rPr>
              <w:t>3.7.1</w:t>
            </w:r>
            <w:r w:rsidR="00474F90">
              <w:rPr>
                <w:rFonts w:asciiTheme="minorHAnsi" w:eastAsiaTheme="minorEastAsia" w:hAnsiTheme="minorHAnsi"/>
                <w:noProof/>
                <w:sz w:val="22"/>
                <w:lang w:eastAsia="fr-FR"/>
              </w:rPr>
              <w:tab/>
            </w:r>
            <w:r w:rsidR="00474F90" w:rsidRPr="005A3BC7">
              <w:rPr>
                <w:rStyle w:val="Lienhypertexte"/>
                <w:noProof/>
              </w:rPr>
              <w:t>Hôpitaux de district</w:t>
            </w:r>
            <w:r w:rsidR="00474F90">
              <w:rPr>
                <w:noProof/>
                <w:webHidden/>
              </w:rPr>
              <w:tab/>
            </w:r>
            <w:r w:rsidR="00474F90">
              <w:rPr>
                <w:noProof/>
                <w:webHidden/>
              </w:rPr>
              <w:fldChar w:fldCharType="begin"/>
            </w:r>
            <w:r w:rsidR="00474F90">
              <w:rPr>
                <w:noProof/>
                <w:webHidden/>
              </w:rPr>
              <w:instrText xml:space="preserve"> PAGEREF _Toc63233229 \h </w:instrText>
            </w:r>
            <w:r w:rsidR="00474F90">
              <w:rPr>
                <w:noProof/>
                <w:webHidden/>
              </w:rPr>
            </w:r>
            <w:r w:rsidR="00474F90">
              <w:rPr>
                <w:noProof/>
                <w:webHidden/>
              </w:rPr>
              <w:fldChar w:fldCharType="separate"/>
            </w:r>
            <w:r w:rsidR="00474F90">
              <w:rPr>
                <w:noProof/>
                <w:webHidden/>
              </w:rPr>
              <w:t>28</w:t>
            </w:r>
            <w:r w:rsidR="00474F90">
              <w:rPr>
                <w:noProof/>
                <w:webHidden/>
              </w:rPr>
              <w:fldChar w:fldCharType="end"/>
            </w:r>
          </w:hyperlink>
        </w:p>
        <w:p w14:paraId="4B891E89"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30" w:history="1">
            <w:r w:rsidR="00474F90" w:rsidRPr="005A3BC7">
              <w:rPr>
                <w:rStyle w:val="Lienhypertexte"/>
                <w:noProof/>
              </w:rPr>
              <w:t>3.7.2</w:t>
            </w:r>
            <w:r w:rsidR="00474F90">
              <w:rPr>
                <w:rFonts w:asciiTheme="minorHAnsi" w:eastAsiaTheme="minorEastAsia" w:hAnsiTheme="minorHAnsi"/>
                <w:noProof/>
                <w:sz w:val="22"/>
                <w:lang w:eastAsia="fr-FR"/>
              </w:rPr>
              <w:tab/>
            </w:r>
            <w:r w:rsidR="00474F90" w:rsidRPr="005A3BC7">
              <w:rPr>
                <w:rStyle w:val="Lienhypertexte"/>
                <w:noProof/>
              </w:rPr>
              <w:t>Centres de Santé intégrés</w:t>
            </w:r>
            <w:r w:rsidR="00474F90">
              <w:rPr>
                <w:noProof/>
                <w:webHidden/>
              </w:rPr>
              <w:tab/>
            </w:r>
            <w:r w:rsidR="00474F90">
              <w:rPr>
                <w:noProof/>
                <w:webHidden/>
              </w:rPr>
              <w:fldChar w:fldCharType="begin"/>
            </w:r>
            <w:r w:rsidR="00474F90">
              <w:rPr>
                <w:noProof/>
                <w:webHidden/>
              </w:rPr>
              <w:instrText xml:space="preserve"> PAGEREF _Toc63233230 \h </w:instrText>
            </w:r>
            <w:r w:rsidR="00474F90">
              <w:rPr>
                <w:noProof/>
                <w:webHidden/>
              </w:rPr>
            </w:r>
            <w:r w:rsidR="00474F90">
              <w:rPr>
                <w:noProof/>
                <w:webHidden/>
              </w:rPr>
              <w:fldChar w:fldCharType="separate"/>
            </w:r>
            <w:r w:rsidR="00474F90">
              <w:rPr>
                <w:noProof/>
                <w:webHidden/>
              </w:rPr>
              <w:t>28</w:t>
            </w:r>
            <w:r w:rsidR="00474F90">
              <w:rPr>
                <w:noProof/>
                <w:webHidden/>
              </w:rPr>
              <w:fldChar w:fldCharType="end"/>
            </w:r>
          </w:hyperlink>
        </w:p>
        <w:p w14:paraId="66654822" w14:textId="77777777" w:rsidR="00474F90" w:rsidRDefault="000B7360">
          <w:pPr>
            <w:pStyle w:val="TM2"/>
            <w:rPr>
              <w:rFonts w:asciiTheme="minorHAnsi" w:eastAsiaTheme="minorEastAsia" w:hAnsiTheme="minorHAnsi" w:cstheme="minorBidi"/>
              <w:noProof/>
            </w:rPr>
          </w:pPr>
          <w:hyperlink w:anchor="_Toc63233231" w:history="1">
            <w:r w:rsidR="00474F90" w:rsidRPr="005A3BC7">
              <w:rPr>
                <w:rStyle w:val="Lienhypertexte"/>
                <w:noProof/>
              </w:rPr>
              <w:t>3.8</w:t>
            </w:r>
            <w:r w:rsidR="00474F90">
              <w:rPr>
                <w:rFonts w:asciiTheme="minorHAnsi" w:eastAsiaTheme="minorEastAsia" w:hAnsiTheme="minorHAnsi" w:cstheme="minorBidi"/>
                <w:noProof/>
              </w:rPr>
              <w:tab/>
            </w:r>
            <w:r w:rsidR="00474F90" w:rsidRPr="005A3BC7">
              <w:rPr>
                <w:rStyle w:val="Lienhypertexte"/>
                <w:noProof/>
              </w:rPr>
              <w:t>Situation du Personnel</w:t>
            </w:r>
            <w:r w:rsidR="00474F90">
              <w:rPr>
                <w:noProof/>
                <w:webHidden/>
              </w:rPr>
              <w:tab/>
            </w:r>
            <w:r w:rsidR="00474F90">
              <w:rPr>
                <w:noProof/>
                <w:webHidden/>
              </w:rPr>
              <w:fldChar w:fldCharType="begin"/>
            </w:r>
            <w:r w:rsidR="00474F90">
              <w:rPr>
                <w:noProof/>
                <w:webHidden/>
              </w:rPr>
              <w:instrText xml:space="preserve"> PAGEREF _Toc63233231 \h </w:instrText>
            </w:r>
            <w:r w:rsidR="00474F90">
              <w:rPr>
                <w:noProof/>
                <w:webHidden/>
              </w:rPr>
            </w:r>
            <w:r w:rsidR="00474F90">
              <w:rPr>
                <w:noProof/>
                <w:webHidden/>
              </w:rPr>
              <w:fldChar w:fldCharType="separate"/>
            </w:r>
            <w:r w:rsidR="00474F90">
              <w:rPr>
                <w:noProof/>
                <w:webHidden/>
              </w:rPr>
              <w:t>28</w:t>
            </w:r>
            <w:r w:rsidR="00474F90">
              <w:rPr>
                <w:noProof/>
                <w:webHidden/>
              </w:rPr>
              <w:fldChar w:fldCharType="end"/>
            </w:r>
          </w:hyperlink>
        </w:p>
        <w:p w14:paraId="568D1C70"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32" w:history="1">
            <w:r w:rsidR="00474F90" w:rsidRPr="005A3BC7">
              <w:rPr>
                <w:rStyle w:val="Lienhypertexte"/>
                <w:noProof/>
              </w:rPr>
              <w:t>3.8.1</w:t>
            </w:r>
            <w:r w:rsidR="00474F90">
              <w:rPr>
                <w:rFonts w:asciiTheme="minorHAnsi" w:eastAsiaTheme="minorEastAsia" w:hAnsiTheme="minorHAnsi"/>
                <w:noProof/>
                <w:sz w:val="22"/>
                <w:lang w:eastAsia="fr-FR"/>
              </w:rPr>
              <w:tab/>
            </w:r>
            <w:r w:rsidR="00474F90" w:rsidRPr="005A3BC7">
              <w:rPr>
                <w:rStyle w:val="Lienhypertexte"/>
                <w:noProof/>
              </w:rPr>
              <w:t>Personnels des Hôpitaux de district</w:t>
            </w:r>
            <w:r w:rsidR="00474F90">
              <w:rPr>
                <w:noProof/>
                <w:webHidden/>
              </w:rPr>
              <w:tab/>
            </w:r>
            <w:r w:rsidR="00474F90">
              <w:rPr>
                <w:noProof/>
                <w:webHidden/>
              </w:rPr>
              <w:fldChar w:fldCharType="begin"/>
            </w:r>
            <w:r w:rsidR="00474F90">
              <w:rPr>
                <w:noProof/>
                <w:webHidden/>
              </w:rPr>
              <w:instrText xml:space="preserve"> PAGEREF _Toc63233232 \h </w:instrText>
            </w:r>
            <w:r w:rsidR="00474F90">
              <w:rPr>
                <w:noProof/>
                <w:webHidden/>
              </w:rPr>
            </w:r>
            <w:r w:rsidR="00474F90">
              <w:rPr>
                <w:noProof/>
                <w:webHidden/>
              </w:rPr>
              <w:fldChar w:fldCharType="separate"/>
            </w:r>
            <w:r w:rsidR="00474F90">
              <w:rPr>
                <w:noProof/>
                <w:webHidden/>
              </w:rPr>
              <w:t>28</w:t>
            </w:r>
            <w:r w:rsidR="00474F90">
              <w:rPr>
                <w:noProof/>
                <w:webHidden/>
              </w:rPr>
              <w:fldChar w:fldCharType="end"/>
            </w:r>
          </w:hyperlink>
        </w:p>
        <w:p w14:paraId="7E88D797"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33" w:history="1">
            <w:r w:rsidR="00474F90" w:rsidRPr="005A3BC7">
              <w:rPr>
                <w:rStyle w:val="Lienhypertexte"/>
                <w:noProof/>
              </w:rPr>
              <w:t>3.8.2</w:t>
            </w:r>
            <w:r w:rsidR="00474F90">
              <w:rPr>
                <w:rFonts w:asciiTheme="minorHAnsi" w:eastAsiaTheme="minorEastAsia" w:hAnsiTheme="minorHAnsi"/>
                <w:noProof/>
                <w:sz w:val="22"/>
                <w:lang w:eastAsia="fr-FR"/>
              </w:rPr>
              <w:tab/>
            </w:r>
            <w:r w:rsidR="00474F90" w:rsidRPr="005A3BC7">
              <w:rPr>
                <w:rStyle w:val="Lienhypertexte"/>
                <w:noProof/>
              </w:rPr>
              <w:t>Personnels des Centres de santé</w:t>
            </w:r>
            <w:r w:rsidR="00474F90">
              <w:rPr>
                <w:noProof/>
                <w:webHidden/>
              </w:rPr>
              <w:tab/>
            </w:r>
            <w:r w:rsidR="00474F90">
              <w:rPr>
                <w:noProof/>
                <w:webHidden/>
              </w:rPr>
              <w:fldChar w:fldCharType="begin"/>
            </w:r>
            <w:r w:rsidR="00474F90">
              <w:rPr>
                <w:noProof/>
                <w:webHidden/>
              </w:rPr>
              <w:instrText xml:space="preserve"> PAGEREF _Toc63233233 \h </w:instrText>
            </w:r>
            <w:r w:rsidR="00474F90">
              <w:rPr>
                <w:noProof/>
                <w:webHidden/>
              </w:rPr>
            </w:r>
            <w:r w:rsidR="00474F90">
              <w:rPr>
                <w:noProof/>
                <w:webHidden/>
              </w:rPr>
              <w:fldChar w:fldCharType="separate"/>
            </w:r>
            <w:r w:rsidR="00474F90">
              <w:rPr>
                <w:noProof/>
                <w:webHidden/>
              </w:rPr>
              <w:t>29</w:t>
            </w:r>
            <w:r w:rsidR="00474F90">
              <w:rPr>
                <w:noProof/>
                <w:webHidden/>
              </w:rPr>
              <w:fldChar w:fldCharType="end"/>
            </w:r>
          </w:hyperlink>
        </w:p>
        <w:p w14:paraId="62C3B311"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34" w:history="1">
            <w:r w:rsidR="00474F90" w:rsidRPr="005A3BC7">
              <w:rPr>
                <w:rStyle w:val="Lienhypertexte"/>
                <w:noProof/>
              </w:rPr>
              <w:t>3.8.3</w:t>
            </w:r>
            <w:r w:rsidR="00474F90">
              <w:rPr>
                <w:rFonts w:asciiTheme="minorHAnsi" w:eastAsiaTheme="minorEastAsia" w:hAnsiTheme="minorHAnsi"/>
                <w:noProof/>
                <w:sz w:val="22"/>
                <w:lang w:eastAsia="fr-FR"/>
              </w:rPr>
              <w:tab/>
            </w:r>
            <w:r w:rsidR="00474F90" w:rsidRPr="005A3BC7">
              <w:rPr>
                <w:rStyle w:val="Lienhypertexte"/>
                <w:noProof/>
              </w:rPr>
              <w:t>Personnels des Equipes cadres de district</w:t>
            </w:r>
            <w:r w:rsidR="00474F90">
              <w:rPr>
                <w:noProof/>
                <w:webHidden/>
              </w:rPr>
              <w:tab/>
            </w:r>
            <w:r w:rsidR="00474F90">
              <w:rPr>
                <w:noProof/>
                <w:webHidden/>
              </w:rPr>
              <w:fldChar w:fldCharType="begin"/>
            </w:r>
            <w:r w:rsidR="00474F90">
              <w:rPr>
                <w:noProof/>
                <w:webHidden/>
              </w:rPr>
              <w:instrText xml:space="preserve"> PAGEREF _Toc63233234 \h </w:instrText>
            </w:r>
            <w:r w:rsidR="00474F90">
              <w:rPr>
                <w:noProof/>
                <w:webHidden/>
              </w:rPr>
            </w:r>
            <w:r w:rsidR="00474F90">
              <w:rPr>
                <w:noProof/>
                <w:webHidden/>
              </w:rPr>
              <w:fldChar w:fldCharType="separate"/>
            </w:r>
            <w:r w:rsidR="00474F90">
              <w:rPr>
                <w:noProof/>
                <w:webHidden/>
              </w:rPr>
              <w:t>29</w:t>
            </w:r>
            <w:r w:rsidR="00474F90">
              <w:rPr>
                <w:noProof/>
                <w:webHidden/>
              </w:rPr>
              <w:fldChar w:fldCharType="end"/>
            </w:r>
          </w:hyperlink>
        </w:p>
        <w:p w14:paraId="08B96CB8"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35" w:history="1">
            <w:r w:rsidR="00474F90" w:rsidRPr="005A3BC7">
              <w:rPr>
                <w:rStyle w:val="Lienhypertexte"/>
                <w:noProof/>
              </w:rPr>
              <w:t>3.8.4</w:t>
            </w:r>
            <w:r w:rsidR="00474F90">
              <w:rPr>
                <w:rFonts w:asciiTheme="minorHAnsi" w:eastAsiaTheme="minorEastAsia" w:hAnsiTheme="minorHAnsi"/>
                <w:noProof/>
                <w:sz w:val="22"/>
                <w:lang w:eastAsia="fr-FR"/>
              </w:rPr>
              <w:tab/>
            </w:r>
            <w:r w:rsidR="00474F90" w:rsidRPr="005A3BC7">
              <w:rPr>
                <w:rStyle w:val="Lienhypertexte"/>
                <w:noProof/>
              </w:rPr>
              <w:t>Total des Personnels des Districts sanitaires</w:t>
            </w:r>
            <w:r w:rsidR="00474F90">
              <w:rPr>
                <w:noProof/>
                <w:webHidden/>
              </w:rPr>
              <w:tab/>
            </w:r>
            <w:r w:rsidR="00474F90">
              <w:rPr>
                <w:noProof/>
                <w:webHidden/>
              </w:rPr>
              <w:fldChar w:fldCharType="begin"/>
            </w:r>
            <w:r w:rsidR="00474F90">
              <w:rPr>
                <w:noProof/>
                <w:webHidden/>
              </w:rPr>
              <w:instrText xml:space="preserve"> PAGEREF _Toc63233235 \h </w:instrText>
            </w:r>
            <w:r w:rsidR="00474F90">
              <w:rPr>
                <w:noProof/>
                <w:webHidden/>
              </w:rPr>
            </w:r>
            <w:r w:rsidR="00474F90">
              <w:rPr>
                <w:noProof/>
                <w:webHidden/>
              </w:rPr>
              <w:fldChar w:fldCharType="separate"/>
            </w:r>
            <w:r w:rsidR="00474F90">
              <w:rPr>
                <w:noProof/>
                <w:webHidden/>
              </w:rPr>
              <w:t>29</w:t>
            </w:r>
            <w:r w:rsidR="00474F90">
              <w:rPr>
                <w:noProof/>
                <w:webHidden/>
              </w:rPr>
              <w:fldChar w:fldCharType="end"/>
            </w:r>
          </w:hyperlink>
        </w:p>
        <w:p w14:paraId="4C8C84A4" w14:textId="77777777" w:rsidR="00474F90" w:rsidRDefault="000B7360">
          <w:pPr>
            <w:pStyle w:val="TM2"/>
            <w:rPr>
              <w:rFonts w:asciiTheme="minorHAnsi" w:eastAsiaTheme="minorEastAsia" w:hAnsiTheme="minorHAnsi" w:cstheme="minorBidi"/>
              <w:noProof/>
            </w:rPr>
          </w:pPr>
          <w:hyperlink w:anchor="_Toc63233236" w:history="1">
            <w:r w:rsidR="00474F90" w:rsidRPr="005A3BC7">
              <w:rPr>
                <w:rStyle w:val="Lienhypertexte"/>
                <w:noProof/>
              </w:rPr>
              <w:t>3.9</w:t>
            </w:r>
            <w:r w:rsidR="00474F90">
              <w:rPr>
                <w:rFonts w:asciiTheme="minorHAnsi" w:eastAsiaTheme="minorEastAsia" w:hAnsiTheme="minorHAnsi" w:cstheme="minorBidi"/>
                <w:noProof/>
              </w:rPr>
              <w:tab/>
            </w:r>
            <w:r w:rsidR="00474F90" w:rsidRPr="005A3BC7">
              <w:rPr>
                <w:rStyle w:val="Lienhypertexte"/>
                <w:noProof/>
              </w:rPr>
              <w:t>Contribution des établissements à l’atteinte des ODD</w:t>
            </w:r>
            <w:r w:rsidR="00474F90">
              <w:rPr>
                <w:noProof/>
                <w:webHidden/>
              </w:rPr>
              <w:tab/>
            </w:r>
            <w:r w:rsidR="00474F90">
              <w:rPr>
                <w:noProof/>
                <w:webHidden/>
              </w:rPr>
              <w:fldChar w:fldCharType="begin"/>
            </w:r>
            <w:r w:rsidR="00474F90">
              <w:rPr>
                <w:noProof/>
                <w:webHidden/>
              </w:rPr>
              <w:instrText xml:space="preserve"> PAGEREF _Toc63233236 \h </w:instrText>
            </w:r>
            <w:r w:rsidR="00474F90">
              <w:rPr>
                <w:noProof/>
                <w:webHidden/>
              </w:rPr>
            </w:r>
            <w:r w:rsidR="00474F90">
              <w:rPr>
                <w:noProof/>
                <w:webHidden/>
              </w:rPr>
              <w:fldChar w:fldCharType="separate"/>
            </w:r>
            <w:r w:rsidR="00474F90">
              <w:rPr>
                <w:noProof/>
                <w:webHidden/>
              </w:rPr>
              <w:t>29</w:t>
            </w:r>
            <w:r w:rsidR="00474F90">
              <w:rPr>
                <w:noProof/>
                <w:webHidden/>
              </w:rPr>
              <w:fldChar w:fldCharType="end"/>
            </w:r>
          </w:hyperlink>
        </w:p>
        <w:p w14:paraId="45C97174"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37" w:history="1">
            <w:r w:rsidR="00474F90" w:rsidRPr="005A3BC7">
              <w:rPr>
                <w:rStyle w:val="Lienhypertexte"/>
                <w:noProof/>
              </w:rPr>
              <w:t>3.9.1</w:t>
            </w:r>
            <w:r w:rsidR="00474F90">
              <w:rPr>
                <w:rFonts w:asciiTheme="minorHAnsi" w:eastAsiaTheme="minorEastAsia" w:hAnsiTheme="minorHAnsi"/>
                <w:noProof/>
                <w:sz w:val="22"/>
                <w:lang w:eastAsia="fr-FR"/>
              </w:rPr>
              <w:tab/>
            </w:r>
            <w:r w:rsidR="00474F90" w:rsidRPr="005A3BC7">
              <w:rPr>
                <w:rStyle w:val="Lienhypertexte"/>
                <w:noProof/>
              </w:rPr>
              <w:t>Hôpitaux de district</w:t>
            </w:r>
            <w:r w:rsidR="00474F90">
              <w:rPr>
                <w:noProof/>
                <w:webHidden/>
              </w:rPr>
              <w:tab/>
            </w:r>
            <w:r w:rsidR="00474F90">
              <w:rPr>
                <w:noProof/>
                <w:webHidden/>
              </w:rPr>
              <w:fldChar w:fldCharType="begin"/>
            </w:r>
            <w:r w:rsidR="00474F90">
              <w:rPr>
                <w:noProof/>
                <w:webHidden/>
              </w:rPr>
              <w:instrText xml:space="preserve"> PAGEREF _Toc63233237 \h </w:instrText>
            </w:r>
            <w:r w:rsidR="00474F90">
              <w:rPr>
                <w:noProof/>
                <w:webHidden/>
              </w:rPr>
            </w:r>
            <w:r w:rsidR="00474F90">
              <w:rPr>
                <w:noProof/>
                <w:webHidden/>
              </w:rPr>
              <w:fldChar w:fldCharType="separate"/>
            </w:r>
            <w:r w:rsidR="00474F90">
              <w:rPr>
                <w:noProof/>
                <w:webHidden/>
              </w:rPr>
              <w:t>29</w:t>
            </w:r>
            <w:r w:rsidR="00474F90">
              <w:rPr>
                <w:noProof/>
                <w:webHidden/>
              </w:rPr>
              <w:fldChar w:fldCharType="end"/>
            </w:r>
          </w:hyperlink>
        </w:p>
        <w:p w14:paraId="5C123BDE"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38" w:history="1">
            <w:r w:rsidR="00474F90" w:rsidRPr="005A3BC7">
              <w:rPr>
                <w:rStyle w:val="Lienhypertexte"/>
                <w:noProof/>
              </w:rPr>
              <w:t>3.9.2</w:t>
            </w:r>
            <w:r w:rsidR="00474F90">
              <w:rPr>
                <w:rFonts w:asciiTheme="minorHAnsi" w:eastAsiaTheme="minorEastAsia" w:hAnsiTheme="minorHAnsi"/>
                <w:noProof/>
                <w:sz w:val="22"/>
                <w:lang w:eastAsia="fr-FR"/>
              </w:rPr>
              <w:tab/>
            </w:r>
            <w:r w:rsidR="00474F90" w:rsidRPr="005A3BC7">
              <w:rPr>
                <w:rStyle w:val="Lienhypertexte"/>
                <w:noProof/>
              </w:rPr>
              <w:t>Centres de santé intégrés</w:t>
            </w:r>
            <w:r w:rsidR="00474F90">
              <w:rPr>
                <w:noProof/>
                <w:webHidden/>
              </w:rPr>
              <w:tab/>
            </w:r>
            <w:r w:rsidR="00474F90">
              <w:rPr>
                <w:noProof/>
                <w:webHidden/>
              </w:rPr>
              <w:fldChar w:fldCharType="begin"/>
            </w:r>
            <w:r w:rsidR="00474F90">
              <w:rPr>
                <w:noProof/>
                <w:webHidden/>
              </w:rPr>
              <w:instrText xml:space="preserve"> PAGEREF _Toc63233238 \h </w:instrText>
            </w:r>
            <w:r w:rsidR="00474F90">
              <w:rPr>
                <w:noProof/>
                <w:webHidden/>
              </w:rPr>
            </w:r>
            <w:r w:rsidR="00474F90">
              <w:rPr>
                <w:noProof/>
                <w:webHidden/>
              </w:rPr>
              <w:fldChar w:fldCharType="separate"/>
            </w:r>
            <w:r w:rsidR="00474F90">
              <w:rPr>
                <w:noProof/>
                <w:webHidden/>
              </w:rPr>
              <w:t>30</w:t>
            </w:r>
            <w:r w:rsidR="00474F90">
              <w:rPr>
                <w:noProof/>
                <w:webHidden/>
              </w:rPr>
              <w:fldChar w:fldCharType="end"/>
            </w:r>
          </w:hyperlink>
        </w:p>
        <w:p w14:paraId="428F8D7D" w14:textId="77777777" w:rsidR="00474F90" w:rsidRDefault="000B7360">
          <w:pPr>
            <w:pStyle w:val="TM1"/>
            <w:rPr>
              <w:rFonts w:asciiTheme="minorHAnsi" w:eastAsiaTheme="minorEastAsia" w:hAnsiTheme="minorHAnsi" w:cstheme="minorBidi"/>
              <w:noProof/>
            </w:rPr>
          </w:pPr>
          <w:hyperlink w:anchor="_Toc63233239" w:history="1">
            <w:r w:rsidR="00474F90" w:rsidRPr="005A3BC7">
              <w:rPr>
                <w:rStyle w:val="Lienhypertexte"/>
                <w:noProof/>
              </w:rPr>
              <w:t>CHAPITRE IV : COMPARAISON</w:t>
            </w:r>
            <w:r w:rsidR="00474F90" w:rsidRPr="005A3BC7">
              <w:rPr>
                <w:rStyle w:val="Lienhypertexte"/>
                <w:bCs/>
                <w:noProof/>
              </w:rPr>
              <w:t xml:space="preserve"> </w:t>
            </w:r>
            <w:r w:rsidR="00474F90" w:rsidRPr="005A3BC7">
              <w:rPr>
                <w:rStyle w:val="Lienhypertexte"/>
                <w:noProof/>
              </w:rPr>
              <w:t>DES PRINCIPAUX INDICATEURS DE FONCTIONNALITE AUX ANNEES 2007 ET 2020</w:t>
            </w:r>
            <w:r w:rsidR="00474F90">
              <w:rPr>
                <w:noProof/>
                <w:webHidden/>
              </w:rPr>
              <w:tab/>
            </w:r>
            <w:r w:rsidR="00474F90">
              <w:rPr>
                <w:noProof/>
                <w:webHidden/>
              </w:rPr>
              <w:fldChar w:fldCharType="begin"/>
            </w:r>
            <w:r w:rsidR="00474F90">
              <w:rPr>
                <w:noProof/>
                <w:webHidden/>
              </w:rPr>
              <w:instrText xml:space="preserve"> PAGEREF _Toc63233239 \h </w:instrText>
            </w:r>
            <w:r w:rsidR="00474F90">
              <w:rPr>
                <w:noProof/>
                <w:webHidden/>
              </w:rPr>
            </w:r>
            <w:r w:rsidR="00474F90">
              <w:rPr>
                <w:noProof/>
                <w:webHidden/>
              </w:rPr>
              <w:fldChar w:fldCharType="separate"/>
            </w:r>
            <w:r w:rsidR="00474F90">
              <w:rPr>
                <w:noProof/>
                <w:webHidden/>
              </w:rPr>
              <w:t>31</w:t>
            </w:r>
            <w:r w:rsidR="00474F90">
              <w:rPr>
                <w:noProof/>
                <w:webHidden/>
              </w:rPr>
              <w:fldChar w:fldCharType="end"/>
            </w:r>
          </w:hyperlink>
        </w:p>
        <w:p w14:paraId="1833C616" w14:textId="77777777" w:rsidR="00474F90" w:rsidRDefault="000B7360">
          <w:pPr>
            <w:pStyle w:val="TM2"/>
            <w:rPr>
              <w:rFonts w:asciiTheme="minorHAnsi" w:eastAsiaTheme="minorEastAsia" w:hAnsiTheme="minorHAnsi" w:cstheme="minorBidi"/>
              <w:noProof/>
            </w:rPr>
          </w:pPr>
          <w:hyperlink w:anchor="_Toc63233240" w:history="1">
            <w:r w:rsidR="00474F90" w:rsidRPr="005A3BC7">
              <w:rPr>
                <w:rStyle w:val="Lienhypertexte"/>
                <w:noProof/>
              </w:rPr>
              <w:t>4.1</w:t>
            </w:r>
            <w:r w:rsidR="00474F90">
              <w:rPr>
                <w:rFonts w:asciiTheme="minorHAnsi" w:eastAsiaTheme="minorEastAsia" w:hAnsiTheme="minorHAnsi" w:cstheme="minorBidi"/>
                <w:noProof/>
              </w:rPr>
              <w:tab/>
            </w:r>
            <w:r w:rsidR="00474F90" w:rsidRPr="005A3BC7">
              <w:rPr>
                <w:rStyle w:val="Lienhypertexte"/>
                <w:noProof/>
              </w:rPr>
              <w:t>Caractéristiques, structures, activités et gestion des districts</w:t>
            </w:r>
            <w:r w:rsidR="00474F90">
              <w:rPr>
                <w:noProof/>
                <w:webHidden/>
              </w:rPr>
              <w:tab/>
            </w:r>
            <w:r w:rsidR="00474F90">
              <w:rPr>
                <w:noProof/>
                <w:webHidden/>
              </w:rPr>
              <w:fldChar w:fldCharType="begin"/>
            </w:r>
            <w:r w:rsidR="00474F90">
              <w:rPr>
                <w:noProof/>
                <w:webHidden/>
              </w:rPr>
              <w:instrText xml:space="preserve"> PAGEREF _Toc63233240 \h </w:instrText>
            </w:r>
            <w:r w:rsidR="00474F90">
              <w:rPr>
                <w:noProof/>
                <w:webHidden/>
              </w:rPr>
            </w:r>
            <w:r w:rsidR="00474F90">
              <w:rPr>
                <w:noProof/>
                <w:webHidden/>
              </w:rPr>
              <w:fldChar w:fldCharType="separate"/>
            </w:r>
            <w:r w:rsidR="00474F90">
              <w:rPr>
                <w:noProof/>
                <w:webHidden/>
              </w:rPr>
              <w:t>33</w:t>
            </w:r>
            <w:r w:rsidR="00474F90">
              <w:rPr>
                <w:noProof/>
                <w:webHidden/>
              </w:rPr>
              <w:fldChar w:fldCharType="end"/>
            </w:r>
          </w:hyperlink>
        </w:p>
        <w:p w14:paraId="1542ED05" w14:textId="77777777" w:rsidR="00474F90" w:rsidRDefault="000B7360">
          <w:pPr>
            <w:pStyle w:val="TM2"/>
            <w:rPr>
              <w:rFonts w:asciiTheme="minorHAnsi" w:eastAsiaTheme="minorEastAsia" w:hAnsiTheme="minorHAnsi" w:cstheme="minorBidi"/>
              <w:noProof/>
            </w:rPr>
          </w:pPr>
          <w:hyperlink w:anchor="_Toc63233241" w:history="1">
            <w:r w:rsidR="00474F90" w:rsidRPr="005A3BC7">
              <w:rPr>
                <w:rStyle w:val="Lienhypertexte"/>
                <w:noProof/>
              </w:rPr>
              <w:t>4.2</w:t>
            </w:r>
            <w:r w:rsidR="00474F90">
              <w:rPr>
                <w:rFonts w:asciiTheme="minorHAnsi" w:eastAsiaTheme="minorEastAsia" w:hAnsiTheme="minorHAnsi" w:cstheme="minorBidi"/>
                <w:noProof/>
              </w:rPr>
              <w:tab/>
            </w:r>
            <w:r w:rsidR="00474F90" w:rsidRPr="005A3BC7">
              <w:rPr>
                <w:rStyle w:val="Lienhypertexte"/>
                <w:noProof/>
              </w:rPr>
              <w:t>Ressources Humaines pour la Santé</w:t>
            </w:r>
            <w:r w:rsidR="00474F90">
              <w:rPr>
                <w:noProof/>
                <w:webHidden/>
              </w:rPr>
              <w:tab/>
            </w:r>
            <w:r w:rsidR="00474F90">
              <w:rPr>
                <w:noProof/>
                <w:webHidden/>
              </w:rPr>
              <w:fldChar w:fldCharType="begin"/>
            </w:r>
            <w:r w:rsidR="00474F90">
              <w:rPr>
                <w:noProof/>
                <w:webHidden/>
              </w:rPr>
              <w:instrText xml:space="preserve"> PAGEREF _Toc63233241 \h </w:instrText>
            </w:r>
            <w:r w:rsidR="00474F90">
              <w:rPr>
                <w:noProof/>
                <w:webHidden/>
              </w:rPr>
            </w:r>
            <w:r w:rsidR="00474F90">
              <w:rPr>
                <w:noProof/>
                <w:webHidden/>
              </w:rPr>
              <w:fldChar w:fldCharType="separate"/>
            </w:r>
            <w:r w:rsidR="00474F90">
              <w:rPr>
                <w:noProof/>
                <w:webHidden/>
              </w:rPr>
              <w:t>33</w:t>
            </w:r>
            <w:r w:rsidR="00474F90">
              <w:rPr>
                <w:noProof/>
                <w:webHidden/>
              </w:rPr>
              <w:fldChar w:fldCharType="end"/>
            </w:r>
          </w:hyperlink>
        </w:p>
        <w:p w14:paraId="438BA70B" w14:textId="77777777" w:rsidR="00474F90" w:rsidRDefault="000B7360">
          <w:pPr>
            <w:pStyle w:val="TM2"/>
            <w:rPr>
              <w:rFonts w:asciiTheme="minorHAnsi" w:eastAsiaTheme="minorEastAsia" w:hAnsiTheme="minorHAnsi" w:cstheme="minorBidi"/>
              <w:noProof/>
            </w:rPr>
          </w:pPr>
          <w:hyperlink w:anchor="_Toc63233242" w:history="1">
            <w:r w:rsidR="00474F90" w:rsidRPr="005A3BC7">
              <w:rPr>
                <w:rStyle w:val="Lienhypertexte"/>
                <w:noProof/>
              </w:rPr>
              <w:t>4.3</w:t>
            </w:r>
            <w:r w:rsidR="00474F90">
              <w:rPr>
                <w:rFonts w:asciiTheme="minorHAnsi" w:eastAsiaTheme="minorEastAsia" w:hAnsiTheme="minorHAnsi" w:cstheme="minorBidi"/>
                <w:noProof/>
              </w:rPr>
              <w:tab/>
            </w:r>
            <w:r w:rsidR="00474F90" w:rsidRPr="005A3BC7">
              <w:rPr>
                <w:rStyle w:val="Lienhypertexte"/>
                <w:noProof/>
              </w:rPr>
              <w:t>Ressources Financières de la santé</w:t>
            </w:r>
            <w:r w:rsidR="00474F90">
              <w:rPr>
                <w:noProof/>
                <w:webHidden/>
              </w:rPr>
              <w:tab/>
            </w:r>
            <w:r w:rsidR="00474F90">
              <w:rPr>
                <w:noProof/>
                <w:webHidden/>
              </w:rPr>
              <w:fldChar w:fldCharType="begin"/>
            </w:r>
            <w:r w:rsidR="00474F90">
              <w:rPr>
                <w:noProof/>
                <w:webHidden/>
              </w:rPr>
              <w:instrText xml:space="preserve"> PAGEREF _Toc63233242 \h </w:instrText>
            </w:r>
            <w:r w:rsidR="00474F90">
              <w:rPr>
                <w:noProof/>
                <w:webHidden/>
              </w:rPr>
            </w:r>
            <w:r w:rsidR="00474F90">
              <w:rPr>
                <w:noProof/>
                <w:webHidden/>
              </w:rPr>
              <w:fldChar w:fldCharType="separate"/>
            </w:r>
            <w:r w:rsidR="00474F90">
              <w:rPr>
                <w:noProof/>
                <w:webHidden/>
              </w:rPr>
              <w:t>34</w:t>
            </w:r>
            <w:r w:rsidR="00474F90">
              <w:rPr>
                <w:noProof/>
                <w:webHidden/>
              </w:rPr>
              <w:fldChar w:fldCharType="end"/>
            </w:r>
          </w:hyperlink>
        </w:p>
        <w:p w14:paraId="5F941CBF" w14:textId="77777777" w:rsidR="00474F90" w:rsidRDefault="000B7360">
          <w:pPr>
            <w:pStyle w:val="TM2"/>
            <w:rPr>
              <w:rFonts w:asciiTheme="minorHAnsi" w:eastAsiaTheme="minorEastAsia" w:hAnsiTheme="minorHAnsi" w:cstheme="minorBidi"/>
              <w:noProof/>
            </w:rPr>
          </w:pPr>
          <w:hyperlink w:anchor="_Toc63233243" w:history="1">
            <w:r w:rsidR="00474F90" w:rsidRPr="005A3BC7">
              <w:rPr>
                <w:rStyle w:val="Lienhypertexte"/>
                <w:noProof/>
              </w:rPr>
              <w:t>4.4</w:t>
            </w:r>
            <w:r w:rsidR="00474F90">
              <w:rPr>
                <w:rFonts w:asciiTheme="minorHAnsi" w:eastAsiaTheme="minorEastAsia" w:hAnsiTheme="minorHAnsi" w:cstheme="minorBidi"/>
                <w:noProof/>
              </w:rPr>
              <w:tab/>
            </w:r>
            <w:r w:rsidR="00474F90" w:rsidRPr="005A3BC7">
              <w:rPr>
                <w:rStyle w:val="Lienhypertexte"/>
                <w:noProof/>
              </w:rPr>
              <w:t>Infrastructures, Equipements, MEG, Vaccins, Technologies</w:t>
            </w:r>
            <w:r w:rsidR="00474F90">
              <w:rPr>
                <w:noProof/>
                <w:webHidden/>
              </w:rPr>
              <w:tab/>
            </w:r>
            <w:r w:rsidR="00474F90">
              <w:rPr>
                <w:noProof/>
                <w:webHidden/>
              </w:rPr>
              <w:fldChar w:fldCharType="begin"/>
            </w:r>
            <w:r w:rsidR="00474F90">
              <w:rPr>
                <w:noProof/>
                <w:webHidden/>
              </w:rPr>
              <w:instrText xml:space="preserve"> PAGEREF _Toc63233243 \h </w:instrText>
            </w:r>
            <w:r w:rsidR="00474F90">
              <w:rPr>
                <w:noProof/>
                <w:webHidden/>
              </w:rPr>
            </w:r>
            <w:r w:rsidR="00474F90">
              <w:rPr>
                <w:noProof/>
                <w:webHidden/>
              </w:rPr>
              <w:fldChar w:fldCharType="separate"/>
            </w:r>
            <w:r w:rsidR="00474F90">
              <w:rPr>
                <w:noProof/>
                <w:webHidden/>
              </w:rPr>
              <w:t>34</w:t>
            </w:r>
            <w:r w:rsidR="00474F90">
              <w:rPr>
                <w:noProof/>
                <w:webHidden/>
              </w:rPr>
              <w:fldChar w:fldCharType="end"/>
            </w:r>
          </w:hyperlink>
        </w:p>
        <w:p w14:paraId="501FBDBA" w14:textId="77777777" w:rsidR="00474F90" w:rsidRDefault="000B7360">
          <w:pPr>
            <w:pStyle w:val="TM2"/>
            <w:rPr>
              <w:rFonts w:asciiTheme="minorHAnsi" w:eastAsiaTheme="minorEastAsia" w:hAnsiTheme="minorHAnsi" w:cstheme="minorBidi"/>
              <w:noProof/>
            </w:rPr>
          </w:pPr>
          <w:hyperlink w:anchor="_Toc63233244" w:history="1">
            <w:r w:rsidR="00474F90" w:rsidRPr="005A3BC7">
              <w:rPr>
                <w:rStyle w:val="Lienhypertexte"/>
                <w:noProof/>
              </w:rPr>
              <w:t>4.5</w:t>
            </w:r>
            <w:r w:rsidR="00474F90">
              <w:rPr>
                <w:rFonts w:asciiTheme="minorHAnsi" w:eastAsiaTheme="minorEastAsia" w:hAnsiTheme="minorHAnsi" w:cstheme="minorBidi"/>
                <w:noProof/>
              </w:rPr>
              <w:tab/>
            </w:r>
            <w:r w:rsidR="00474F90" w:rsidRPr="005A3BC7">
              <w:rPr>
                <w:rStyle w:val="Lienhypertexte"/>
                <w:noProof/>
              </w:rPr>
              <w:t>Prestations de services</w:t>
            </w:r>
            <w:r w:rsidR="00474F90">
              <w:rPr>
                <w:noProof/>
                <w:webHidden/>
              </w:rPr>
              <w:tab/>
            </w:r>
            <w:r w:rsidR="00474F90">
              <w:rPr>
                <w:noProof/>
                <w:webHidden/>
              </w:rPr>
              <w:fldChar w:fldCharType="begin"/>
            </w:r>
            <w:r w:rsidR="00474F90">
              <w:rPr>
                <w:noProof/>
                <w:webHidden/>
              </w:rPr>
              <w:instrText xml:space="preserve"> PAGEREF _Toc63233244 \h </w:instrText>
            </w:r>
            <w:r w:rsidR="00474F90">
              <w:rPr>
                <w:noProof/>
                <w:webHidden/>
              </w:rPr>
            </w:r>
            <w:r w:rsidR="00474F90">
              <w:rPr>
                <w:noProof/>
                <w:webHidden/>
              </w:rPr>
              <w:fldChar w:fldCharType="separate"/>
            </w:r>
            <w:r w:rsidR="00474F90">
              <w:rPr>
                <w:noProof/>
                <w:webHidden/>
              </w:rPr>
              <w:t>34</w:t>
            </w:r>
            <w:r w:rsidR="00474F90">
              <w:rPr>
                <w:noProof/>
                <w:webHidden/>
              </w:rPr>
              <w:fldChar w:fldCharType="end"/>
            </w:r>
          </w:hyperlink>
        </w:p>
        <w:p w14:paraId="6CBE6973" w14:textId="77777777" w:rsidR="00474F90" w:rsidRDefault="000B7360">
          <w:pPr>
            <w:pStyle w:val="TM1"/>
            <w:rPr>
              <w:rFonts w:asciiTheme="minorHAnsi" w:eastAsiaTheme="minorEastAsia" w:hAnsiTheme="minorHAnsi" w:cstheme="minorBidi"/>
              <w:noProof/>
            </w:rPr>
          </w:pPr>
          <w:hyperlink w:anchor="_Toc63233245" w:history="1">
            <w:r w:rsidR="00474F90" w:rsidRPr="005A3BC7">
              <w:rPr>
                <w:rStyle w:val="Lienhypertexte"/>
                <w:noProof/>
              </w:rPr>
              <w:t>CHAPITRE V : CONSTATS MAJEURS ET RECOMMANDATIONS</w:t>
            </w:r>
            <w:r w:rsidR="00474F90">
              <w:rPr>
                <w:noProof/>
                <w:webHidden/>
              </w:rPr>
              <w:tab/>
            </w:r>
            <w:r w:rsidR="00474F90">
              <w:rPr>
                <w:noProof/>
                <w:webHidden/>
              </w:rPr>
              <w:fldChar w:fldCharType="begin"/>
            </w:r>
            <w:r w:rsidR="00474F90">
              <w:rPr>
                <w:noProof/>
                <w:webHidden/>
              </w:rPr>
              <w:instrText xml:space="preserve"> PAGEREF _Toc63233245 \h </w:instrText>
            </w:r>
            <w:r w:rsidR="00474F90">
              <w:rPr>
                <w:noProof/>
                <w:webHidden/>
              </w:rPr>
            </w:r>
            <w:r w:rsidR="00474F90">
              <w:rPr>
                <w:noProof/>
                <w:webHidden/>
              </w:rPr>
              <w:fldChar w:fldCharType="separate"/>
            </w:r>
            <w:r w:rsidR="00474F90">
              <w:rPr>
                <w:noProof/>
                <w:webHidden/>
              </w:rPr>
              <w:t>36</w:t>
            </w:r>
            <w:r w:rsidR="00474F90">
              <w:rPr>
                <w:noProof/>
                <w:webHidden/>
              </w:rPr>
              <w:fldChar w:fldCharType="end"/>
            </w:r>
          </w:hyperlink>
        </w:p>
        <w:p w14:paraId="5FE05BA8" w14:textId="77777777" w:rsidR="00474F90" w:rsidRDefault="000B7360">
          <w:pPr>
            <w:pStyle w:val="TM2"/>
            <w:rPr>
              <w:rFonts w:asciiTheme="minorHAnsi" w:eastAsiaTheme="minorEastAsia" w:hAnsiTheme="minorHAnsi" w:cstheme="minorBidi"/>
              <w:noProof/>
            </w:rPr>
          </w:pPr>
          <w:hyperlink w:anchor="_Toc63233246" w:history="1">
            <w:r w:rsidR="00474F90" w:rsidRPr="005A3BC7">
              <w:rPr>
                <w:rStyle w:val="Lienhypertexte"/>
                <w:noProof/>
              </w:rPr>
              <w:t>5.1</w:t>
            </w:r>
            <w:r w:rsidR="00474F90">
              <w:rPr>
                <w:rFonts w:asciiTheme="minorHAnsi" w:eastAsiaTheme="minorEastAsia" w:hAnsiTheme="minorHAnsi" w:cstheme="minorBidi"/>
                <w:noProof/>
              </w:rPr>
              <w:tab/>
            </w:r>
            <w:r w:rsidR="00474F90" w:rsidRPr="005A3BC7">
              <w:rPr>
                <w:rStyle w:val="Lienhypertexte"/>
                <w:noProof/>
              </w:rPr>
              <w:t>Constats</w:t>
            </w:r>
            <w:r w:rsidR="00474F90">
              <w:rPr>
                <w:noProof/>
                <w:webHidden/>
              </w:rPr>
              <w:tab/>
            </w:r>
            <w:r w:rsidR="00474F90">
              <w:rPr>
                <w:noProof/>
                <w:webHidden/>
              </w:rPr>
              <w:fldChar w:fldCharType="begin"/>
            </w:r>
            <w:r w:rsidR="00474F90">
              <w:rPr>
                <w:noProof/>
                <w:webHidden/>
              </w:rPr>
              <w:instrText xml:space="preserve"> PAGEREF _Toc63233246 \h </w:instrText>
            </w:r>
            <w:r w:rsidR="00474F90">
              <w:rPr>
                <w:noProof/>
                <w:webHidden/>
              </w:rPr>
            </w:r>
            <w:r w:rsidR="00474F90">
              <w:rPr>
                <w:noProof/>
                <w:webHidden/>
              </w:rPr>
              <w:fldChar w:fldCharType="separate"/>
            </w:r>
            <w:r w:rsidR="00474F90">
              <w:rPr>
                <w:noProof/>
                <w:webHidden/>
              </w:rPr>
              <w:t>36</w:t>
            </w:r>
            <w:r w:rsidR="00474F90">
              <w:rPr>
                <w:noProof/>
                <w:webHidden/>
              </w:rPr>
              <w:fldChar w:fldCharType="end"/>
            </w:r>
          </w:hyperlink>
        </w:p>
        <w:p w14:paraId="3D29380A"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48" w:history="1">
            <w:r w:rsidR="00474F90" w:rsidRPr="005A3BC7">
              <w:rPr>
                <w:rStyle w:val="Lienhypertexte"/>
                <w:noProof/>
              </w:rPr>
              <w:t>5.1.1</w:t>
            </w:r>
            <w:r w:rsidR="00474F90">
              <w:rPr>
                <w:rFonts w:asciiTheme="minorHAnsi" w:eastAsiaTheme="minorEastAsia" w:hAnsiTheme="minorHAnsi"/>
                <w:noProof/>
                <w:sz w:val="22"/>
                <w:lang w:eastAsia="fr-FR"/>
              </w:rPr>
              <w:tab/>
            </w:r>
            <w:r w:rsidR="00474F90" w:rsidRPr="005A3BC7">
              <w:rPr>
                <w:rStyle w:val="Lienhypertexte"/>
                <w:noProof/>
              </w:rPr>
              <w:t>Forces</w:t>
            </w:r>
            <w:r w:rsidR="00474F90">
              <w:rPr>
                <w:noProof/>
                <w:webHidden/>
              </w:rPr>
              <w:tab/>
            </w:r>
            <w:r w:rsidR="00474F90">
              <w:rPr>
                <w:noProof/>
                <w:webHidden/>
              </w:rPr>
              <w:fldChar w:fldCharType="begin"/>
            </w:r>
            <w:r w:rsidR="00474F90">
              <w:rPr>
                <w:noProof/>
                <w:webHidden/>
              </w:rPr>
              <w:instrText xml:space="preserve"> PAGEREF _Toc63233248 \h </w:instrText>
            </w:r>
            <w:r w:rsidR="00474F90">
              <w:rPr>
                <w:noProof/>
                <w:webHidden/>
              </w:rPr>
            </w:r>
            <w:r w:rsidR="00474F90">
              <w:rPr>
                <w:noProof/>
                <w:webHidden/>
              </w:rPr>
              <w:fldChar w:fldCharType="separate"/>
            </w:r>
            <w:r w:rsidR="00474F90">
              <w:rPr>
                <w:noProof/>
                <w:webHidden/>
              </w:rPr>
              <w:t>36</w:t>
            </w:r>
            <w:r w:rsidR="00474F90">
              <w:rPr>
                <w:noProof/>
                <w:webHidden/>
              </w:rPr>
              <w:fldChar w:fldCharType="end"/>
            </w:r>
          </w:hyperlink>
        </w:p>
        <w:p w14:paraId="7157A2B5" w14:textId="77777777" w:rsidR="00474F90" w:rsidRDefault="000B7360">
          <w:pPr>
            <w:pStyle w:val="TM3"/>
            <w:tabs>
              <w:tab w:val="left" w:pos="1320"/>
              <w:tab w:val="right" w:leader="dot" w:pos="9062"/>
            </w:tabs>
            <w:rPr>
              <w:rFonts w:asciiTheme="minorHAnsi" w:eastAsiaTheme="minorEastAsia" w:hAnsiTheme="minorHAnsi"/>
              <w:noProof/>
              <w:sz w:val="22"/>
              <w:lang w:eastAsia="fr-FR"/>
            </w:rPr>
          </w:pPr>
          <w:hyperlink w:anchor="_Toc63233249" w:history="1">
            <w:r w:rsidR="00474F90" w:rsidRPr="005A3BC7">
              <w:rPr>
                <w:rStyle w:val="Lienhypertexte"/>
                <w:noProof/>
              </w:rPr>
              <w:t>5.1.2</w:t>
            </w:r>
            <w:r w:rsidR="00474F90">
              <w:rPr>
                <w:rFonts w:asciiTheme="minorHAnsi" w:eastAsiaTheme="minorEastAsia" w:hAnsiTheme="minorHAnsi"/>
                <w:noProof/>
                <w:sz w:val="22"/>
                <w:lang w:eastAsia="fr-FR"/>
              </w:rPr>
              <w:tab/>
            </w:r>
            <w:r w:rsidR="00474F90" w:rsidRPr="005A3BC7">
              <w:rPr>
                <w:rStyle w:val="Lienhypertexte"/>
                <w:noProof/>
              </w:rPr>
              <w:t>Faiblesses</w:t>
            </w:r>
            <w:r w:rsidR="00474F90">
              <w:rPr>
                <w:noProof/>
                <w:webHidden/>
              </w:rPr>
              <w:tab/>
            </w:r>
            <w:r w:rsidR="00474F90">
              <w:rPr>
                <w:noProof/>
                <w:webHidden/>
              </w:rPr>
              <w:fldChar w:fldCharType="begin"/>
            </w:r>
            <w:r w:rsidR="00474F90">
              <w:rPr>
                <w:noProof/>
                <w:webHidden/>
              </w:rPr>
              <w:instrText xml:space="preserve"> PAGEREF _Toc63233249 \h </w:instrText>
            </w:r>
            <w:r w:rsidR="00474F90">
              <w:rPr>
                <w:noProof/>
                <w:webHidden/>
              </w:rPr>
            </w:r>
            <w:r w:rsidR="00474F90">
              <w:rPr>
                <w:noProof/>
                <w:webHidden/>
              </w:rPr>
              <w:fldChar w:fldCharType="separate"/>
            </w:r>
            <w:r w:rsidR="00474F90">
              <w:rPr>
                <w:noProof/>
                <w:webHidden/>
              </w:rPr>
              <w:t>36</w:t>
            </w:r>
            <w:r w:rsidR="00474F90">
              <w:rPr>
                <w:noProof/>
                <w:webHidden/>
              </w:rPr>
              <w:fldChar w:fldCharType="end"/>
            </w:r>
          </w:hyperlink>
        </w:p>
        <w:p w14:paraId="4A09FA1B" w14:textId="77777777" w:rsidR="00474F90" w:rsidRDefault="000B7360">
          <w:pPr>
            <w:pStyle w:val="TM2"/>
            <w:rPr>
              <w:rFonts w:asciiTheme="minorHAnsi" w:eastAsiaTheme="minorEastAsia" w:hAnsiTheme="minorHAnsi" w:cstheme="minorBidi"/>
              <w:noProof/>
            </w:rPr>
          </w:pPr>
          <w:hyperlink w:anchor="_Toc63233250" w:history="1">
            <w:r w:rsidR="00474F90" w:rsidRPr="005A3BC7">
              <w:rPr>
                <w:rStyle w:val="Lienhypertexte"/>
                <w:noProof/>
              </w:rPr>
              <w:t>5.2</w:t>
            </w:r>
            <w:r w:rsidR="00474F90">
              <w:rPr>
                <w:rFonts w:asciiTheme="minorHAnsi" w:eastAsiaTheme="minorEastAsia" w:hAnsiTheme="minorHAnsi" w:cstheme="minorBidi"/>
                <w:noProof/>
              </w:rPr>
              <w:tab/>
            </w:r>
            <w:r w:rsidR="00474F90" w:rsidRPr="005A3BC7">
              <w:rPr>
                <w:rStyle w:val="Lienhypertexte"/>
                <w:noProof/>
              </w:rPr>
              <w:t>Recommandations</w:t>
            </w:r>
            <w:r w:rsidR="00474F90">
              <w:rPr>
                <w:noProof/>
                <w:webHidden/>
              </w:rPr>
              <w:tab/>
            </w:r>
            <w:r w:rsidR="00474F90">
              <w:rPr>
                <w:noProof/>
                <w:webHidden/>
              </w:rPr>
              <w:fldChar w:fldCharType="begin"/>
            </w:r>
            <w:r w:rsidR="00474F90">
              <w:rPr>
                <w:noProof/>
                <w:webHidden/>
              </w:rPr>
              <w:instrText xml:space="preserve"> PAGEREF _Toc63233250 \h </w:instrText>
            </w:r>
            <w:r w:rsidR="00474F90">
              <w:rPr>
                <w:noProof/>
                <w:webHidden/>
              </w:rPr>
            </w:r>
            <w:r w:rsidR="00474F90">
              <w:rPr>
                <w:noProof/>
                <w:webHidden/>
              </w:rPr>
              <w:fldChar w:fldCharType="separate"/>
            </w:r>
            <w:r w:rsidR="00474F90">
              <w:rPr>
                <w:noProof/>
                <w:webHidden/>
              </w:rPr>
              <w:t>37</w:t>
            </w:r>
            <w:r w:rsidR="00474F90">
              <w:rPr>
                <w:noProof/>
                <w:webHidden/>
              </w:rPr>
              <w:fldChar w:fldCharType="end"/>
            </w:r>
          </w:hyperlink>
        </w:p>
        <w:p w14:paraId="7BCCBD7D" w14:textId="77777777" w:rsidR="00474F90" w:rsidRDefault="000B7360">
          <w:pPr>
            <w:pStyle w:val="TM1"/>
            <w:rPr>
              <w:rFonts w:asciiTheme="minorHAnsi" w:eastAsiaTheme="minorEastAsia" w:hAnsiTheme="minorHAnsi" w:cstheme="minorBidi"/>
              <w:noProof/>
            </w:rPr>
          </w:pPr>
          <w:hyperlink w:anchor="_Toc63233251" w:history="1">
            <w:r w:rsidR="00474F90" w:rsidRPr="005A3BC7">
              <w:rPr>
                <w:rStyle w:val="Lienhypertexte"/>
                <w:noProof/>
              </w:rPr>
              <w:t>CONCLUSION</w:t>
            </w:r>
            <w:r w:rsidR="00474F90">
              <w:rPr>
                <w:noProof/>
                <w:webHidden/>
              </w:rPr>
              <w:tab/>
            </w:r>
            <w:r w:rsidR="00474F90">
              <w:rPr>
                <w:noProof/>
                <w:webHidden/>
              </w:rPr>
              <w:fldChar w:fldCharType="begin"/>
            </w:r>
            <w:r w:rsidR="00474F90">
              <w:rPr>
                <w:noProof/>
                <w:webHidden/>
              </w:rPr>
              <w:instrText xml:space="preserve"> PAGEREF _Toc63233251 \h </w:instrText>
            </w:r>
            <w:r w:rsidR="00474F90">
              <w:rPr>
                <w:noProof/>
                <w:webHidden/>
              </w:rPr>
            </w:r>
            <w:r w:rsidR="00474F90">
              <w:rPr>
                <w:noProof/>
                <w:webHidden/>
              </w:rPr>
              <w:fldChar w:fldCharType="separate"/>
            </w:r>
            <w:r w:rsidR="00474F90">
              <w:rPr>
                <w:noProof/>
                <w:webHidden/>
              </w:rPr>
              <w:t>38</w:t>
            </w:r>
            <w:r w:rsidR="00474F90">
              <w:rPr>
                <w:noProof/>
                <w:webHidden/>
              </w:rPr>
              <w:fldChar w:fldCharType="end"/>
            </w:r>
          </w:hyperlink>
        </w:p>
        <w:p w14:paraId="78501146" w14:textId="5FC314CA" w:rsidR="007A6C12" w:rsidRPr="0001795E" w:rsidRDefault="007A6C12">
          <w:r w:rsidRPr="0001795E">
            <w:rPr>
              <w:b/>
              <w:bCs/>
            </w:rPr>
            <w:fldChar w:fldCharType="end"/>
          </w:r>
        </w:p>
      </w:sdtContent>
    </w:sdt>
    <w:p w14:paraId="02C90B68" w14:textId="77777777" w:rsidR="007A6C12" w:rsidRPr="0001795E" w:rsidRDefault="007A6C12" w:rsidP="00AF29C6">
      <w:pPr>
        <w:sectPr w:rsidR="007A6C12" w:rsidRPr="0001795E" w:rsidSect="007127F6">
          <w:pgSz w:w="11906" w:h="16838" w:code="9"/>
          <w:pgMar w:top="1417" w:right="1417" w:bottom="1417" w:left="1417" w:header="709" w:footer="709" w:gutter="0"/>
          <w:pgBorders>
            <w:top w:val="single" w:sz="4" w:space="1" w:color="auto"/>
            <w:bottom w:val="single" w:sz="4" w:space="1" w:color="auto"/>
          </w:pgBorders>
          <w:cols w:space="708"/>
          <w:docGrid w:linePitch="360"/>
        </w:sectPr>
      </w:pPr>
    </w:p>
    <w:p w14:paraId="31915AB2" w14:textId="2DBD2020" w:rsidR="00822388" w:rsidRDefault="00822388" w:rsidP="006A44DA">
      <w:pPr>
        <w:pStyle w:val="Titre1"/>
      </w:pPr>
      <w:bookmarkStart w:id="1" w:name="_Toc63233177"/>
      <w:r w:rsidRPr="0001795E">
        <w:t>Sigles et abréviations</w:t>
      </w:r>
      <w:bookmarkEnd w:id="1"/>
    </w:p>
    <w:tbl>
      <w:tblPr>
        <w:tblW w:w="9760" w:type="dxa"/>
        <w:tblCellMar>
          <w:left w:w="70" w:type="dxa"/>
          <w:right w:w="70" w:type="dxa"/>
        </w:tblCellMar>
        <w:tblLook w:val="04A0" w:firstRow="1" w:lastRow="0" w:firstColumn="1" w:lastColumn="0" w:noHBand="0" w:noVBand="1"/>
      </w:tblPr>
      <w:tblGrid>
        <w:gridCol w:w="1060"/>
        <w:gridCol w:w="8700"/>
      </w:tblGrid>
      <w:tr w:rsidR="006D457D" w:rsidRPr="006D4B73" w14:paraId="23F38779" w14:textId="77777777" w:rsidTr="006D4B73">
        <w:trPr>
          <w:trHeight w:val="315"/>
        </w:trPr>
        <w:tc>
          <w:tcPr>
            <w:tcW w:w="1060" w:type="dxa"/>
            <w:tcBorders>
              <w:top w:val="nil"/>
              <w:left w:val="nil"/>
              <w:bottom w:val="nil"/>
              <w:right w:val="nil"/>
            </w:tcBorders>
            <w:shd w:val="clear" w:color="auto" w:fill="auto"/>
            <w:noWrap/>
            <w:vAlign w:val="center"/>
            <w:hideMark/>
          </w:tcPr>
          <w:p w14:paraId="3EECAEAB"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UA</w:t>
            </w:r>
            <w:proofErr w:type="spellEnd"/>
          </w:p>
        </w:tc>
        <w:tc>
          <w:tcPr>
            <w:tcW w:w="8700" w:type="dxa"/>
            <w:tcBorders>
              <w:top w:val="nil"/>
              <w:left w:val="nil"/>
              <w:bottom w:val="nil"/>
              <w:right w:val="nil"/>
            </w:tcBorders>
            <w:shd w:val="clear" w:color="auto" w:fill="auto"/>
            <w:noWrap/>
            <w:vAlign w:val="center"/>
            <w:hideMark/>
          </w:tcPr>
          <w:p w14:paraId="18F5ACD1"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Union Africaine</w:t>
            </w:r>
          </w:p>
        </w:tc>
      </w:tr>
      <w:tr w:rsidR="006D457D" w:rsidRPr="006D4B73" w14:paraId="4E119B09" w14:textId="77777777" w:rsidTr="006D4B73">
        <w:trPr>
          <w:trHeight w:val="315"/>
        </w:trPr>
        <w:tc>
          <w:tcPr>
            <w:tcW w:w="1060" w:type="dxa"/>
            <w:tcBorders>
              <w:top w:val="nil"/>
              <w:left w:val="nil"/>
              <w:bottom w:val="nil"/>
              <w:right w:val="nil"/>
            </w:tcBorders>
            <w:shd w:val="clear" w:color="auto" w:fill="auto"/>
            <w:noWrap/>
            <w:vAlign w:val="center"/>
            <w:hideMark/>
          </w:tcPr>
          <w:p w14:paraId="50A0F39D"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ARV</w:t>
            </w:r>
            <w:proofErr w:type="spellEnd"/>
          </w:p>
        </w:tc>
        <w:tc>
          <w:tcPr>
            <w:tcW w:w="8700" w:type="dxa"/>
            <w:tcBorders>
              <w:top w:val="nil"/>
              <w:left w:val="nil"/>
              <w:bottom w:val="nil"/>
              <w:right w:val="nil"/>
            </w:tcBorders>
            <w:shd w:val="clear" w:color="auto" w:fill="auto"/>
            <w:noWrap/>
            <w:vAlign w:val="center"/>
            <w:hideMark/>
          </w:tcPr>
          <w:p w14:paraId="49AEB2E3"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Antirétroviraux</w:t>
            </w:r>
          </w:p>
        </w:tc>
      </w:tr>
      <w:tr w:rsidR="006D457D" w:rsidRPr="006D4B73" w14:paraId="47D227D1" w14:textId="77777777" w:rsidTr="006D4B73">
        <w:trPr>
          <w:trHeight w:val="315"/>
        </w:trPr>
        <w:tc>
          <w:tcPr>
            <w:tcW w:w="1060" w:type="dxa"/>
            <w:tcBorders>
              <w:top w:val="nil"/>
              <w:left w:val="nil"/>
              <w:bottom w:val="nil"/>
              <w:right w:val="nil"/>
            </w:tcBorders>
            <w:shd w:val="clear" w:color="auto" w:fill="auto"/>
            <w:noWrap/>
            <w:vAlign w:val="center"/>
            <w:hideMark/>
          </w:tcPr>
          <w:p w14:paraId="147589AE"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BSD</w:t>
            </w:r>
          </w:p>
        </w:tc>
        <w:tc>
          <w:tcPr>
            <w:tcW w:w="8700" w:type="dxa"/>
            <w:tcBorders>
              <w:top w:val="nil"/>
              <w:left w:val="nil"/>
              <w:bottom w:val="nil"/>
              <w:right w:val="nil"/>
            </w:tcBorders>
            <w:shd w:val="clear" w:color="auto" w:fill="auto"/>
            <w:noWrap/>
            <w:vAlign w:val="center"/>
            <w:hideMark/>
          </w:tcPr>
          <w:p w14:paraId="7C2F90C7" w14:textId="4A3C677F"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Bureau de </w:t>
            </w:r>
            <w:r w:rsidRPr="006D457D">
              <w:rPr>
                <w:rFonts w:eastAsia="Times New Roman" w:cs="Calibri"/>
                <w:szCs w:val="24"/>
                <w:lang w:eastAsia="fr-FR"/>
              </w:rPr>
              <w:t xml:space="preserve">Stratégie </w:t>
            </w:r>
            <w:r w:rsidRPr="006D4B73">
              <w:rPr>
                <w:rFonts w:eastAsia="Times New Roman" w:cs="Calibri"/>
                <w:szCs w:val="24"/>
                <w:lang w:eastAsia="fr-FR"/>
              </w:rPr>
              <w:t xml:space="preserve">et de </w:t>
            </w:r>
            <w:r w:rsidRPr="006D457D">
              <w:rPr>
                <w:rFonts w:eastAsia="Times New Roman" w:cs="Calibri"/>
                <w:szCs w:val="24"/>
                <w:lang w:eastAsia="fr-FR"/>
              </w:rPr>
              <w:t>Développement</w:t>
            </w:r>
          </w:p>
        </w:tc>
      </w:tr>
      <w:tr w:rsidR="006D457D" w:rsidRPr="006D4B73" w14:paraId="119F3243" w14:textId="77777777" w:rsidTr="006D4B73">
        <w:trPr>
          <w:trHeight w:val="315"/>
        </w:trPr>
        <w:tc>
          <w:tcPr>
            <w:tcW w:w="1060" w:type="dxa"/>
            <w:tcBorders>
              <w:top w:val="nil"/>
              <w:left w:val="nil"/>
              <w:bottom w:val="nil"/>
              <w:right w:val="nil"/>
            </w:tcBorders>
            <w:shd w:val="clear" w:color="auto" w:fill="auto"/>
            <w:noWrap/>
            <w:vAlign w:val="center"/>
            <w:hideMark/>
          </w:tcPr>
          <w:p w14:paraId="644E4AC6"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CMC</w:t>
            </w:r>
            <w:proofErr w:type="spellEnd"/>
          </w:p>
        </w:tc>
        <w:tc>
          <w:tcPr>
            <w:tcW w:w="8700" w:type="dxa"/>
            <w:tcBorders>
              <w:top w:val="nil"/>
              <w:left w:val="nil"/>
              <w:bottom w:val="nil"/>
              <w:right w:val="nil"/>
            </w:tcBorders>
            <w:shd w:val="clear" w:color="auto" w:fill="auto"/>
            <w:noWrap/>
            <w:vAlign w:val="center"/>
            <w:hideMark/>
          </w:tcPr>
          <w:p w14:paraId="2A978392"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Centre Médical Communal</w:t>
            </w:r>
          </w:p>
        </w:tc>
      </w:tr>
      <w:tr w:rsidR="006D457D" w:rsidRPr="006D4B73" w14:paraId="3EE8676D" w14:textId="77777777" w:rsidTr="006D4B73">
        <w:trPr>
          <w:trHeight w:val="315"/>
        </w:trPr>
        <w:tc>
          <w:tcPr>
            <w:tcW w:w="1060" w:type="dxa"/>
            <w:tcBorders>
              <w:top w:val="nil"/>
              <w:left w:val="nil"/>
              <w:bottom w:val="nil"/>
              <w:right w:val="nil"/>
            </w:tcBorders>
            <w:shd w:val="clear" w:color="auto" w:fill="auto"/>
            <w:noWrap/>
            <w:vAlign w:val="center"/>
            <w:hideMark/>
          </w:tcPr>
          <w:p w14:paraId="2357ECFD"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CPN1</w:t>
            </w:r>
          </w:p>
        </w:tc>
        <w:tc>
          <w:tcPr>
            <w:tcW w:w="8700" w:type="dxa"/>
            <w:tcBorders>
              <w:top w:val="nil"/>
              <w:left w:val="nil"/>
              <w:bottom w:val="nil"/>
              <w:right w:val="nil"/>
            </w:tcBorders>
            <w:shd w:val="clear" w:color="auto" w:fill="auto"/>
            <w:noWrap/>
            <w:vAlign w:val="center"/>
            <w:hideMark/>
          </w:tcPr>
          <w:p w14:paraId="7F2B65AC"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Première Consultation Prénatale </w:t>
            </w:r>
          </w:p>
        </w:tc>
      </w:tr>
      <w:tr w:rsidR="006D457D" w:rsidRPr="006D4B73" w14:paraId="2525E9F8" w14:textId="77777777" w:rsidTr="006D4B73">
        <w:trPr>
          <w:trHeight w:val="315"/>
        </w:trPr>
        <w:tc>
          <w:tcPr>
            <w:tcW w:w="1060" w:type="dxa"/>
            <w:tcBorders>
              <w:top w:val="nil"/>
              <w:left w:val="nil"/>
              <w:bottom w:val="nil"/>
              <w:right w:val="nil"/>
            </w:tcBorders>
            <w:shd w:val="clear" w:color="auto" w:fill="auto"/>
            <w:noWrap/>
            <w:vAlign w:val="center"/>
            <w:hideMark/>
          </w:tcPr>
          <w:p w14:paraId="74D4A8D2"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CS</w:t>
            </w:r>
          </w:p>
        </w:tc>
        <w:tc>
          <w:tcPr>
            <w:tcW w:w="8700" w:type="dxa"/>
            <w:tcBorders>
              <w:top w:val="nil"/>
              <w:left w:val="nil"/>
              <w:bottom w:val="nil"/>
              <w:right w:val="nil"/>
            </w:tcBorders>
            <w:shd w:val="clear" w:color="auto" w:fill="auto"/>
            <w:noWrap/>
            <w:vAlign w:val="center"/>
            <w:hideMark/>
          </w:tcPr>
          <w:p w14:paraId="1D5D7388"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Centre de Santé </w:t>
            </w:r>
          </w:p>
        </w:tc>
      </w:tr>
      <w:tr w:rsidR="006D457D" w:rsidRPr="006D4B73" w14:paraId="6303FD22" w14:textId="77777777" w:rsidTr="006D4B73">
        <w:trPr>
          <w:trHeight w:val="315"/>
        </w:trPr>
        <w:tc>
          <w:tcPr>
            <w:tcW w:w="1060" w:type="dxa"/>
            <w:tcBorders>
              <w:top w:val="nil"/>
              <w:left w:val="nil"/>
              <w:bottom w:val="nil"/>
              <w:right w:val="nil"/>
            </w:tcBorders>
            <w:shd w:val="clear" w:color="auto" w:fill="auto"/>
            <w:noWrap/>
            <w:vAlign w:val="center"/>
            <w:hideMark/>
          </w:tcPr>
          <w:p w14:paraId="3A8DA676"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CSA</w:t>
            </w:r>
          </w:p>
        </w:tc>
        <w:tc>
          <w:tcPr>
            <w:tcW w:w="8700" w:type="dxa"/>
            <w:tcBorders>
              <w:top w:val="nil"/>
              <w:left w:val="nil"/>
              <w:bottom w:val="nil"/>
              <w:right w:val="nil"/>
            </w:tcBorders>
            <w:shd w:val="clear" w:color="auto" w:fill="auto"/>
            <w:noWrap/>
            <w:vAlign w:val="center"/>
            <w:hideMark/>
          </w:tcPr>
          <w:p w14:paraId="6737CEC3"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Centre de Santé Amélioré </w:t>
            </w:r>
          </w:p>
        </w:tc>
      </w:tr>
      <w:tr w:rsidR="006D457D" w:rsidRPr="006D4B73" w14:paraId="46D43E5B" w14:textId="77777777" w:rsidTr="006D4B73">
        <w:trPr>
          <w:trHeight w:val="315"/>
        </w:trPr>
        <w:tc>
          <w:tcPr>
            <w:tcW w:w="1060" w:type="dxa"/>
            <w:tcBorders>
              <w:top w:val="nil"/>
              <w:left w:val="nil"/>
              <w:bottom w:val="nil"/>
              <w:right w:val="nil"/>
            </w:tcBorders>
            <w:shd w:val="clear" w:color="auto" w:fill="auto"/>
            <w:noWrap/>
            <w:vAlign w:val="center"/>
            <w:hideMark/>
          </w:tcPr>
          <w:p w14:paraId="2B12E994"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CSI</w:t>
            </w:r>
            <w:proofErr w:type="spellEnd"/>
          </w:p>
        </w:tc>
        <w:tc>
          <w:tcPr>
            <w:tcW w:w="8700" w:type="dxa"/>
            <w:tcBorders>
              <w:top w:val="nil"/>
              <w:left w:val="nil"/>
              <w:bottom w:val="nil"/>
              <w:right w:val="nil"/>
            </w:tcBorders>
            <w:shd w:val="clear" w:color="auto" w:fill="auto"/>
            <w:noWrap/>
            <w:vAlign w:val="center"/>
            <w:hideMark/>
          </w:tcPr>
          <w:p w14:paraId="0F979FA5"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Centre de Santé Intégré </w:t>
            </w:r>
          </w:p>
        </w:tc>
      </w:tr>
      <w:tr w:rsidR="006D457D" w:rsidRPr="006D4B73" w14:paraId="4FC90B67" w14:textId="77777777" w:rsidTr="006D4B73">
        <w:trPr>
          <w:trHeight w:val="315"/>
        </w:trPr>
        <w:tc>
          <w:tcPr>
            <w:tcW w:w="1060" w:type="dxa"/>
            <w:tcBorders>
              <w:top w:val="nil"/>
              <w:left w:val="nil"/>
              <w:bottom w:val="nil"/>
              <w:right w:val="nil"/>
            </w:tcBorders>
            <w:shd w:val="clear" w:color="auto" w:fill="auto"/>
            <w:noWrap/>
            <w:vAlign w:val="center"/>
            <w:hideMark/>
          </w:tcPr>
          <w:p w14:paraId="5768F27D"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CTA</w:t>
            </w:r>
          </w:p>
        </w:tc>
        <w:tc>
          <w:tcPr>
            <w:tcW w:w="8700" w:type="dxa"/>
            <w:tcBorders>
              <w:top w:val="nil"/>
              <w:left w:val="nil"/>
              <w:bottom w:val="nil"/>
              <w:right w:val="nil"/>
            </w:tcBorders>
            <w:shd w:val="clear" w:color="auto" w:fill="auto"/>
            <w:noWrap/>
            <w:vAlign w:val="center"/>
            <w:hideMark/>
          </w:tcPr>
          <w:p w14:paraId="702B7F8C" w14:textId="690CAD12"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Combinaison Thérapeutique à base d’</w:t>
            </w:r>
            <w:r w:rsidR="006D457D" w:rsidRPr="006D4B73">
              <w:rPr>
                <w:rFonts w:eastAsia="Times New Roman" w:cs="Calibri"/>
                <w:szCs w:val="24"/>
                <w:lang w:eastAsia="fr-FR"/>
              </w:rPr>
              <w:t>Artémisinine</w:t>
            </w:r>
            <w:r w:rsidRPr="006D4B73">
              <w:rPr>
                <w:rFonts w:eastAsia="Times New Roman" w:cs="Calibri"/>
                <w:szCs w:val="24"/>
                <w:lang w:eastAsia="fr-FR"/>
              </w:rPr>
              <w:t xml:space="preserve"> </w:t>
            </w:r>
          </w:p>
        </w:tc>
      </w:tr>
      <w:tr w:rsidR="006D457D" w:rsidRPr="006D4B73" w14:paraId="331A235B" w14:textId="77777777" w:rsidTr="006D4B73">
        <w:trPr>
          <w:trHeight w:val="315"/>
        </w:trPr>
        <w:tc>
          <w:tcPr>
            <w:tcW w:w="1060" w:type="dxa"/>
            <w:tcBorders>
              <w:top w:val="nil"/>
              <w:left w:val="nil"/>
              <w:bottom w:val="nil"/>
              <w:right w:val="nil"/>
            </w:tcBorders>
            <w:shd w:val="clear" w:color="auto" w:fill="auto"/>
            <w:noWrap/>
            <w:vAlign w:val="center"/>
            <w:hideMark/>
          </w:tcPr>
          <w:p w14:paraId="6EC75DD5" w14:textId="77777777"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DOTS</w:t>
            </w:r>
          </w:p>
        </w:tc>
        <w:tc>
          <w:tcPr>
            <w:tcW w:w="8700" w:type="dxa"/>
            <w:tcBorders>
              <w:top w:val="nil"/>
              <w:left w:val="nil"/>
              <w:bottom w:val="nil"/>
              <w:right w:val="nil"/>
            </w:tcBorders>
            <w:shd w:val="clear" w:color="auto" w:fill="auto"/>
            <w:noWrap/>
            <w:vAlign w:val="center"/>
            <w:hideMark/>
          </w:tcPr>
          <w:p w14:paraId="7167B866" w14:textId="77777777"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 xml:space="preserve">: Traitement de Courte Durée sous Surveillance </w:t>
            </w:r>
          </w:p>
        </w:tc>
      </w:tr>
      <w:tr w:rsidR="006D457D" w:rsidRPr="006D4B73" w14:paraId="0BB0A176" w14:textId="77777777" w:rsidTr="006D4B73">
        <w:trPr>
          <w:trHeight w:val="315"/>
        </w:trPr>
        <w:tc>
          <w:tcPr>
            <w:tcW w:w="1060" w:type="dxa"/>
            <w:tcBorders>
              <w:top w:val="nil"/>
              <w:left w:val="nil"/>
              <w:bottom w:val="nil"/>
              <w:right w:val="nil"/>
            </w:tcBorders>
            <w:shd w:val="clear" w:color="auto" w:fill="auto"/>
            <w:noWrap/>
            <w:vAlign w:val="center"/>
            <w:hideMark/>
          </w:tcPr>
          <w:p w14:paraId="0CCB2F1B"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DPS</w:t>
            </w:r>
          </w:p>
        </w:tc>
        <w:tc>
          <w:tcPr>
            <w:tcW w:w="8700" w:type="dxa"/>
            <w:tcBorders>
              <w:top w:val="nil"/>
              <w:left w:val="nil"/>
              <w:bottom w:val="nil"/>
              <w:right w:val="nil"/>
            </w:tcBorders>
            <w:shd w:val="clear" w:color="auto" w:fill="auto"/>
            <w:noWrap/>
            <w:vAlign w:val="center"/>
            <w:hideMark/>
          </w:tcPr>
          <w:p w14:paraId="69DAD880"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Direction Préfectorale de la santé</w:t>
            </w:r>
          </w:p>
        </w:tc>
      </w:tr>
      <w:tr w:rsidR="006D457D" w:rsidRPr="006D4B73" w14:paraId="025B2EED" w14:textId="77777777" w:rsidTr="006D4B73">
        <w:trPr>
          <w:trHeight w:val="315"/>
        </w:trPr>
        <w:tc>
          <w:tcPr>
            <w:tcW w:w="1060" w:type="dxa"/>
            <w:tcBorders>
              <w:top w:val="nil"/>
              <w:left w:val="nil"/>
              <w:bottom w:val="nil"/>
              <w:right w:val="nil"/>
            </w:tcBorders>
            <w:shd w:val="clear" w:color="auto" w:fill="auto"/>
            <w:noWrap/>
            <w:vAlign w:val="center"/>
            <w:hideMark/>
          </w:tcPr>
          <w:p w14:paraId="122EE21E"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DRS</w:t>
            </w:r>
            <w:proofErr w:type="spellEnd"/>
          </w:p>
        </w:tc>
        <w:tc>
          <w:tcPr>
            <w:tcW w:w="8700" w:type="dxa"/>
            <w:tcBorders>
              <w:top w:val="nil"/>
              <w:left w:val="nil"/>
              <w:bottom w:val="nil"/>
              <w:right w:val="nil"/>
            </w:tcBorders>
            <w:shd w:val="clear" w:color="auto" w:fill="auto"/>
            <w:noWrap/>
            <w:vAlign w:val="center"/>
            <w:hideMark/>
          </w:tcPr>
          <w:p w14:paraId="2BA55FDB"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Direction Régionale de la Santé </w:t>
            </w:r>
          </w:p>
        </w:tc>
      </w:tr>
      <w:tr w:rsidR="006D457D" w:rsidRPr="006D4B73" w14:paraId="3B5D1C17" w14:textId="77777777" w:rsidTr="006D4B73">
        <w:trPr>
          <w:trHeight w:val="315"/>
        </w:trPr>
        <w:tc>
          <w:tcPr>
            <w:tcW w:w="1060" w:type="dxa"/>
            <w:tcBorders>
              <w:top w:val="nil"/>
              <w:left w:val="nil"/>
              <w:bottom w:val="nil"/>
              <w:right w:val="nil"/>
            </w:tcBorders>
            <w:shd w:val="clear" w:color="auto" w:fill="auto"/>
            <w:noWrap/>
            <w:vAlign w:val="center"/>
            <w:hideMark/>
          </w:tcPr>
          <w:p w14:paraId="7F23EFD1"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DTS</w:t>
            </w:r>
            <w:proofErr w:type="spellEnd"/>
          </w:p>
        </w:tc>
        <w:tc>
          <w:tcPr>
            <w:tcW w:w="8700" w:type="dxa"/>
            <w:tcBorders>
              <w:top w:val="nil"/>
              <w:left w:val="nil"/>
              <w:bottom w:val="nil"/>
              <w:right w:val="nil"/>
            </w:tcBorders>
            <w:shd w:val="clear" w:color="auto" w:fill="auto"/>
            <w:noWrap/>
            <w:vAlign w:val="center"/>
            <w:hideMark/>
          </w:tcPr>
          <w:p w14:paraId="20B42E33"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Dépense Totale de Santé  </w:t>
            </w:r>
          </w:p>
        </w:tc>
      </w:tr>
      <w:tr w:rsidR="006D457D" w:rsidRPr="006D4B73" w14:paraId="34CD2FD1" w14:textId="77777777" w:rsidTr="006D4B73">
        <w:trPr>
          <w:trHeight w:val="315"/>
        </w:trPr>
        <w:tc>
          <w:tcPr>
            <w:tcW w:w="1060" w:type="dxa"/>
            <w:tcBorders>
              <w:top w:val="nil"/>
              <w:left w:val="nil"/>
              <w:bottom w:val="nil"/>
              <w:right w:val="nil"/>
            </w:tcBorders>
            <w:shd w:val="clear" w:color="auto" w:fill="auto"/>
            <w:noWrap/>
            <w:vAlign w:val="center"/>
            <w:hideMark/>
          </w:tcPr>
          <w:p w14:paraId="7E0B75B8"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EDS</w:t>
            </w:r>
            <w:proofErr w:type="spellEnd"/>
          </w:p>
        </w:tc>
        <w:tc>
          <w:tcPr>
            <w:tcW w:w="8700" w:type="dxa"/>
            <w:tcBorders>
              <w:top w:val="nil"/>
              <w:left w:val="nil"/>
              <w:bottom w:val="nil"/>
              <w:right w:val="nil"/>
            </w:tcBorders>
            <w:shd w:val="clear" w:color="auto" w:fill="auto"/>
            <w:noWrap/>
            <w:vAlign w:val="center"/>
            <w:hideMark/>
          </w:tcPr>
          <w:p w14:paraId="18B00C1B" w14:textId="723D57C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Enquête </w:t>
            </w:r>
            <w:r w:rsidR="00743D0B" w:rsidRPr="006D457D">
              <w:rPr>
                <w:rFonts w:eastAsia="Times New Roman" w:cs="Calibri"/>
                <w:szCs w:val="24"/>
                <w:lang w:eastAsia="fr-FR"/>
              </w:rPr>
              <w:t xml:space="preserve">Démographique </w:t>
            </w:r>
            <w:r w:rsidRPr="006D4B73">
              <w:rPr>
                <w:rFonts w:eastAsia="Times New Roman" w:cs="Calibri"/>
                <w:szCs w:val="24"/>
                <w:lang w:eastAsia="fr-FR"/>
              </w:rPr>
              <w:t xml:space="preserve">et de </w:t>
            </w:r>
            <w:r w:rsidR="00743D0B" w:rsidRPr="006D457D">
              <w:rPr>
                <w:rFonts w:eastAsia="Times New Roman" w:cs="Calibri"/>
                <w:szCs w:val="24"/>
                <w:lang w:eastAsia="fr-FR"/>
              </w:rPr>
              <w:t>Santé</w:t>
            </w:r>
          </w:p>
        </w:tc>
      </w:tr>
      <w:tr w:rsidR="006D457D" w:rsidRPr="006D4B73" w14:paraId="0C58A396" w14:textId="77777777" w:rsidTr="006D4B73">
        <w:trPr>
          <w:trHeight w:val="315"/>
        </w:trPr>
        <w:tc>
          <w:tcPr>
            <w:tcW w:w="1060" w:type="dxa"/>
            <w:tcBorders>
              <w:top w:val="nil"/>
              <w:left w:val="nil"/>
              <w:bottom w:val="nil"/>
              <w:right w:val="nil"/>
            </w:tcBorders>
            <w:shd w:val="clear" w:color="auto" w:fill="auto"/>
            <w:noWrap/>
            <w:vAlign w:val="center"/>
            <w:hideMark/>
          </w:tcPr>
          <w:p w14:paraId="3EB02DC2"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Fosa</w:t>
            </w:r>
          </w:p>
        </w:tc>
        <w:tc>
          <w:tcPr>
            <w:tcW w:w="8700" w:type="dxa"/>
            <w:tcBorders>
              <w:top w:val="nil"/>
              <w:left w:val="nil"/>
              <w:bottom w:val="nil"/>
              <w:right w:val="nil"/>
            </w:tcBorders>
            <w:shd w:val="clear" w:color="auto" w:fill="auto"/>
            <w:noWrap/>
            <w:vAlign w:val="center"/>
            <w:hideMark/>
          </w:tcPr>
          <w:p w14:paraId="07D8343C"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Formations Sanitaires</w:t>
            </w:r>
          </w:p>
        </w:tc>
      </w:tr>
      <w:tr w:rsidR="006D457D" w:rsidRPr="006D4B73" w14:paraId="0F28ACB3" w14:textId="77777777" w:rsidTr="006D4B73">
        <w:trPr>
          <w:trHeight w:val="315"/>
        </w:trPr>
        <w:tc>
          <w:tcPr>
            <w:tcW w:w="1060" w:type="dxa"/>
            <w:tcBorders>
              <w:top w:val="nil"/>
              <w:left w:val="nil"/>
              <w:bottom w:val="nil"/>
              <w:right w:val="nil"/>
            </w:tcBorders>
            <w:shd w:val="clear" w:color="auto" w:fill="auto"/>
            <w:noWrap/>
            <w:vAlign w:val="center"/>
            <w:hideMark/>
          </w:tcPr>
          <w:p w14:paraId="3F887767" w14:textId="77777777" w:rsidR="006D4B73" w:rsidRPr="006D4B73" w:rsidRDefault="006D4B73" w:rsidP="006D4B73">
            <w:pPr>
              <w:widowControl/>
              <w:spacing w:before="0" w:after="0" w:line="240" w:lineRule="auto"/>
              <w:rPr>
                <w:rFonts w:eastAsia="Times New Roman" w:cs="Calibri"/>
                <w:szCs w:val="24"/>
                <w:lang w:eastAsia="fr-FR"/>
              </w:rPr>
            </w:pPr>
            <w:proofErr w:type="spellStart"/>
            <w:r w:rsidRPr="006D4B73">
              <w:rPr>
                <w:rFonts w:eastAsia="Times New Roman" w:cs="Calibri"/>
                <w:szCs w:val="24"/>
                <w:lang w:eastAsia="fr-FR"/>
              </w:rPr>
              <w:t>GNF</w:t>
            </w:r>
            <w:proofErr w:type="spellEnd"/>
          </w:p>
        </w:tc>
        <w:tc>
          <w:tcPr>
            <w:tcW w:w="8700" w:type="dxa"/>
            <w:tcBorders>
              <w:top w:val="nil"/>
              <w:left w:val="nil"/>
              <w:bottom w:val="nil"/>
              <w:right w:val="nil"/>
            </w:tcBorders>
            <w:shd w:val="clear" w:color="auto" w:fill="auto"/>
            <w:noWrap/>
            <w:vAlign w:val="center"/>
            <w:hideMark/>
          </w:tcPr>
          <w:p w14:paraId="71596FF3" w14:textId="77777777"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 xml:space="preserve">: Nouveau Franc Guinéen </w:t>
            </w:r>
          </w:p>
        </w:tc>
      </w:tr>
      <w:tr w:rsidR="006D457D" w:rsidRPr="006D4B73" w14:paraId="71E24379" w14:textId="77777777" w:rsidTr="006D4B73">
        <w:trPr>
          <w:trHeight w:val="315"/>
        </w:trPr>
        <w:tc>
          <w:tcPr>
            <w:tcW w:w="1060" w:type="dxa"/>
            <w:tcBorders>
              <w:top w:val="nil"/>
              <w:left w:val="nil"/>
              <w:bottom w:val="nil"/>
              <w:right w:val="nil"/>
            </w:tcBorders>
            <w:shd w:val="clear" w:color="auto" w:fill="auto"/>
            <w:noWrap/>
            <w:vAlign w:val="center"/>
            <w:hideMark/>
          </w:tcPr>
          <w:p w14:paraId="26760667"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Hbt</w:t>
            </w:r>
          </w:p>
        </w:tc>
        <w:tc>
          <w:tcPr>
            <w:tcW w:w="8700" w:type="dxa"/>
            <w:tcBorders>
              <w:top w:val="nil"/>
              <w:left w:val="nil"/>
              <w:bottom w:val="nil"/>
              <w:right w:val="nil"/>
            </w:tcBorders>
            <w:shd w:val="clear" w:color="auto" w:fill="auto"/>
            <w:noWrap/>
            <w:vAlign w:val="center"/>
            <w:hideMark/>
          </w:tcPr>
          <w:p w14:paraId="18E059D0"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Habitant</w:t>
            </w:r>
          </w:p>
        </w:tc>
      </w:tr>
      <w:tr w:rsidR="006D457D" w:rsidRPr="006D4B73" w14:paraId="4BE69991" w14:textId="77777777" w:rsidTr="006D4B73">
        <w:trPr>
          <w:trHeight w:val="315"/>
        </w:trPr>
        <w:tc>
          <w:tcPr>
            <w:tcW w:w="1060" w:type="dxa"/>
            <w:tcBorders>
              <w:top w:val="nil"/>
              <w:left w:val="nil"/>
              <w:bottom w:val="nil"/>
              <w:right w:val="nil"/>
            </w:tcBorders>
            <w:shd w:val="clear" w:color="auto" w:fill="auto"/>
            <w:noWrap/>
            <w:vAlign w:val="center"/>
            <w:hideMark/>
          </w:tcPr>
          <w:p w14:paraId="10435AAB"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HN</w:t>
            </w:r>
            <w:proofErr w:type="spellEnd"/>
          </w:p>
        </w:tc>
        <w:tc>
          <w:tcPr>
            <w:tcW w:w="8700" w:type="dxa"/>
            <w:tcBorders>
              <w:top w:val="nil"/>
              <w:left w:val="nil"/>
              <w:bottom w:val="nil"/>
              <w:right w:val="nil"/>
            </w:tcBorders>
            <w:shd w:val="clear" w:color="auto" w:fill="auto"/>
            <w:noWrap/>
            <w:vAlign w:val="center"/>
            <w:hideMark/>
          </w:tcPr>
          <w:p w14:paraId="02FA0035"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Hôpital National</w:t>
            </w:r>
          </w:p>
        </w:tc>
      </w:tr>
      <w:tr w:rsidR="006D457D" w:rsidRPr="006D4B73" w14:paraId="24895557" w14:textId="77777777" w:rsidTr="006D4B73">
        <w:trPr>
          <w:trHeight w:val="315"/>
        </w:trPr>
        <w:tc>
          <w:tcPr>
            <w:tcW w:w="1060" w:type="dxa"/>
            <w:tcBorders>
              <w:top w:val="nil"/>
              <w:left w:val="nil"/>
              <w:bottom w:val="nil"/>
              <w:right w:val="nil"/>
            </w:tcBorders>
            <w:shd w:val="clear" w:color="auto" w:fill="auto"/>
            <w:noWrap/>
            <w:vAlign w:val="center"/>
            <w:hideMark/>
          </w:tcPr>
          <w:p w14:paraId="689E1EE0"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val="en-US" w:eastAsia="fr-FR"/>
              </w:rPr>
              <w:t>HP</w:t>
            </w:r>
          </w:p>
        </w:tc>
        <w:tc>
          <w:tcPr>
            <w:tcW w:w="8700" w:type="dxa"/>
            <w:tcBorders>
              <w:top w:val="nil"/>
              <w:left w:val="nil"/>
              <w:bottom w:val="nil"/>
              <w:right w:val="nil"/>
            </w:tcBorders>
            <w:shd w:val="clear" w:color="auto" w:fill="auto"/>
            <w:noWrap/>
            <w:vAlign w:val="center"/>
            <w:hideMark/>
          </w:tcPr>
          <w:p w14:paraId="151367FF"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Hôpital Préfectoral</w:t>
            </w:r>
          </w:p>
        </w:tc>
      </w:tr>
      <w:tr w:rsidR="006D457D" w:rsidRPr="006D4B73" w14:paraId="64267DC6" w14:textId="77777777" w:rsidTr="006D4B73">
        <w:trPr>
          <w:trHeight w:val="315"/>
        </w:trPr>
        <w:tc>
          <w:tcPr>
            <w:tcW w:w="1060" w:type="dxa"/>
            <w:tcBorders>
              <w:top w:val="nil"/>
              <w:left w:val="nil"/>
              <w:bottom w:val="nil"/>
              <w:right w:val="nil"/>
            </w:tcBorders>
            <w:shd w:val="clear" w:color="auto" w:fill="auto"/>
            <w:noWrap/>
            <w:vAlign w:val="center"/>
            <w:hideMark/>
          </w:tcPr>
          <w:p w14:paraId="439BAAD2"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HR</w:t>
            </w:r>
          </w:p>
        </w:tc>
        <w:tc>
          <w:tcPr>
            <w:tcW w:w="8700" w:type="dxa"/>
            <w:tcBorders>
              <w:top w:val="nil"/>
              <w:left w:val="nil"/>
              <w:bottom w:val="nil"/>
              <w:right w:val="nil"/>
            </w:tcBorders>
            <w:shd w:val="clear" w:color="auto" w:fill="auto"/>
            <w:noWrap/>
            <w:vAlign w:val="center"/>
            <w:hideMark/>
          </w:tcPr>
          <w:p w14:paraId="45F50751"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Hôpital Régional</w:t>
            </w:r>
          </w:p>
        </w:tc>
      </w:tr>
      <w:tr w:rsidR="006D457D" w:rsidRPr="006D4B73" w14:paraId="17B3288B" w14:textId="77777777" w:rsidTr="006D4B73">
        <w:trPr>
          <w:trHeight w:val="315"/>
        </w:trPr>
        <w:tc>
          <w:tcPr>
            <w:tcW w:w="1060" w:type="dxa"/>
            <w:tcBorders>
              <w:top w:val="nil"/>
              <w:left w:val="nil"/>
              <w:bottom w:val="nil"/>
              <w:right w:val="nil"/>
            </w:tcBorders>
            <w:shd w:val="clear" w:color="auto" w:fill="auto"/>
            <w:noWrap/>
            <w:vAlign w:val="center"/>
            <w:hideMark/>
          </w:tcPr>
          <w:p w14:paraId="33B3FC7B"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HTA</w:t>
            </w:r>
            <w:proofErr w:type="spellEnd"/>
          </w:p>
        </w:tc>
        <w:tc>
          <w:tcPr>
            <w:tcW w:w="8700" w:type="dxa"/>
            <w:tcBorders>
              <w:top w:val="nil"/>
              <w:left w:val="nil"/>
              <w:bottom w:val="nil"/>
              <w:right w:val="nil"/>
            </w:tcBorders>
            <w:shd w:val="clear" w:color="auto" w:fill="auto"/>
            <w:noWrap/>
            <w:vAlign w:val="center"/>
            <w:hideMark/>
          </w:tcPr>
          <w:p w14:paraId="1AE9D593"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Hypertension Artérielle </w:t>
            </w:r>
          </w:p>
        </w:tc>
      </w:tr>
      <w:tr w:rsidR="006D457D" w:rsidRPr="006D4B73" w14:paraId="6E488142" w14:textId="77777777" w:rsidTr="006D4B73">
        <w:trPr>
          <w:trHeight w:val="315"/>
        </w:trPr>
        <w:tc>
          <w:tcPr>
            <w:tcW w:w="1060" w:type="dxa"/>
            <w:tcBorders>
              <w:top w:val="nil"/>
              <w:left w:val="nil"/>
              <w:bottom w:val="nil"/>
              <w:right w:val="nil"/>
            </w:tcBorders>
            <w:shd w:val="clear" w:color="auto" w:fill="auto"/>
            <w:noWrap/>
            <w:vAlign w:val="center"/>
            <w:hideMark/>
          </w:tcPr>
          <w:p w14:paraId="4F27228E"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INS</w:t>
            </w:r>
          </w:p>
        </w:tc>
        <w:tc>
          <w:tcPr>
            <w:tcW w:w="8700" w:type="dxa"/>
            <w:tcBorders>
              <w:top w:val="nil"/>
              <w:left w:val="nil"/>
              <w:bottom w:val="nil"/>
              <w:right w:val="nil"/>
            </w:tcBorders>
            <w:shd w:val="clear" w:color="auto" w:fill="auto"/>
            <w:noWrap/>
            <w:vAlign w:val="center"/>
            <w:hideMark/>
          </w:tcPr>
          <w:p w14:paraId="2B65750F"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Institut National de Statistiques</w:t>
            </w:r>
          </w:p>
        </w:tc>
      </w:tr>
      <w:tr w:rsidR="006D457D" w:rsidRPr="006D4B73" w14:paraId="0B8F6B66" w14:textId="77777777" w:rsidTr="006D4B73">
        <w:trPr>
          <w:trHeight w:val="315"/>
        </w:trPr>
        <w:tc>
          <w:tcPr>
            <w:tcW w:w="1060" w:type="dxa"/>
            <w:tcBorders>
              <w:top w:val="nil"/>
              <w:left w:val="nil"/>
              <w:bottom w:val="nil"/>
              <w:right w:val="nil"/>
            </w:tcBorders>
            <w:shd w:val="clear" w:color="auto" w:fill="auto"/>
            <w:noWrap/>
            <w:vAlign w:val="center"/>
            <w:hideMark/>
          </w:tcPr>
          <w:p w14:paraId="6E93C5BF" w14:textId="77777777" w:rsidR="006D4B73" w:rsidRPr="006D4B73" w:rsidRDefault="006D4B73" w:rsidP="006D4B73">
            <w:pPr>
              <w:widowControl/>
              <w:spacing w:before="0" w:after="0" w:line="240" w:lineRule="auto"/>
              <w:jc w:val="left"/>
              <w:rPr>
                <w:rFonts w:eastAsia="Times New Roman" w:cs="Calibri"/>
                <w:b/>
                <w:bCs/>
                <w:szCs w:val="24"/>
                <w:lang w:eastAsia="fr-FR"/>
              </w:rPr>
            </w:pPr>
            <w:proofErr w:type="spellStart"/>
            <w:r w:rsidRPr="006D4B73">
              <w:rPr>
                <w:rFonts w:eastAsia="Times New Roman" w:cs="Calibri"/>
                <w:b/>
                <w:bCs/>
                <w:szCs w:val="24"/>
                <w:lang w:eastAsia="fr-FR"/>
              </w:rPr>
              <w:t>LTO</w:t>
            </w:r>
            <w:proofErr w:type="spellEnd"/>
          </w:p>
        </w:tc>
        <w:tc>
          <w:tcPr>
            <w:tcW w:w="8700" w:type="dxa"/>
            <w:tcBorders>
              <w:top w:val="nil"/>
              <w:left w:val="nil"/>
              <w:bottom w:val="nil"/>
              <w:right w:val="nil"/>
            </w:tcBorders>
            <w:shd w:val="clear" w:color="auto" w:fill="auto"/>
            <w:noWrap/>
            <w:vAlign w:val="center"/>
            <w:hideMark/>
          </w:tcPr>
          <w:p w14:paraId="36162B7F"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Lèpre, Tuberculose, Onchocercose </w:t>
            </w:r>
          </w:p>
        </w:tc>
      </w:tr>
      <w:tr w:rsidR="006D457D" w:rsidRPr="006D4B73" w14:paraId="7CF1D615" w14:textId="77777777" w:rsidTr="006D4B73">
        <w:trPr>
          <w:trHeight w:val="315"/>
        </w:trPr>
        <w:tc>
          <w:tcPr>
            <w:tcW w:w="1060" w:type="dxa"/>
            <w:tcBorders>
              <w:top w:val="nil"/>
              <w:left w:val="nil"/>
              <w:bottom w:val="nil"/>
              <w:right w:val="nil"/>
            </w:tcBorders>
            <w:shd w:val="clear" w:color="auto" w:fill="auto"/>
            <w:noWrap/>
            <w:vAlign w:val="center"/>
            <w:hideMark/>
          </w:tcPr>
          <w:p w14:paraId="1817EDBE"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MEG</w:t>
            </w:r>
          </w:p>
        </w:tc>
        <w:tc>
          <w:tcPr>
            <w:tcW w:w="8700" w:type="dxa"/>
            <w:tcBorders>
              <w:top w:val="nil"/>
              <w:left w:val="nil"/>
              <w:bottom w:val="nil"/>
              <w:right w:val="nil"/>
            </w:tcBorders>
            <w:shd w:val="clear" w:color="auto" w:fill="auto"/>
            <w:noWrap/>
            <w:vAlign w:val="center"/>
            <w:hideMark/>
          </w:tcPr>
          <w:p w14:paraId="690842A6"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Médicaments Essentiels Génériques  </w:t>
            </w:r>
          </w:p>
        </w:tc>
      </w:tr>
      <w:tr w:rsidR="006D457D" w:rsidRPr="006D4B73" w14:paraId="282E740C" w14:textId="77777777" w:rsidTr="006D4B73">
        <w:trPr>
          <w:trHeight w:val="315"/>
        </w:trPr>
        <w:tc>
          <w:tcPr>
            <w:tcW w:w="1060" w:type="dxa"/>
            <w:tcBorders>
              <w:top w:val="nil"/>
              <w:left w:val="nil"/>
              <w:bottom w:val="nil"/>
              <w:right w:val="nil"/>
            </w:tcBorders>
            <w:shd w:val="clear" w:color="auto" w:fill="auto"/>
            <w:noWrap/>
            <w:vAlign w:val="center"/>
            <w:hideMark/>
          </w:tcPr>
          <w:p w14:paraId="64AEE687"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MICS</w:t>
            </w:r>
            <w:proofErr w:type="spellEnd"/>
          </w:p>
        </w:tc>
        <w:tc>
          <w:tcPr>
            <w:tcW w:w="8700" w:type="dxa"/>
            <w:tcBorders>
              <w:top w:val="nil"/>
              <w:left w:val="nil"/>
              <w:bottom w:val="nil"/>
              <w:right w:val="nil"/>
            </w:tcBorders>
            <w:shd w:val="clear" w:color="auto" w:fill="auto"/>
            <w:noWrap/>
            <w:vAlign w:val="center"/>
            <w:hideMark/>
          </w:tcPr>
          <w:p w14:paraId="24CEAF79" w14:textId="365D6EEB"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Enquête de Couverture à Indicateurs Multiple</w:t>
            </w:r>
            <w:r w:rsidR="00743D0B" w:rsidRPr="006D457D">
              <w:rPr>
                <w:rFonts w:eastAsia="Times New Roman" w:cs="Calibri"/>
                <w:szCs w:val="24"/>
                <w:lang w:eastAsia="fr-FR"/>
              </w:rPr>
              <w:t>s</w:t>
            </w:r>
          </w:p>
        </w:tc>
      </w:tr>
      <w:tr w:rsidR="006D457D" w:rsidRPr="006D4B73" w14:paraId="275D8D33" w14:textId="77777777" w:rsidTr="006D4B73">
        <w:trPr>
          <w:trHeight w:val="315"/>
        </w:trPr>
        <w:tc>
          <w:tcPr>
            <w:tcW w:w="1060" w:type="dxa"/>
            <w:tcBorders>
              <w:top w:val="nil"/>
              <w:left w:val="nil"/>
              <w:bottom w:val="nil"/>
              <w:right w:val="nil"/>
            </w:tcBorders>
            <w:shd w:val="clear" w:color="auto" w:fill="auto"/>
            <w:noWrap/>
            <w:vAlign w:val="center"/>
            <w:hideMark/>
          </w:tcPr>
          <w:p w14:paraId="1926C7F4"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MII</w:t>
            </w:r>
          </w:p>
        </w:tc>
        <w:tc>
          <w:tcPr>
            <w:tcW w:w="8700" w:type="dxa"/>
            <w:tcBorders>
              <w:top w:val="nil"/>
              <w:left w:val="nil"/>
              <w:bottom w:val="nil"/>
              <w:right w:val="nil"/>
            </w:tcBorders>
            <w:shd w:val="clear" w:color="auto" w:fill="auto"/>
            <w:noWrap/>
            <w:vAlign w:val="center"/>
            <w:hideMark/>
          </w:tcPr>
          <w:p w14:paraId="7FD19C13"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Moustiquaire Imprégnée d’Insecticide </w:t>
            </w:r>
          </w:p>
        </w:tc>
      </w:tr>
      <w:tr w:rsidR="006D457D" w:rsidRPr="006D4B73" w14:paraId="76B72CEA" w14:textId="77777777" w:rsidTr="006D4B73">
        <w:trPr>
          <w:trHeight w:val="315"/>
        </w:trPr>
        <w:tc>
          <w:tcPr>
            <w:tcW w:w="1060" w:type="dxa"/>
            <w:tcBorders>
              <w:top w:val="nil"/>
              <w:left w:val="nil"/>
              <w:bottom w:val="nil"/>
              <w:right w:val="nil"/>
            </w:tcBorders>
            <w:shd w:val="clear" w:color="auto" w:fill="auto"/>
            <w:noWrap/>
            <w:vAlign w:val="center"/>
            <w:hideMark/>
          </w:tcPr>
          <w:p w14:paraId="4AFEA096"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MS</w:t>
            </w:r>
          </w:p>
        </w:tc>
        <w:tc>
          <w:tcPr>
            <w:tcW w:w="8700" w:type="dxa"/>
            <w:tcBorders>
              <w:top w:val="nil"/>
              <w:left w:val="nil"/>
              <w:bottom w:val="nil"/>
              <w:right w:val="nil"/>
            </w:tcBorders>
            <w:shd w:val="clear" w:color="auto" w:fill="auto"/>
            <w:noWrap/>
            <w:vAlign w:val="center"/>
            <w:hideMark/>
          </w:tcPr>
          <w:p w14:paraId="25638A23" w14:textId="5B06E440"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Ministère de la </w:t>
            </w:r>
            <w:r w:rsidR="00743D0B" w:rsidRPr="006D457D">
              <w:rPr>
                <w:rFonts w:eastAsia="Times New Roman" w:cs="Calibri"/>
                <w:szCs w:val="24"/>
                <w:lang w:eastAsia="fr-FR"/>
              </w:rPr>
              <w:t>Santé</w:t>
            </w:r>
          </w:p>
        </w:tc>
      </w:tr>
      <w:tr w:rsidR="006D457D" w:rsidRPr="006D4B73" w14:paraId="60494B8B" w14:textId="77777777" w:rsidTr="006D4B73">
        <w:trPr>
          <w:trHeight w:val="315"/>
        </w:trPr>
        <w:tc>
          <w:tcPr>
            <w:tcW w:w="1060" w:type="dxa"/>
            <w:tcBorders>
              <w:top w:val="nil"/>
              <w:left w:val="nil"/>
              <w:bottom w:val="nil"/>
              <w:right w:val="nil"/>
            </w:tcBorders>
            <w:shd w:val="clear" w:color="auto" w:fill="auto"/>
            <w:noWrap/>
            <w:vAlign w:val="center"/>
            <w:hideMark/>
          </w:tcPr>
          <w:p w14:paraId="6C4302CB"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NC</w:t>
            </w:r>
          </w:p>
        </w:tc>
        <w:tc>
          <w:tcPr>
            <w:tcW w:w="8700" w:type="dxa"/>
            <w:tcBorders>
              <w:top w:val="nil"/>
              <w:left w:val="nil"/>
              <w:bottom w:val="nil"/>
              <w:right w:val="nil"/>
            </w:tcBorders>
            <w:shd w:val="clear" w:color="auto" w:fill="auto"/>
            <w:noWrap/>
            <w:vAlign w:val="center"/>
            <w:hideMark/>
          </w:tcPr>
          <w:p w14:paraId="61CF1443" w14:textId="759168CB"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Nouveau </w:t>
            </w:r>
            <w:r w:rsidR="00743D0B" w:rsidRPr="006D457D">
              <w:rPr>
                <w:rFonts w:eastAsia="Times New Roman" w:cs="Calibri"/>
                <w:szCs w:val="24"/>
                <w:lang w:eastAsia="fr-FR"/>
              </w:rPr>
              <w:t>Contact</w:t>
            </w:r>
          </w:p>
        </w:tc>
      </w:tr>
      <w:tr w:rsidR="006D457D" w:rsidRPr="006D4B73" w14:paraId="399CD448" w14:textId="77777777" w:rsidTr="006D4B73">
        <w:trPr>
          <w:trHeight w:val="315"/>
        </w:trPr>
        <w:tc>
          <w:tcPr>
            <w:tcW w:w="1060" w:type="dxa"/>
            <w:tcBorders>
              <w:top w:val="nil"/>
              <w:left w:val="nil"/>
              <w:bottom w:val="nil"/>
              <w:right w:val="nil"/>
            </w:tcBorders>
            <w:shd w:val="clear" w:color="auto" w:fill="auto"/>
            <w:noWrap/>
            <w:vAlign w:val="center"/>
            <w:hideMark/>
          </w:tcPr>
          <w:p w14:paraId="76E40157" w14:textId="77777777" w:rsidR="006D4B73" w:rsidRPr="006D4B73" w:rsidRDefault="006D4B73" w:rsidP="006D4B73">
            <w:pPr>
              <w:widowControl/>
              <w:spacing w:before="0" w:after="0" w:line="240" w:lineRule="auto"/>
              <w:rPr>
                <w:rFonts w:eastAsia="Times New Roman" w:cs="Calibri"/>
                <w:szCs w:val="24"/>
                <w:lang w:eastAsia="fr-FR"/>
              </w:rPr>
            </w:pPr>
            <w:proofErr w:type="spellStart"/>
            <w:r w:rsidRPr="006D4B73">
              <w:rPr>
                <w:rFonts w:eastAsia="Times New Roman" w:cs="Calibri"/>
                <w:szCs w:val="24"/>
                <w:lang w:eastAsia="fr-FR"/>
              </w:rPr>
              <w:t>ODD</w:t>
            </w:r>
            <w:proofErr w:type="spellEnd"/>
          </w:p>
        </w:tc>
        <w:tc>
          <w:tcPr>
            <w:tcW w:w="8700" w:type="dxa"/>
            <w:tcBorders>
              <w:top w:val="nil"/>
              <w:left w:val="nil"/>
              <w:bottom w:val="nil"/>
              <w:right w:val="nil"/>
            </w:tcBorders>
            <w:shd w:val="clear" w:color="auto" w:fill="auto"/>
            <w:noWrap/>
            <w:vAlign w:val="center"/>
            <w:hideMark/>
          </w:tcPr>
          <w:p w14:paraId="24144B63" w14:textId="77777777"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 xml:space="preserve">: Objectifs de Développement Durable </w:t>
            </w:r>
          </w:p>
        </w:tc>
      </w:tr>
      <w:tr w:rsidR="006D457D" w:rsidRPr="006D4B73" w14:paraId="7D11EDD7" w14:textId="77777777" w:rsidTr="006D4B73">
        <w:trPr>
          <w:trHeight w:val="315"/>
        </w:trPr>
        <w:tc>
          <w:tcPr>
            <w:tcW w:w="1060" w:type="dxa"/>
            <w:tcBorders>
              <w:top w:val="nil"/>
              <w:left w:val="nil"/>
              <w:bottom w:val="nil"/>
              <w:right w:val="nil"/>
            </w:tcBorders>
            <w:shd w:val="clear" w:color="auto" w:fill="auto"/>
            <w:noWrap/>
            <w:vAlign w:val="center"/>
            <w:hideMark/>
          </w:tcPr>
          <w:p w14:paraId="5088944A"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OMS</w:t>
            </w:r>
          </w:p>
        </w:tc>
        <w:tc>
          <w:tcPr>
            <w:tcW w:w="8700" w:type="dxa"/>
            <w:tcBorders>
              <w:top w:val="nil"/>
              <w:left w:val="nil"/>
              <w:bottom w:val="nil"/>
              <w:right w:val="nil"/>
            </w:tcBorders>
            <w:shd w:val="clear" w:color="auto" w:fill="auto"/>
            <w:noWrap/>
            <w:vAlign w:val="center"/>
            <w:hideMark/>
          </w:tcPr>
          <w:p w14:paraId="22ADB553"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Organisation Mondiale de la Santé </w:t>
            </w:r>
          </w:p>
        </w:tc>
      </w:tr>
      <w:tr w:rsidR="006D457D" w:rsidRPr="006D4B73" w14:paraId="5484E38E" w14:textId="77777777" w:rsidTr="006D4B73">
        <w:trPr>
          <w:trHeight w:val="315"/>
        </w:trPr>
        <w:tc>
          <w:tcPr>
            <w:tcW w:w="1060" w:type="dxa"/>
            <w:tcBorders>
              <w:top w:val="nil"/>
              <w:left w:val="nil"/>
              <w:bottom w:val="nil"/>
              <w:right w:val="nil"/>
            </w:tcBorders>
            <w:shd w:val="clear" w:color="auto" w:fill="auto"/>
            <w:noWrap/>
            <w:vAlign w:val="center"/>
            <w:hideMark/>
          </w:tcPr>
          <w:p w14:paraId="33DE5641"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ONG</w:t>
            </w:r>
          </w:p>
        </w:tc>
        <w:tc>
          <w:tcPr>
            <w:tcW w:w="8700" w:type="dxa"/>
            <w:tcBorders>
              <w:top w:val="nil"/>
              <w:left w:val="nil"/>
              <w:bottom w:val="nil"/>
              <w:right w:val="nil"/>
            </w:tcBorders>
            <w:shd w:val="clear" w:color="auto" w:fill="auto"/>
            <w:noWrap/>
            <w:vAlign w:val="center"/>
            <w:hideMark/>
          </w:tcPr>
          <w:p w14:paraId="739FCCE8" w14:textId="38A19B31"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Organisation </w:t>
            </w:r>
            <w:r w:rsidR="00743D0B" w:rsidRPr="006D457D">
              <w:rPr>
                <w:rFonts w:eastAsia="Times New Roman" w:cs="Calibri"/>
                <w:szCs w:val="24"/>
                <w:lang w:eastAsia="fr-FR"/>
              </w:rPr>
              <w:t>Non Gouvernementale</w:t>
            </w:r>
          </w:p>
        </w:tc>
      </w:tr>
      <w:tr w:rsidR="006D457D" w:rsidRPr="006D4B73" w14:paraId="29935656" w14:textId="77777777" w:rsidTr="006D4B73">
        <w:trPr>
          <w:trHeight w:val="315"/>
        </w:trPr>
        <w:tc>
          <w:tcPr>
            <w:tcW w:w="1060" w:type="dxa"/>
            <w:tcBorders>
              <w:top w:val="nil"/>
              <w:left w:val="nil"/>
              <w:bottom w:val="nil"/>
              <w:right w:val="nil"/>
            </w:tcBorders>
            <w:shd w:val="clear" w:color="auto" w:fill="auto"/>
            <w:noWrap/>
            <w:vAlign w:val="center"/>
            <w:hideMark/>
          </w:tcPr>
          <w:p w14:paraId="091AA16C"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PAO</w:t>
            </w:r>
          </w:p>
        </w:tc>
        <w:tc>
          <w:tcPr>
            <w:tcW w:w="8700" w:type="dxa"/>
            <w:tcBorders>
              <w:top w:val="nil"/>
              <w:left w:val="nil"/>
              <w:bottom w:val="nil"/>
              <w:right w:val="nil"/>
            </w:tcBorders>
            <w:shd w:val="clear" w:color="auto" w:fill="auto"/>
            <w:noWrap/>
            <w:vAlign w:val="center"/>
            <w:hideMark/>
          </w:tcPr>
          <w:p w14:paraId="5DAF4FC0"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Plan d’Action Opérationnel </w:t>
            </w:r>
          </w:p>
        </w:tc>
      </w:tr>
      <w:tr w:rsidR="006D457D" w:rsidRPr="006D4B73" w14:paraId="09F07AB1" w14:textId="77777777" w:rsidTr="006D4B73">
        <w:trPr>
          <w:trHeight w:val="315"/>
        </w:trPr>
        <w:tc>
          <w:tcPr>
            <w:tcW w:w="1060" w:type="dxa"/>
            <w:tcBorders>
              <w:top w:val="nil"/>
              <w:left w:val="nil"/>
              <w:bottom w:val="nil"/>
              <w:right w:val="nil"/>
            </w:tcBorders>
            <w:shd w:val="clear" w:color="auto" w:fill="auto"/>
            <w:noWrap/>
            <w:vAlign w:val="center"/>
            <w:hideMark/>
          </w:tcPr>
          <w:p w14:paraId="1463F610"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PCA</w:t>
            </w:r>
            <w:proofErr w:type="spellEnd"/>
          </w:p>
        </w:tc>
        <w:tc>
          <w:tcPr>
            <w:tcW w:w="8700" w:type="dxa"/>
            <w:tcBorders>
              <w:top w:val="nil"/>
              <w:left w:val="nil"/>
              <w:bottom w:val="nil"/>
              <w:right w:val="nil"/>
            </w:tcBorders>
            <w:shd w:val="clear" w:color="auto" w:fill="auto"/>
            <w:noWrap/>
            <w:vAlign w:val="center"/>
            <w:hideMark/>
          </w:tcPr>
          <w:p w14:paraId="59E38EF7" w14:textId="2ACB7C85"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Paquet Complémentaire d’Activité</w:t>
            </w:r>
            <w:r w:rsidR="00743D0B" w:rsidRPr="006D457D">
              <w:rPr>
                <w:rFonts w:eastAsia="Times New Roman" w:cs="Calibri"/>
                <w:szCs w:val="24"/>
                <w:lang w:eastAsia="fr-FR"/>
              </w:rPr>
              <w:t>s</w:t>
            </w:r>
          </w:p>
        </w:tc>
      </w:tr>
      <w:tr w:rsidR="006D457D" w:rsidRPr="006D4B73" w14:paraId="34D150B7" w14:textId="77777777" w:rsidTr="006D4B73">
        <w:trPr>
          <w:trHeight w:val="315"/>
        </w:trPr>
        <w:tc>
          <w:tcPr>
            <w:tcW w:w="1060" w:type="dxa"/>
            <w:tcBorders>
              <w:top w:val="nil"/>
              <w:left w:val="nil"/>
              <w:bottom w:val="nil"/>
              <w:right w:val="nil"/>
            </w:tcBorders>
            <w:shd w:val="clear" w:color="auto" w:fill="auto"/>
            <w:noWrap/>
            <w:vAlign w:val="center"/>
            <w:hideMark/>
          </w:tcPr>
          <w:p w14:paraId="699F8D6C"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PCIMNE</w:t>
            </w:r>
            <w:proofErr w:type="spellEnd"/>
          </w:p>
        </w:tc>
        <w:tc>
          <w:tcPr>
            <w:tcW w:w="8700" w:type="dxa"/>
            <w:tcBorders>
              <w:top w:val="nil"/>
              <w:left w:val="nil"/>
              <w:bottom w:val="nil"/>
              <w:right w:val="nil"/>
            </w:tcBorders>
            <w:shd w:val="clear" w:color="auto" w:fill="auto"/>
            <w:noWrap/>
            <w:vAlign w:val="center"/>
            <w:hideMark/>
          </w:tcPr>
          <w:p w14:paraId="2901601F"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Prise en Charge intégrée des Maladies du Nouveau-né et de l’Enfant  </w:t>
            </w:r>
          </w:p>
        </w:tc>
      </w:tr>
      <w:tr w:rsidR="006D457D" w:rsidRPr="006D4B73" w14:paraId="11C2402E" w14:textId="77777777" w:rsidTr="006D4B73">
        <w:trPr>
          <w:trHeight w:val="315"/>
        </w:trPr>
        <w:tc>
          <w:tcPr>
            <w:tcW w:w="1060" w:type="dxa"/>
            <w:tcBorders>
              <w:top w:val="nil"/>
              <w:left w:val="nil"/>
              <w:bottom w:val="nil"/>
              <w:right w:val="nil"/>
            </w:tcBorders>
            <w:shd w:val="clear" w:color="auto" w:fill="auto"/>
            <w:noWrap/>
            <w:vAlign w:val="center"/>
            <w:hideMark/>
          </w:tcPr>
          <w:p w14:paraId="5D1252F2" w14:textId="77777777"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PIB</w:t>
            </w:r>
          </w:p>
        </w:tc>
        <w:tc>
          <w:tcPr>
            <w:tcW w:w="8700" w:type="dxa"/>
            <w:tcBorders>
              <w:top w:val="nil"/>
              <w:left w:val="nil"/>
              <w:bottom w:val="nil"/>
              <w:right w:val="nil"/>
            </w:tcBorders>
            <w:shd w:val="clear" w:color="auto" w:fill="auto"/>
            <w:noWrap/>
            <w:vAlign w:val="center"/>
            <w:hideMark/>
          </w:tcPr>
          <w:p w14:paraId="2304FF48" w14:textId="2A6DA3A7"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 Produit Intérieur Brut</w:t>
            </w:r>
          </w:p>
        </w:tc>
      </w:tr>
      <w:tr w:rsidR="006D457D" w:rsidRPr="006D4B73" w14:paraId="427C5421" w14:textId="77777777" w:rsidTr="006D4B73">
        <w:trPr>
          <w:trHeight w:val="315"/>
        </w:trPr>
        <w:tc>
          <w:tcPr>
            <w:tcW w:w="1060" w:type="dxa"/>
            <w:tcBorders>
              <w:top w:val="nil"/>
              <w:left w:val="nil"/>
              <w:bottom w:val="nil"/>
              <w:right w:val="nil"/>
            </w:tcBorders>
            <w:shd w:val="clear" w:color="auto" w:fill="auto"/>
            <w:noWrap/>
            <w:vAlign w:val="center"/>
            <w:hideMark/>
          </w:tcPr>
          <w:p w14:paraId="6424E213"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PMA</w:t>
            </w:r>
          </w:p>
        </w:tc>
        <w:tc>
          <w:tcPr>
            <w:tcW w:w="8700" w:type="dxa"/>
            <w:tcBorders>
              <w:top w:val="nil"/>
              <w:left w:val="nil"/>
              <w:bottom w:val="nil"/>
              <w:right w:val="nil"/>
            </w:tcBorders>
            <w:shd w:val="clear" w:color="auto" w:fill="auto"/>
            <w:noWrap/>
            <w:vAlign w:val="center"/>
            <w:hideMark/>
          </w:tcPr>
          <w:p w14:paraId="7601EA09"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Paquet Minimum d’Activités </w:t>
            </w:r>
          </w:p>
        </w:tc>
      </w:tr>
      <w:tr w:rsidR="006D457D" w:rsidRPr="006D4B73" w14:paraId="05DC42FD" w14:textId="77777777" w:rsidTr="006D4B73">
        <w:trPr>
          <w:trHeight w:val="315"/>
        </w:trPr>
        <w:tc>
          <w:tcPr>
            <w:tcW w:w="1060" w:type="dxa"/>
            <w:tcBorders>
              <w:top w:val="nil"/>
              <w:left w:val="nil"/>
              <w:bottom w:val="nil"/>
              <w:right w:val="nil"/>
            </w:tcBorders>
            <w:shd w:val="clear" w:color="auto" w:fill="auto"/>
            <w:noWrap/>
            <w:vAlign w:val="center"/>
            <w:hideMark/>
          </w:tcPr>
          <w:p w14:paraId="36B44F61"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PNDS</w:t>
            </w:r>
            <w:proofErr w:type="spellEnd"/>
          </w:p>
        </w:tc>
        <w:tc>
          <w:tcPr>
            <w:tcW w:w="8700" w:type="dxa"/>
            <w:tcBorders>
              <w:top w:val="nil"/>
              <w:left w:val="nil"/>
              <w:bottom w:val="nil"/>
              <w:right w:val="nil"/>
            </w:tcBorders>
            <w:shd w:val="clear" w:color="auto" w:fill="auto"/>
            <w:noWrap/>
            <w:vAlign w:val="center"/>
            <w:hideMark/>
          </w:tcPr>
          <w:p w14:paraId="3E560A77"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Plan National de Développement Sanitaire </w:t>
            </w:r>
          </w:p>
        </w:tc>
      </w:tr>
      <w:tr w:rsidR="006D457D" w:rsidRPr="006D4B73" w14:paraId="509BFAE8" w14:textId="77777777" w:rsidTr="006D4B73">
        <w:trPr>
          <w:trHeight w:val="315"/>
        </w:trPr>
        <w:tc>
          <w:tcPr>
            <w:tcW w:w="1060" w:type="dxa"/>
            <w:tcBorders>
              <w:top w:val="nil"/>
              <w:left w:val="nil"/>
              <w:bottom w:val="nil"/>
              <w:right w:val="nil"/>
            </w:tcBorders>
            <w:shd w:val="clear" w:color="auto" w:fill="auto"/>
            <w:noWrap/>
            <w:vAlign w:val="center"/>
            <w:hideMark/>
          </w:tcPr>
          <w:p w14:paraId="6E028986"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PS</w:t>
            </w:r>
          </w:p>
        </w:tc>
        <w:tc>
          <w:tcPr>
            <w:tcW w:w="8700" w:type="dxa"/>
            <w:tcBorders>
              <w:top w:val="nil"/>
              <w:left w:val="nil"/>
              <w:bottom w:val="nil"/>
              <w:right w:val="nil"/>
            </w:tcBorders>
            <w:shd w:val="clear" w:color="auto" w:fill="auto"/>
            <w:noWrap/>
            <w:vAlign w:val="center"/>
            <w:hideMark/>
          </w:tcPr>
          <w:p w14:paraId="7262BA8F"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Poste de Santé</w:t>
            </w:r>
          </w:p>
        </w:tc>
      </w:tr>
      <w:tr w:rsidR="006D457D" w:rsidRPr="006D4B73" w14:paraId="44E5300F" w14:textId="77777777" w:rsidTr="006D4B73">
        <w:trPr>
          <w:trHeight w:val="315"/>
        </w:trPr>
        <w:tc>
          <w:tcPr>
            <w:tcW w:w="1060" w:type="dxa"/>
            <w:tcBorders>
              <w:top w:val="nil"/>
              <w:left w:val="nil"/>
              <w:bottom w:val="nil"/>
              <w:right w:val="nil"/>
            </w:tcBorders>
            <w:shd w:val="clear" w:color="auto" w:fill="auto"/>
            <w:noWrap/>
            <w:vAlign w:val="center"/>
            <w:hideMark/>
          </w:tcPr>
          <w:p w14:paraId="0AF572F9"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PTF</w:t>
            </w:r>
            <w:proofErr w:type="spellEnd"/>
          </w:p>
        </w:tc>
        <w:tc>
          <w:tcPr>
            <w:tcW w:w="8700" w:type="dxa"/>
            <w:tcBorders>
              <w:top w:val="nil"/>
              <w:left w:val="nil"/>
              <w:bottom w:val="nil"/>
              <w:right w:val="nil"/>
            </w:tcBorders>
            <w:shd w:val="clear" w:color="auto" w:fill="auto"/>
            <w:noWrap/>
            <w:vAlign w:val="center"/>
            <w:hideMark/>
          </w:tcPr>
          <w:p w14:paraId="05486206" w14:textId="1EF6303E"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Partenaire </w:t>
            </w:r>
            <w:r w:rsidR="00743D0B" w:rsidRPr="006D457D">
              <w:rPr>
                <w:rFonts w:eastAsia="Times New Roman" w:cs="Calibri"/>
                <w:szCs w:val="24"/>
                <w:lang w:eastAsia="fr-FR"/>
              </w:rPr>
              <w:t xml:space="preserve">Technique </w:t>
            </w:r>
            <w:r w:rsidRPr="006D4B73">
              <w:rPr>
                <w:rFonts w:eastAsia="Times New Roman" w:cs="Calibri"/>
                <w:szCs w:val="24"/>
                <w:lang w:eastAsia="fr-FR"/>
              </w:rPr>
              <w:t xml:space="preserve">et </w:t>
            </w:r>
            <w:r w:rsidR="00743D0B" w:rsidRPr="006D457D">
              <w:rPr>
                <w:rFonts w:eastAsia="Times New Roman" w:cs="Calibri"/>
                <w:szCs w:val="24"/>
                <w:lang w:eastAsia="fr-FR"/>
              </w:rPr>
              <w:t>Financier</w:t>
            </w:r>
          </w:p>
        </w:tc>
      </w:tr>
      <w:tr w:rsidR="006D457D" w:rsidRPr="006D4B73" w14:paraId="142B7427" w14:textId="77777777" w:rsidTr="006D4B73">
        <w:trPr>
          <w:trHeight w:val="315"/>
        </w:trPr>
        <w:tc>
          <w:tcPr>
            <w:tcW w:w="1060" w:type="dxa"/>
            <w:tcBorders>
              <w:top w:val="nil"/>
              <w:left w:val="nil"/>
              <w:bottom w:val="nil"/>
              <w:right w:val="nil"/>
            </w:tcBorders>
            <w:shd w:val="clear" w:color="auto" w:fill="auto"/>
            <w:noWrap/>
            <w:vAlign w:val="center"/>
            <w:hideMark/>
          </w:tcPr>
          <w:p w14:paraId="27718BEA"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PTME</w:t>
            </w:r>
            <w:proofErr w:type="spellEnd"/>
          </w:p>
        </w:tc>
        <w:tc>
          <w:tcPr>
            <w:tcW w:w="8700" w:type="dxa"/>
            <w:tcBorders>
              <w:top w:val="nil"/>
              <w:left w:val="nil"/>
              <w:bottom w:val="nil"/>
              <w:right w:val="nil"/>
            </w:tcBorders>
            <w:shd w:val="clear" w:color="auto" w:fill="auto"/>
            <w:noWrap/>
            <w:vAlign w:val="center"/>
            <w:hideMark/>
          </w:tcPr>
          <w:p w14:paraId="4A114907" w14:textId="163D6A64"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Prévention de la </w:t>
            </w:r>
            <w:r w:rsidR="00743D0B" w:rsidRPr="006D457D">
              <w:rPr>
                <w:rFonts w:eastAsia="Times New Roman" w:cs="Calibri"/>
                <w:szCs w:val="24"/>
                <w:lang w:eastAsia="fr-FR"/>
              </w:rPr>
              <w:t xml:space="preserve">Transmission Mère-Enfant </w:t>
            </w:r>
            <w:r w:rsidRPr="006D4B73">
              <w:rPr>
                <w:rFonts w:eastAsia="Times New Roman" w:cs="Calibri"/>
                <w:szCs w:val="24"/>
                <w:lang w:eastAsia="fr-FR"/>
              </w:rPr>
              <w:t>du VIH/sida</w:t>
            </w:r>
          </w:p>
        </w:tc>
      </w:tr>
      <w:tr w:rsidR="006D457D" w:rsidRPr="006D4B73" w14:paraId="42918C3D" w14:textId="77777777" w:rsidTr="006D4B73">
        <w:trPr>
          <w:trHeight w:val="375"/>
        </w:trPr>
        <w:tc>
          <w:tcPr>
            <w:tcW w:w="1060" w:type="dxa"/>
            <w:tcBorders>
              <w:top w:val="nil"/>
              <w:left w:val="nil"/>
              <w:bottom w:val="nil"/>
              <w:right w:val="nil"/>
            </w:tcBorders>
            <w:shd w:val="clear" w:color="auto" w:fill="auto"/>
            <w:noWrap/>
            <w:vAlign w:val="center"/>
            <w:hideMark/>
          </w:tcPr>
          <w:p w14:paraId="6213B124" w14:textId="77777777" w:rsidR="006D4B73" w:rsidRPr="006D4B73" w:rsidRDefault="006D4B73" w:rsidP="006D4B73">
            <w:pPr>
              <w:widowControl/>
              <w:spacing w:before="0" w:after="0" w:line="240" w:lineRule="auto"/>
              <w:rPr>
                <w:rFonts w:eastAsia="Times New Roman" w:cs="Calibri"/>
                <w:szCs w:val="24"/>
                <w:lang w:eastAsia="fr-FR"/>
              </w:rPr>
            </w:pPr>
            <w:proofErr w:type="spellStart"/>
            <w:r w:rsidRPr="006D4B73">
              <w:rPr>
                <w:rFonts w:eastAsia="Times New Roman" w:cs="Calibri"/>
                <w:szCs w:val="24"/>
                <w:lang w:eastAsia="fr-FR"/>
              </w:rPr>
              <w:t>REMUO</w:t>
            </w:r>
            <w:proofErr w:type="spellEnd"/>
          </w:p>
        </w:tc>
        <w:tc>
          <w:tcPr>
            <w:tcW w:w="8700" w:type="dxa"/>
            <w:tcBorders>
              <w:top w:val="nil"/>
              <w:left w:val="nil"/>
              <w:bottom w:val="nil"/>
              <w:right w:val="nil"/>
            </w:tcBorders>
            <w:shd w:val="clear" w:color="auto" w:fill="auto"/>
            <w:noWrap/>
            <w:vAlign w:val="center"/>
            <w:hideMark/>
          </w:tcPr>
          <w:p w14:paraId="287F9C07" w14:textId="71B7D7CD"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 Résultats de l'</w:t>
            </w:r>
            <w:r w:rsidR="00743D0B" w:rsidRPr="006D457D">
              <w:rPr>
                <w:rFonts w:eastAsia="Times New Roman" w:cs="Calibri"/>
                <w:szCs w:val="24"/>
                <w:lang w:eastAsia="fr-FR"/>
              </w:rPr>
              <w:t>E</w:t>
            </w:r>
            <w:r w:rsidRPr="006D4B73">
              <w:rPr>
                <w:rFonts w:eastAsia="Times New Roman" w:cs="Calibri"/>
                <w:szCs w:val="24"/>
                <w:lang w:eastAsia="fr-FR"/>
              </w:rPr>
              <w:t>nquête sur l'</w:t>
            </w:r>
            <w:r w:rsidR="00743D0B" w:rsidRPr="006D457D">
              <w:rPr>
                <w:rFonts w:eastAsia="Times New Roman" w:cs="Calibri"/>
                <w:szCs w:val="24"/>
                <w:lang w:eastAsia="fr-FR"/>
              </w:rPr>
              <w:t>U</w:t>
            </w:r>
            <w:r w:rsidRPr="006D4B73">
              <w:rPr>
                <w:rFonts w:eastAsia="Times New Roman" w:cs="Calibri"/>
                <w:szCs w:val="24"/>
                <w:lang w:eastAsia="fr-FR"/>
              </w:rPr>
              <w:t xml:space="preserve">rbanisation et les </w:t>
            </w:r>
            <w:r w:rsidR="00743D0B" w:rsidRPr="006D457D">
              <w:rPr>
                <w:rFonts w:eastAsia="Times New Roman" w:cs="Calibri"/>
                <w:szCs w:val="24"/>
                <w:lang w:eastAsia="fr-FR"/>
              </w:rPr>
              <w:t xml:space="preserve">Migrations </w:t>
            </w:r>
            <w:r w:rsidRPr="006D4B73">
              <w:rPr>
                <w:rFonts w:eastAsia="Times New Roman" w:cs="Calibri"/>
                <w:szCs w:val="24"/>
                <w:lang w:eastAsia="fr-FR"/>
              </w:rPr>
              <w:t>en Afrique de l'Ouest</w:t>
            </w:r>
          </w:p>
        </w:tc>
      </w:tr>
      <w:tr w:rsidR="006D457D" w:rsidRPr="006D4B73" w14:paraId="0DB5F6E4" w14:textId="77777777" w:rsidTr="006D4B73">
        <w:trPr>
          <w:trHeight w:val="315"/>
        </w:trPr>
        <w:tc>
          <w:tcPr>
            <w:tcW w:w="1060" w:type="dxa"/>
            <w:tcBorders>
              <w:top w:val="nil"/>
              <w:left w:val="nil"/>
              <w:bottom w:val="nil"/>
              <w:right w:val="nil"/>
            </w:tcBorders>
            <w:shd w:val="clear" w:color="auto" w:fill="auto"/>
            <w:noWrap/>
            <w:vAlign w:val="center"/>
            <w:hideMark/>
          </w:tcPr>
          <w:p w14:paraId="64BDD5E0"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RGPH</w:t>
            </w:r>
            <w:proofErr w:type="spellEnd"/>
          </w:p>
        </w:tc>
        <w:tc>
          <w:tcPr>
            <w:tcW w:w="8700" w:type="dxa"/>
            <w:tcBorders>
              <w:top w:val="nil"/>
              <w:left w:val="nil"/>
              <w:bottom w:val="nil"/>
              <w:right w:val="nil"/>
            </w:tcBorders>
            <w:shd w:val="clear" w:color="auto" w:fill="auto"/>
            <w:noWrap/>
            <w:vAlign w:val="center"/>
            <w:hideMark/>
          </w:tcPr>
          <w:p w14:paraId="61C2EAC8"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Recensement Général de la Population et de l‘Habitation </w:t>
            </w:r>
          </w:p>
        </w:tc>
      </w:tr>
      <w:tr w:rsidR="006D457D" w:rsidRPr="006D4B73" w14:paraId="2B3E6727" w14:textId="77777777" w:rsidTr="006D4B73">
        <w:trPr>
          <w:trHeight w:val="315"/>
        </w:trPr>
        <w:tc>
          <w:tcPr>
            <w:tcW w:w="1060" w:type="dxa"/>
            <w:tcBorders>
              <w:top w:val="nil"/>
              <w:left w:val="nil"/>
              <w:bottom w:val="nil"/>
              <w:right w:val="nil"/>
            </w:tcBorders>
            <w:shd w:val="clear" w:color="auto" w:fill="auto"/>
            <w:noWrap/>
            <w:vAlign w:val="center"/>
            <w:hideMark/>
          </w:tcPr>
          <w:p w14:paraId="18CD4273"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SAF</w:t>
            </w:r>
            <w:proofErr w:type="spellEnd"/>
          </w:p>
        </w:tc>
        <w:tc>
          <w:tcPr>
            <w:tcW w:w="8700" w:type="dxa"/>
            <w:tcBorders>
              <w:top w:val="nil"/>
              <w:left w:val="nil"/>
              <w:bottom w:val="nil"/>
              <w:right w:val="nil"/>
            </w:tcBorders>
            <w:shd w:val="clear" w:color="auto" w:fill="auto"/>
            <w:noWrap/>
            <w:vAlign w:val="center"/>
            <w:hideMark/>
          </w:tcPr>
          <w:p w14:paraId="157B0368" w14:textId="59E03061"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Service des </w:t>
            </w:r>
            <w:r w:rsidR="00743D0B" w:rsidRPr="006D457D">
              <w:rPr>
                <w:rFonts w:eastAsia="Times New Roman" w:cs="Calibri"/>
                <w:szCs w:val="24"/>
                <w:lang w:eastAsia="fr-FR"/>
              </w:rPr>
              <w:t xml:space="preserve">Affaires Administratives </w:t>
            </w:r>
            <w:r w:rsidRPr="006D4B73">
              <w:rPr>
                <w:rFonts w:eastAsia="Times New Roman" w:cs="Calibri"/>
                <w:szCs w:val="24"/>
                <w:lang w:eastAsia="fr-FR"/>
              </w:rPr>
              <w:t xml:space="preserve">et </w:t>
            </w:r>
            <w:r w:rsidR="00743D0B" w:rsidRPr="006D457D">
              <w:rPr>
                <w:rFonts w:eastAsia="Times New Roman" w:cs="Calibri"/>
                <w:szCs w:val="24"/>
                <w:lang w:eastAsia="fr-FR"/>
              </w:rPr>
              <w:t>Financières</w:t>
            </w:r>
          </w:p>
        </w:tc>
      </w:tr>
      <w:tr w:rsidR="006D457D" w:rsidRPr="006D4B73" w14:paraId="076B7F8C" w14:textId="77777777" w:rsidTr="006D4B73">
        <w:trPr>
          <w:trHeight w:val="315"/>
        </w:trPr>
        <w:tc>
          <w:tcPr>
            <w:tcW w:w="1060" w:type="dxa"/>
            <w:tcBorders>
              <w:top w:val="nil"/>
              <w:left w:val="nil"/>
              <w:bottom w:val="nil"/>
              <w:right w:val="nil"/>
            </w:tcBorders>
            <w:shd w:val="clear" w:color="auto" w:fill="auto"/>
            <w:noWrap/>
            <w:vAlign w:val="center"/>
            <w:hideMark/>
          </w:tcPr>
          <w:p w14:paraId="140809C1"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SIDA</w:t>
            </w:r>
          </w:p>
        </w:tc>
        <w:tc>
          <w:tcPr>
            <w:tcW w:w="8700" w:type="dxa"/>
            <w:tcBorders>
              <w:top w:val="nil"/>
              <w:left w:val="nil"/>
              <w:bottom w:val="nil"/>
              <w:right w:val="nil"/>
            </w:tcBorders>
            <w:shd w:val="clear" w:color="auto" w:fill="auto"/>
            <w:noWrap/>
            <w:vAlign w:val="center"/>
            <w:hideMark/>
          </w:tcPr>
          <w:p w14:paraId="136AE8A3" w14:textId="1536CEAC"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Syndrome de l’</w:t>
            </w:r>
            <w:r w:rsidR="00743D0B" w:rsidRPr="006D457D">
              <w:rPr>
                <w:rFonts w:eastAsia="Times New Roman" w:cs="Calibri"/>
                <w:szCs w:val="24"/>
                <w:lang w:eastAsia="fr-FR"/>
              </w:rPr>
              <w:t>I</w:t>
            </w:r>
            <w:r w:rsidRPr="006D4B73">
              <w:rPr>
                <w:rFonts w:eastAsia="Times New Roman" w:cs="Calibri"/>
                <w:szCs w:val="24"/>
                <w:lang w:eastAsia="fr-FR"/>
              </w:rPr>
              <w:t xml:space="preserve">mmunodéficience </w:t>
            </w:r>
            <w:r w:rsidR="00743D0B" w:rsidRPr="006D457D">
              <w:rPr>
                <w:rFonts w:eastAsia="Times New Roman" w:cs="Calibri"/>
                <w:szCs w:val="24"/>
                <w:lang w:eastAsia="fr-FR"/>
              </w:rPr>
              <w:t>Acquise</w:t>
            </w:r>
          </w:p>
        </w:tc>
      </w:tr>
      <w:tr w:rsidR="006D457D" w:rsidRPr="006D4B73" w14:paraId="68DF1CE6" w14:textId="77777777" w:rsidTr="006D4B73">
        <w:trPr>
          <w:trHeight w:val="315"/>
        </w:trPr>
        <w:tc>
          <w:tcPr>
            <w:tcW w:w="1060" w:type="dxa"/>
            <w:tcBorders>
              <w:top w:val="nil"/>
              <w:left w:val="nil"/>
              <w:bottom w:val="nil"/>
              <w:right w:val="nil"/>
            </w:tcBorders>
            <w:shd w:val="clear" w:color="auto" w:fill="auto"/>
            <w:noWrap/>
            <w:vAlign w:val="center"/>
            <w:hideMark/>
          </w:tcPr>
          <w:p w14:paraId="4208D887" w14:textId="77777777" w:rsidR="006D4B73" w:rsidRPr="006D4B73" w:rsidRDefault="006D4B73" w:rsidP="006D4B73">
            <w:pPr>
              <w:widowControl/>
              <w:spacing w:before="0" w:after="0" w:line="240" w:lineRule="auto"/>
              <w:jc w:val="left"/>
              <w:rPr>
                <w:rFonts w:eastAsia="Times New Roman" w:cs="Calibri"/>
                <w:szCs w:val="24"/>
                <w:lang w:eastAsia="fr-FR"/>
              </w:rPr>
            </w:pPr>
            <w:proofErr w:type="spellStart"/>
            <w:r w:rsidRPr="006D4B73">
              <w:rPr>
                <w:rFonts w:eastAsia="Times New Roman" w:cs="Calibri"/>
                <w:szCs w:val="24"/>
                <w:lang w:eastAsia="fr-FR"/>
              </w:rPr>
              <w:t>SNIS</w:t>
            </w:r>
            <w:proofErr w:type="spellEnd"/>
          </w:p>
        </w:tc>
        <w:tc>
          <w:tcPr>
            <w:tcW w:w="8700" w:type="dxa"/>
            <w:tcBorders>
              <w:top w:val="nil"/>
              <w:left w:val="nil"/>
              <w:bottom w:val="nil"/>
              <w:right w:val="nil"/>
            </w:tcBorders>
            <w:shd w:val="clear" w:color="auto" w:fill="auto"/>
            <w:noWrap/>
            <w:vAlign w:val="center"/>
            <w:hideMark/>
          </w:tcPr>
          <w:p w14:paraId="6867957F"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Système National d’Information Sanitaire </w:t>
            </w:r>
          </w:p>
        </w:tc>
      </w:tr>
      <w:tr w:rsidR="006D457D" w:rsidRPr="006D4B73" w14:paraId="3E0E00A4" w14:textId="77777777" w:rsidTr="006D4B73">
        <w:trPr>
          <w:trHeight w:val="315"/>
        </w:trPr>
        <w:tc>
          <w:tcPr>
            <w:tcW w:w="1060" w:type="dxa"/>
            <w:tcBorders>
              <w:top w:val="nil"/>
              <w:left w:val="nil"/>
              <w:bottom w:val="nil"/>
              <w:right w:val="nil"/>
            </w:tcBorders>
            <w:shd w:val="clear" w:color="auto" w:fill="auto"/>
            <w:noWrap/>
            <w:vAlign w:val="center"/>
            <w:hideMark/>
          </w:tcPr>
          <w:p w14:paraId="526495BF" w14:textId="77777777" w:rsidR="006D4B73" w:rsidRPr="006D4B73" w:rsidRDefault="006D4B73" w:rsidP="006D4B73">
            <w:pPr>
              <w:widowControl/>
              <w:spacing w:before="0" w:after="0" w:line="240" w:lineRule="auto"/>
              <w:rPr>
                <w:rFonts w:eastAsia="Times New Roman" w:cs="Calibri"/>
                <w:szCs w:val="24"/>
                <w:lang w:eastAsia="fr-FR"/>
              </w:rPr>
            </w:pPr>
            <w:proofErr w:type="spellStart"/>
            <w:r w:rsidRPr="006D4B73">
              <w:rPr>
                <w:rFonts w:eastAsia="Times New Roman" w:cs="Calibri"/>
                <w:szCs w:val="24"/>
                <w:lang w:eastAsia="fr-FR"/>
              </w:rPr>
              <w:t>SOUC</w:t>
            </w:r>
            <w:proofErr w:type="spellEnd"/>
          </w:p>
        </w:tc>
        <w:tc>
          <w:tcPr>
            <w:tcW w:w="8700" w:type="dxa"/>
            <w:tcBorders>
              <w:top w:val="nil"/>
              <w:left w:val="nil"/>
              <w:bottom w:val="nil"/>
              <w:right w:val="nil"/>
            </w:tcBorders>
            <w:shd w:val="clear" w:color="auto" w:fill="auto"/>
            <w:noWrap/>
            <w:vAlign w:val="center"/>
            <w:hideMark/>
          </w:tcPr>
          <w:p w14:paraId="77D19354" w14:textId="77777777"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 xml:space="preserve">: Soins Obstétricaux d’Urgence Complets  </w:t>
            </w:r>
          </w:p>
        </w:tc>
      </w:tr>
      <w:tr w:rsidR="006D457D" w:rsidRPr="006D4B73" w14:paraId="167FFBE3" w14:textId="77777777" w:rsidTr="006D4B73">
        <w:trPr>
          <w:trHeight w:val="315"/>
        </w:trPr>
        <w:tc>
          <w:tcPr>
            <w:tcW w:w="1060" w:type="dxa"/>
            <w:tcBorders>
              <w:top w:val="nil"/>
              <w:left w:val="nil"/>
              <w:bottom w:val="nil"/>
              <w:right w:val="nil"/>
            </w:tcBorders>
            <w:shd w:val="clear" w:color="auto" w:fill="auto"/>
            <w:noWrap/>
            <w:vAlign w:val="center"/>
            <w:hideMark/>
          </w:tcPr>
          <w:p w14:paraId="3A3B689F"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TPI</w:t>
            </w:r>
          </w:p>
        </w:tc>
        <w:tc>
          <w:tcPr>
            <w:tcW w:w="8700" w:type="dxa"/>
            <w:tcBorders>
              <w:top w:val="nil"/>
              <w:left w:val="nil"/>
              <w:bottom w:val="nil"/>
              <w:right w:val="nil"/>
            </w:tcBorders>
            <w:shd w:val="clear" w:color="auto" w:fill="auto"/>
            <w:noWrap/>
            <w:vAlign w:val="center"/>
            <w:hideMark/>
          </w:tcPr>
          <w:p w14:paraId="14297BD3"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Traitement Préventif Intermittent  </w:t>
            </w:r>
          </w:p>
        </w:tc>
      </w:tr>
      <w:tr w:rsidR="006D457D" w:rsidRPr="006D4B73" w14:paraId="5AE41B0D" w14:textId="77777777" w:rsidTr="006D4B73">
        <w:trPr>
          <w:trHeight w:val="315"/>
        </w:trPr>
        <w:tc>
          <w:tcPr>
            <w:tcW w:w="1060" w:type="dxa"/>
            <w:tcBorders>
              <w:top w:val="nil"/>
              <w:left w:val="nil"/>
              <w:bottom w:val="nil"/>
              <w:right w:val="nil"/>
            </w:tcBorders>
            <w:shd w:val="clear" w:color="auto" w:fill="auto"/>
            <w:noWrap/>
            <w:vAlign w:val="center"/>
            <w:hideMark/>
          </w:tcPr>
          <w:p w14:paraId="46EEE9B6" w14:textId="77777777" w:rsidR="006D4B73" w:rsidRPr="006D4B73" w:rsidRDefault="006D4B73" w:rsidP="006D4B73">
            <w:pPr>
              <w:widowControl/>
              <w:spacing w:before="0" w:after="0" w:line="240" w:lineRule="auto"/>
              <w:rPr>
                <w:rFonts w:eastAsia="Times New Roman" w:cs="Calibri"/>
                <w:szCs w:val="24"/>
                <w:lang w:eastAsia="fr-FR"/>
              </w:rPr>
            </w:pPr>
            <w:proofErr w:type="spellStart"/>
            <w:r w:rsidRPr="006D4B73">
              <w:rPr>
                <w:rFonts w:eastAsia="Times New Roman" w:cs="Calibri"/>
                <w:szCs w:val="24"/>
                <w:lang w:eastAsia="fr-FR"/>
              </w:rPr>
              <w:t>TPM</w:t>
            </w:r>
            <w:proofErr w:type="spellEnd"/>
            <w:r w:rsidRPr="006D4B73">
              <w:rPr>
                <w:rFonts w:eastAsia="Times New Roman" w:cs="Calibri"/>
                <w:szCs w:val="24"/>
                <w:lang w:eastAsia="fr-FR"/>
              </w:rPr>
              <w:t>+</w:t>
            </w:r>
          </w:p>
        </w:tc>
        <w:tc>
          <w:tcPr>
            <w:tcW w:w="8700" w:type="dxa"/>
            <w:tcBorders>
              <w:top w:val="nil"/>
              <w:left w:val="nil"/>
              <w:bottom w:val="nil"/>
              <w:right w:val="nil"/>
            </w:tcBorders>
            <w:shd w:val="clear" w:color="auto" w:fill="auto"/>
            <w:noWrap/>
            <w:vAlign w:val="center"/>
            <w:hideMark/>
          </w:tcPr>
          <w:p w14:paraId="5688D870" w14:textId="011C6111"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 xml:space="preserve">: Tuberculose Pulmonaire à Microscopie </w:t>
            </w:r>
            <w:r w:rsidR="00743D0B" w:rsidRPr="006D457D">
              <w:rPr>
                <w:rFonts w:eastAsia="Times New Roman" w:cs="Calibri"/>
                <w:szCs w:val="24"/>
                <w:lang w:eastAsia="fr-FR"/>
              </w:rPr>
              <w:t>P</w:t>
            </w:r>
            <w:r w:rsidRPr="006D4B73">
              <w:rPr>
                <w:rFonts w:eastAsia="Times New Roman" w:cs="Calibri"/>
                <w:szCs w:val="24"/>
                <w:lang w:eastAsia="fr-FR"/>
              </w:rPr>
              <w:t>ositive</w:t>
            </w:r>
          </w:p>
        </w:tc>
      </w:tr>
      <w:tr w:rsidR="006D457D" w:rsidRPr="006D4B73" w14:paraId="19B669A9" w14:textId="77777777" w:rsidTr="006D4B73">
        <w:trPr>
          <w:trHeight w:val="315"/>
        </w:trPr>
        <w:tc>
          <w:tcPr>
            <w:tcW w:w="1060" w:type="dxa"/>
            <w:tcBorders>
              <w:top w:val="nil"/>
              <w:left w:val="nil"/>
              <w:bottom w:val="nil"/>
              <w:right w:val="nil"/>
            </w:tcBorders>
            <w:shd w:val="clear" w:color="auto" w:fill="auto"/>
            <w:noWrap/>
            <w:vAlign w:val="center"/>
            <w:hideMark/>
          </w:tcPr>
          <w:p w14:paraId="7BEE9DCE"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UNICEF</w:t>
            </w:r>
          </w:p>
        </w:tc>
        <w:tc>
          <w:tcPr>
            <w:tcW w:w="8700" w:type="dxa"/>
            <w:tcBorders>
              <w:top w:val="nil"/>
              <w:left w:val="nil"/>
              <w:bottom w:val="nil"/>
              <w:right w:val="nil"/>
            </w:tcBorders>
            <w:shd w:val="clear" w:color="auto" w:fill="auto"/>
            <w:noWrap/>
            <w:vAlign w:val="center"/>
            <w:hideMark/>
          </w:tcPr>
          <w:p w14:paraId="0C28F11C" w14:textId="71FCDB60"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Fonds des </w:t>
            </w:r>
            <w:r w:rsidR="00743D0B" w:rsidRPr="006D457D">
              <w:rPr>
                <w:rFonts w:eastAsia="Times New Roman" w:cs="Calibri"/>
                <w:szCs w:val="24"/>
                <w:lang w:eastAsia="fr-FR"/>
              </w:rPr>
              <w:t xml:space="preserve">Nations Unies </w:t>
            </w:r>
            <w:r w:rsidRPr="006D4B73">
              <w:rPr>
                <w:rFonts w:eastAsia="Times New Roman" w:cs="Calibri"/>
                <w:szCs w:val="24"/>
                <w:lang w:eastAsia="fr-FR"/>
              </w:rPr>
              <w:t>pour l’enfance</w:t>
            </w:r>
          </w:p>
        </w:tc>
      </w:tr>
      <w:tr w:rsidR="006D457D" w:rsidRPr="006D4B73" w14:paraId="1B5B9083" w14:textId="77777777" w:rsidTr="006D4B73">
        <w:trPr>
          <w:trHeight w:val="315"/>
        </w:trPr>
        <w:tc>
          <w:tcPr>
            <w:tcW w:w="1060" w:type="dxa"/>
            <w:tcBorders>
              <w:top w:val="nil"/>
              <w:left w:val="nil"/>
              <w:bottom w:val="nil"/>
              <w:right w:val="nil"/>
            </w:tcBorders>
            <w:shd w:val="clear" w:color="auto" w:fill="auto"/>
            <w:noWrap/>
            <w:vAlign w:val="center"/>
            <w:hideMark/>
          </w:tcPr>
          <w:p w14:paraId="06002B80" w14:textId="77777777"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USD</w:t>
            </w:r>
          </w:p>
        </w:tc>
        <w:tc>
          <w:tcPr>
            <w:tcW w:w="8700" w:type="dxa"/>
            <w:tcBorders>
              <w:top w:val="nil"/>
              <w:left w:val="nil"/>
              <w:bottom w:val="nil"/>
              <w:right w:val="nil"/>
            </w:tcBorders>
            <w:shd w:val="clear" w:color="auto" w:fill="auto"/>
            <w:noWrap/>
            <w:vAlign w:val="center"/>
            <w:hideMark/>
          </w:tcPr>
          <w:p w14:paraId="4F917C54" w14:textId="38C46D38" w:rsidR="006D4B73" w:rsidRPr="006D4B73" w:rsidRDefault="006D4B73" w:rsidP="006D4B73">
            <w:pPr>
              <w:widowControl/>
              <w:spacing w:before="0" w:after="0" w:line="240" w:lineRule="auto"/>
              <w:rPr>
                <w:rFonts w:eastAsia="Times New Roman" w:cs="Calibri"/>
                <w:szCs w:val="24"/>
                <w:lang w:eastAsia="fr-FR"/>
              </w:rPr>
            </w:pPr>
            <w:r w:rsidRPr="006D4B73">
              <w:rPr>
                <w:rFonts w:eastAsia="Times New Roman" w:cs="Calibri"/>
                <w:szCs w:val="24"/>
                <w:lang w:eastAsia="fr-FR"/>
              </w:rPr>
              <w:t xml:space="preserve">: United State Dollar </w:t>
            </w:r>
          </w:p>
        </w:tc>
      </w:tr>
      <w:tr w:rsidR="006D457D" w:rsidRPr="006D4B73" w14:paraId="124F07ED" w14:textId="77777777" w:rsidTr="006D4B73">
        <w:trPr>
          <w:trHeight w:val="315"/>
        </w:trPr>
        <w:tc>
          <w:tcPr>
            <w:tcW w:w="1060" w:type="dxa"/>
            <w:tcBorders>
              <w:top w:val="nil"/>
              <w:left w:val="nil"/>
              <w:bottom w:val="nil"/>
              <w:right w:val="nil"/>
            </w:tcBorders>
            <w:shd w:val="clear" w:color="auto" w:fill="auto"/>
            <w:noWrap/>
            <w:vAlign w:val="center"/>
            <w:hideMark/>
          </w:tcPr>
          <w:p w14:paraId="22C3BDF2"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VAR</w:t>
            </w:r>
          </w:p>
        </w:tc>
        <w:tc>
          <w:tcPr>
            <w:tcW w:w="8700" w:type="dxa"/>
            <w:tcBorders>
              <w:top w:val="nil"/>
              <w:left w:val="nil"/>
              <w:bottom w:val="nil"/>
              <w:right w:val="nil"/>
            </w:tcBorders>
            <w:shd w:val="clear" w:color="auto" w:fill="auto"/>
            <w:noWrap/>
            <w:vAlign w:val="center"/>
            <w:hideMark/>
          </w:tcPr>
          <w:p w14:paraId="4A5AA3E9"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xml:space="preserve">: Vaccin Anti Rougeoleux </w:t>
            </w:r>
          </w:p>
        </w:tc>
      </w:tr>
      <w:tr w:rsidR="006D457D" w:rsidRPr="006D4B73" w14:paraId="20E106C2" w14:textId="77777777" w:rsidTr="006D4B73">
        <w:trPr>
          <w:trHeight w:val="315"/>
        </w:trPr>
        <w:tc>
          <w:tcPr>
            <w:tcW w:w="1060" w:type="dxa"/>
            <w:tcBorders>
              <w:top w:val="nil"/>
              <w:left w:val="nil"/>
              <w:bottom w:val="nil"/>
              <w:right w:val="nil"/>
            </w:tcBorders>
            <w:shd w:val="clear" w:color="auto" w:fill="auto"/>
            <w:noWrap/>
            <w:vAlign w:val="center"/>
            <w:hideMark/>
          </w:tcPr>
          <w:p w14:paraId="7CEFC03F"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VIH</w:t>
            </w:r>
          </w:p>
        </w:tc>
        <w:tc>
          <w:tcPr>
            <w:tcW w:w="8700" w:type="dxa"/>
            <w:tcBorders>
              <w:top w:val="nil"/>
              <w:left w:val="nil"/>
              <w:bottom w:val="nil"/>
              <w:right w:val="nil"/>
            </w:tcBorders>
            <w:shd w:val="clear" w:color="auto" w:fill="auto"/>
            <w:noWrap/>
            <w:vAlign w:val="center"/>
            <w:hideMark/>
          </w:tcPr>
          <w:p w14:paraId="14AF3716" w14:textId="77777777" w:rsidR="006D4B73" w:rsidRPr="006D4B73" w:rsidRDefault="006D4B73" w:rsidP="006D4B73">
            <w:pPr>
              <w:widowControl/>
              <w:spacing w:before="0" w:after="0" w:line="240" w:lineRule="auto"/>
              <w:jc w:val="left"/>
              <w:rPr>
                <w:rFonts w:eastAsia="Times New Roman" w:cs="Calibri"/>
                <w:szCs w:val="24"/>
                <w:lang w:eastAsia="fr-FR"/>
              </w:rPr>
            </w:pPr>
            <w:r w:rsidRPr="006D4B73">
              <w:rPr>
                <w:rFonts w:eastAsia="Times New Roman" w:cs="Calibri"/>
                <w:szCs w:val="24"/>
                <w:lang w:eastAsia="fr-FR"/>
              </w:rPr>
              <w:t>: Virus de l’Immunodéficience Humaine</w:t>
            </w:r>
          </w:p>
        </w:tc>
      </w:tr>
    </w:tbl>
    <w:p w14:paraId="72FB2680" w14:textId="46A99135" w:rsidR="006D4B73" w:rsidRPr="006D457D" w:rsidRDefault="006D4B73" w:rsidP="006D4B73"/>
    <w:p w14:paraId="12AC4DD8" w14:textId="77777777" w:rsidR="0001795E" w:rsidRDefault="0001795E" w:rsidP="006A44DA">
      <w:pPr>
        <w:pStyle w:val="Titre1"/>
        <w:sectPr w:rsidR="0001795E" w:rsidSect="007127F6">
          <w:pgSz w:w="11906" w:h="16838" w:code="9"/>
          <w:pgMar w:top="1417" w:right="1417" w:bottom="1417" w:left="1417" w:header="709" w:footer="709" w:gutter="0"/>
          <w:pgBorders>
            <w:top w:val="single" w:sz="4" w:space="1" w:color="auto"/>
            <w:bottom w:val="single" w:sz="4" w:space="1" w:color="auto"/>
          </w:pgBorders>
          <w:cols w:space="708"/>
          <w:docGrid w:linePitch="360"/>
        </w:sectPr>
      </w:pPr>
    </w:p>
    <w:p w14:paraId="27E3D3CB" w14:textId="265889CC" w:rsidR="00822388" w:rsidRDefault="00822388" w:rsidP="006A44DA">
      <w:pPr>
        <w:pStyle w:val="Titre1"/>
      </w:pPr>
      <w:bookmarkStart w:id="2" w:name="_Toc63233178"/>
      <w:r w:rsidRPr="0001795E">
        <w:t>Liste des tableaux</w:t>
      </w:r>
      <w:bookmarkEnd w:id="2"/>
    </w:p>
    <w:p w14:paraId="5C134CF5" w14:textId="607219E2" w:rsidR="00CD2D32" w:rsidRDefault="00CD2D32">
      <w:pPr>
        <w:pStyle w:val="Tabledesillustrations"/>
        <w:tabs>
          <w:tab w:val="right" w:leader="dot" w:pos="9062"/>
        </w:tabs>
        <w:rPr>
          <w:noProof/>
        </w:rPr>
      </w:pPr>
      <w:r>
        <w:fldChar w:fldCharType="begin"/>
      </w:r>
      <w:r>
        <w:instrText xml:space="preserve"> TOC \h \z \c "Tableau" </w:instrText>
      </w:r>
      <w:r>
        <w:fldChar w:fldCharType="separate"/>
      </w:r>
      <w:hyperlink w:anchor="_Toc58674294" w:history="1">
        <w:r w:rsidRPr="00B04E77">
          <w:rPr>
            <w:rStyle w:val="Lienhypertexte"/>
            <w:b/>
            <w:bCs/>
            <w:noProof/>
          </w:rPr>
          <w:t>Tableau 1 : Echantillon de l’étude</w:t>
        </w:r>
        <w:r>
          <w:rPr>
            <w:noProof/>
            <w:webHidden/>
          </w:rPr>
          <w:tab/>
        </w:r>
        <w:r>
          <w:rPr>
            <w:noProof/>
            <w:webHidden/>
          </w:rPr>
          <w:fldChar w:fldCharType="begin"/>
        </w:r>
        <w:r>
          <w:rPr>
            <w:noProof/>
            <w:webHidden/>
          </w:rPr>
          <w:instrText xml:space="preserve"> PAGEREF _Toc58674294 \h </w:instrText>
        </w:r>
        <w:r>
          <w:rPr>
            <w:noProof/>
            <w:webHidden/>
          </w:rPr>
        </w:r>
        <w:r>
          <w:rPr>
            <w:noProof/>
            <w:webHidden/>
          </w:rPr>
          <w:fldChar w:fldCharType="separate"/>
        </w:r>
        <w:r>
          <w:rPr>
            <w:noProof/>
            <w:webHidden/>
          </w:rPr>
          <w:t>17</w:t>
        </w:r>
        <w:r>
          <w:rPr>
            <w:noProof/>
            <w:webHidden/>
          </w:rPr>
          <w:fldChar w:fldCharType="end"/>
        </w:r>
      </w:hyperlink>
    </w:p>
    <w:p w14:paraId="6B7C390E" w14:textId="142ADF59" w:rsidR="00CD2D32" w:rsidRDefault="000B7360">
      <w:pPr>
        <w:pStyle w:val="Tabledesillustrations"/>
        <w:tabs>
          <w:tab w:val="right" w:leader="dot" w:pos="9062"/>
        </w:tabs>
        <w:rPr>
          <w:noProof/>
        </w:rPr>
      </w:pPr>
      <w:hyperlink w:anchor="_Toc58674295" w:history="1">
        <w:r w:rsidR="00CD2D32" w:rsidRPr="00B04E77">
          <w:rPr>
            <w:rStyle w:val="Lienhypertexte"/>
            <w:b/>
            <w:bCs/>
            <w:noProof/>
          </w:rPr>
          <w:t>Tableau 2 ; Evolution des principaux indicateurs de la fonctionnalité</w:t>
        </w:r>
        <w:r w:rsidR="00CE4BF9">
          <w:rPr>
            <w:rStyle w:val="Lienhypertexte"/>
            <w:b/>
            <w:bCs/>
            <w:noProof/>
          </w:rPr>
          <w:t xml:space="preserve"> des districts de 2007 et</w:t>
        </w:r>
        <w:r w:rsidR="00CD2D32" w:rsidRPr="00B04E77">
          <w:rPr>
            <w:rStyle w:val="Lienhypertexte"/>
            <w:b/>
            <w:bCs/>
            <w:noProof/>
          </w:rPr>
          <w:t xml:space="preserve"> 2020</w:t>
        </w:r>
        <w:r w:rsidR="00CD2D32">
          <w:rPr>
            <w:noProof/>
            <w:webHidden/>
          </w:rPr>
          <w:tab/>
        </w:r>
        <w:r w:rsidR="00CD2D32">
          <w:rPr>
            <w:noProof/>
            <w:webHidden/>
          </w:rPr>
          <w:fldChar w:fldCharType="begin"/>
        </w:r>
        <w:r w:rsidR="00CD2D32">
          <w:rPr>
            <w:noProof/>
            <w:webHidden/>
          </w:rPr>
          <w:instrText xml:space="preserve"> PAGEREF _Toc58674295 \h </w:instrText>
        </w:r>
        <w:r w:rsidR="00CD2D32">
          <w:rPr>
            <w:noProof/>
            <w:webHidden/>
          </w:rPr>
        </w:r>
        <w:r w:rsidR="00CD2D32">
          <w:rPr>
            <w:noProof/>
            <w:webHidden/>
          </w:rPr>
          <w:fldChar w:fldCharType="separate"/>
        </w:r>
        <w:r w:rsidR="00CD2D32">
          <w:rPr>
            <w:noProof/>
            <w:webHidden/>
          </w:rPr>
          <w:t>31</w:t>
        </w:r>
        <w:r w:rsidR="00CD2D32">
          <w:rPr>
            <w:noProof/>
            <w:webHidden/>
          </w:rPr>
          <w:fldChar w:fldCharType="end"/>
        </w:r>
      </w:hyperlink>
    </w:p>
    <w:p w14:paraId="2DAB0D0F" w14:textId="17A5B710" w:rsidR="006D457D" w:rsidRPr="006D457D" w:rsidRDefault="00CD2D32" w:rsidP="006D457D">
      <w:r>
        <w:fldChar w:fldCharType="end"/>
      </w:r>
    </w:p>
    <w:p w14:paraId="78C6D210" w14:textId="3480BEEA" w:rsidR="00CE4BF9" w:rsidRDefault="00CE4BF9" w:rsidP="00CE4BF9">
      <w:pPr>
        <w:pStyle w:val="Lgende"/>
      </w:pPr>
      <w:r>
        <w:tab/>
        <w:t xml:space="preserve">Figure </w:t>
      </w:r>
      <w:r w:rsidR="000B7360">
        <w:rPr>
          <w:noProof/>
        </w:rPr>
        <w:fldChar w:fldCharType="begin"/>
      </w:r>
      <w:r w:rsidR="000B7360">
        <w:rPr>
          <w:noProof/>
        </w:rPr>
        <w:instrText xml:space="preserve"> SEQ Figure \* ARABIC </w:instrText>
      </w:r>
      <w:r w:rsidR="000B7360">
        <w:rPr>
          <w:noProof/>
        </w:rPr>
        <w:fldChar w:fldCharType="separate"/>
      </w:r>
      <w:r>
        <w:rPr>
          <w:noProof/>
        </w:rPr>
        <w:t>1</w:t>
      </w:r>
      <w:r w:rsidR="000B7360">
        <w:rPr>
          <w:noProof/>
        </w:rPr>
        <w:fldChar w:fldCharType="end"/>
      </w:r>
    </w:p>
    <w:p w14:paraId="2E26742A" w14:textId="14434B7F" w:rsidR="001B4265" w:rsidRPr="00CE4BF9" w:rsidRDefault="00CE4BF9" w:rsidP="00CE4BF9">
      <w:pPr>
        <w:tabs>
          <w:tab w:val="left" w:pos="5250"/>
        </w:tabs>
        <w:sectPr w:rsidR="001B4265" w:rsidRPr="00CE4BF9" w:rsidSect="007127F6">
          <w:pgSz w:w="11906" w:h="16838" w:code="9"/>
          <w:pgMar w:top="1417" w:right="1417" w:bottom="1417" w:left="1417" w:header="709" w:footer="709" w:gutter="0"/>
          <w:pgBorders>
            <w:top w:val="single" w:sz="4" w:space="1" w:color="auto"/>
            <w:bottom w:val="single" w:sz="4" w:space="1" w:color="auto"/>
          </w:pgBorders>
          <w:cols w:space="708"/>
          <w:docGrid w:linePitch="360"/>
        </w:sectPr>
      </w:pPr>
      <w:r>
        <w:tab/>
      </w:r>
    </w:p>
    <w:p w14:paraId="553E8D59" w14:textId="74FBBE77" w:rsidR="00E06F65" w:rsidRDefault="00AF29C6" w:rsidP="006A44DA">
      <w:pPr>
        <w:pStyle w:val="Titre1"/>
      </w:pPr>
      <w:bookmarkStart w:id="3" w:name="_Toc63233179"/>
      <w:r w:rsidRPr="0001795E">
        <w:t>Résumé exécutif</w:t>
      </w:r>
      <w:bookmarkEnd w:id="3"/>
    </w:p>
    <w:p w14:paraId="56459EBA" w14:textId="75F876E8" w:rsidR="00A51A96" w:rsidRPr="00C25E55" w:rsidRDefault="00A51A96" w:rsidP="00A51A96">
      <w:pPr>
        <w:spacing w:line="276" w:lineRule="auto"/>
        <w:rPr>
          <w:rFonts w:cs="Arial"/>
          <w:bCs/>
          <w:szCs w:val="24"/>
        </w:rPr>
      </w:pPr>
      <w:r w:rsidRPr="00C25E55">
        <w:rPr>
          <w:rFonts w:cs="Arial"/>
          <w:bCs/>
          <w:szCs w:val="24"/>
        </w:rPr>
        <w:t xml:space="preserve">Le système guinéen de santé est basé sur les soins de santé primaires et le district sanitaire depuis des décennies. Mais la survenue de la maladie à virus </w:t>
      </w:r>
      <w:proofErr w:type="spellStart"/>
      <w:r w:rsidRPr="00C25E55">
        <w:rPr>
          <w:rFonts w:cs="Arial"/>
          <w:bCs/>
          <w:szCs w:val="24"/>
        </w:rPr>
        <w:t>Ebola</w:t>
      </w:r>
      <w:proofErr w:type="spellEnd"/>
      <w:r w:rsidRPr="00C25E55">
        <w:rPr>
          <w:rFonts w:cs="Arial"/>
          <w:bCs/>
          <w:szCs w:val="24"/>
        </w:rPr>
        <w:t xml:space="preserve"> a mis en évidence la faiblesse du système de santé dans ses fondamentaux : la prévention, la surveillance et le contrôle de la maladie en lien avec la gestion communautaire des problèmes de santé et la faible réactivité du système de soins. Cette situation a conduit à la mise en place d’un plan national de développement sanitaire post </w:t>
      </w:r>
      <w:proofErr w:type="spellStart"/>
      <w:r w:rsidRPr="00C25E55">
        <w:rPr>
          <w:rFonts w:cs="Arial"/>
          <w:bCs/>
          <w:szCs w:val="24"/>
        </w:rPr>
        <w:t>Ebola</w:t>
      </w:r>
      <w:proofErr w:type="spellEnd"/>
      <w:r w:rsidRPr="00C25E55">
        <w:rPr>
          <w:rFonts w:cs="Arial"/>
          <w:bCs/>
          <w:szCs w:val="24"/>
        </w:rPr>
        <w:t xml:space="preserve"> (2015-2024). La troisième orientation stratégique du </w:t>
      </w:r>
      <w:proofErr w:type="spellStart"/>
      <w:r w:rsidRPr="00C25E55">
        <w:rPr>
          <w:rFonts w:cs="Arial"/>
          <w:bCs/>
          <w:szCs w:val="24"/>
        </w:rPr>
        <w:t>PNDS</w:t>
      </w:r>
      <w:proofErr w:type="spellEnd"/>
      <w:r w:rsidRPr="00C25E55">
        <w:rPr>
          <w:rFonts w:cs="Arial"/>
          <w:bCs/>
          <w:szCs w:val="24"/>
        </w:rPr>
        <w:t xml:space="preserve"> concerne le renforcement du système de santé qui porte sur la gouvernance et l’opérationnalisation du district sanitaire. La mise en œuvre de ce plan décennal se fait à travers des plans triennaux. Un premier plan dénommé plan de relance et de résilience du système de santé (2015-2017) a été élaboré et exécuté. </w:t>
      </w:r>
    </w:p>
    <w:p w14:paraId="47E72E05" w14:textId="42B61057" w:rsidR="00A51A96" w:rsidRPr="00C25E55" w:rsidRDefault="00A51A96" w:rsidP="00A51A96">
      <w:pPr>
        <w:spacing w:line="276" w:lineRule="auto"/>
        <w:rPr>
          <w:rFonts w:cs="Arial"/>
          <w:bCs/>
          <w:szCs w:val="24"/>
        </w:rPr>
      </w:pPr>
      <w:r w:rsidRPr="00C25E55">
        <w:rPr>
          <w:rFonts w:cs="Arial"/>
          <w:bCs/>
          <w:szCs w:val="24"/>
        </w:rPr>
        <w:t xml:space="preserve">Dans l’optique de l’élaboration du second plan triennal (2021-2023) qui coïncide avec la survenu de la pandémie de coronavirus (covid-19), le ministère de la santé s’est proposé l’évaluation de la fonctionnalité des districts en utilisant deux questionnaires (un pour l’équipe cadre de district et l’autre pour les formations sanitaires) élaborés par l’OMS et adaptés au contexte national. </w:t>
      </w:r>
    </w:p>
    <w:p w14:paraId="0ADD579A" w14:textId="730680BF" w:rsidR="00A51A96" w:rsidRPr="00C25E55" w:rsidRDefault="00A51A96" w:rsidP="00A51A96">
      <w:pPr>
        <w:spacing w:line="276" w:lineRule="auto"/>
        <w:rPr>
          <w:rFonts w:cs="Arial"/>
          <w:bCs/>
          <w:szCs w:val="24"/>
        </w:rPr>
      </w:pPr>
      <w:r w:rsidRPr="00C25E55">
        <w:rPr>
          <w:rFonts w:cs="Arial"/>
          <w:bCs/>
          <w:szCs w:val="24"/>
        </w:rPr>
        <w:t>Les objectifs étaient (i) d’identifier les forces et les faiblesses dans les structures organisationnelles, les processus managériaux, la prestation des services, la participation communautaire, la responsabilisation, la gestion des ressources dans le district ; (ii) développer un programme d’action pour améliorer l’opérationnalité du système de santé sur la base des résultats de l’évaluation et dans la collaboration de toutes les parties impliquées dans le développement du secteur de la santé et de (iii) renfor</w:t>
      </w:r>
      <w:r w:rsidR="00566264">
        <w:rPr>
          <w:rFonts w:cs="Arial"/>
          <w:bCs/>
          <w:szCs w:val="24"/>
        </w:rPr>
        <w:t xml:space="preserve">cer l’équipe cadre du district </w:t>
      </w:r>
      <w:r w:rsidRPr="00C25E55">
        <w:rPr>
          <w:rFonts w:cs="Arial"/>
          <w:bCs/>
          <w:szCs w:val="24"/>
        </w:rPr>
        <w:t>en termes d’effectifs, d</w:t>
      </w:r>
      <w:r w:rsidR="00566264">
        <w:rPr>
          <w:rFonts w:cs="Arial"/>
          <w:bCs/>
          <w:szCs w:val="24"/>
        </w:rPr>
        <w:t>e compétences et d’organisation</w:t>
      </w:r>
      <w:r w:rsidRPr="00C25E55">
        <w:rPr>
          <w:rFonts w:cs="Arial"/>
          <w:bCs/>
          <w:szCs w:val="24"/>
        </w:rPr>
        <w:t>.</w:t>
      </w:r>
    </w:p>
    <w:p w14:paraId="687663FE" w14:textId="77777777" w:rsidR="00A51A96" w:rsidRPr="00C25E55" w:rsidRDefault="00A51A96" w:rsidP="00A51A96">
      <w:pPr>
        <w:spacing w:line="276" w:lineRule="auto"/>
        <w:rPr>
          <w:rFonts w:cs="Arial"/>
          <w:bCs/>
          <w:szCs w:val="24"/>
        </w:rPr>
      </w:pPr>
      <w:r w:rsidRPr="00C25E55">
        <w:rPr>
          <w:rFonts w:cs="Arial"/>
          <w:bCs/>
          <w:szCs w:val="24"/>
        </w:rPr>
        <w:t>La démarche méthodologique adoptée pour répondre aux besoins de l’étude a impliqué un choix judicieux des critères d’évaluation, de l’échantillon, la définition claire des sources de données, la méthode de collecte des données, un traitement approprié de celles-ci, et le choix des méthodes d’analyse.</w:t>
      </w:r>
    </w:p>
    <w:p w14:paraId="20E6F831" w14:textId="5B860357" w:rsidR="00A51A96" w:rsidRPr="00555384" w:rsidRDefault="00A51A96" w:rsidP="00A51A96">
      <w:pPr>
        <w:spacing w:line="276" w:lineRule="auto"/>
        <w:rPr>
          <w:rFonts w:cs="Arial"/>
          <w:bCs/>
          <w:szCs w:val="24"/>
        </w:rPr>
      </w:pPr>
      <w:r w:rsidRPr="00C25E55">
        <w:rPr>
          <w:rFonts w:cs="Arial"/>
          <w:bCs/>
          <w:szCs w:val="24"/>
        </w:rPr>
        <w:t>Les résultats obtenus portent sur les caractéristiques des districts sanitaires, la gestion du district (processus gestionnaire, ressources et activités, collaboration intersectorielle)</w:t>
      </w:r>
      <w:r w:rsidR="00566264">
        <w:rPr>
          <w:rFonts w:cs="Arial"/>
          <w:bCs/>
          <w:szCs w:val="24"/>
        </w:rPr>
        <w:t>,</w:t>
      </w:r>
      <w:r w:rsidRPr="00C25E55">
        <w:rPr>
          <w:rFonts w:cs="Arial"/>
          <w:bCs/>
          <w:szCs w:val="24"/>
        </w:rPr>
        <w:t xml:space="preserve"> les formations sanitaires des districts comportant la couverture, les ressources, les PMA, le statut de la formation sanitaire et la capacité technique et gestionnaire de réaliser les interventions en rapport avec les </w:t>
      </w:r>
      <w:proofErr w:type="spellStart"/>
      <w:r w:rsidRPr="00C25E55">
        <w:rPr>
          <w:rFonts w:cs="Arial"/>
          <w:bCs/>
          <w:szCs w:val="24"/>
        </w:rPr>
        <w:t>ODD</w:t>
      </w:r>
      <w:proofErr w:type="spellEnd"/>
      <w:r w:rsidRPr="00C25E55">
        <w:rPr>
          <w:rFonts w:cs="Arial"/>
          <w:bCs/>
          <w:szCs w:val="24"/>
        </w:rPr>
        <w:t>.</w:t>
      </w:r>
    </w:p>
    <w:p w14:paraId="57CC3F60" w14:textId="77777777" w:rsidR="00A51A96" w:rsidRPr="00C25E55" w:rsidRDefault="00A51A96" w:rsidP="00A51A96">
      <w:pPr>
        <w:spacing w:line="276" w:lineRule="auto"/>
        <w:rPr>
          <w:rFonts w:cs="Arial"/>
          <w:bCs/>
          <w:szCs w:val="24"/>
        </w:rPr>
      </w:pPr>
      <w:r w:rsidRPr="00C25E55">
        <w:rPr>
          <w:rFonts w:cs="Arial"/>
          <w:bCs/>
          <w:szCs w:val="24"/>
        </w:rPr>
        <w:t>Les principaux constats portant sur ces résultats ont été classés en forces et faiblesses.</w:t>
      </w:r>
    </w:p>
    <w:p w14:paraId="51A81BF8" w14:textId="7BE50E02" w:rsidR="00A51A96" w:rsidRPr="00555384" w:rsidRDefault="00A51A96" w:rsidP="00A51A96">
      <w:pPr>
        <w:spacing w:line="276" w:lineRule="auto"/>
        <w:rPr>
          <w:rFonts w:cs="Arial"/>
          <w:bCs/>
          <w:szCs w:val="24"/>
        </w:rPr>
      </w:pPr>
      <w:r w:rsidRPr="00C25E55">
        <w:rPr>
          <w:rFonts w:cs="Arial"/>
          <w:bCs/>
          <w:szCs w:val="24"/>
        </w:rPr>
        <w:t xml:space="preserve">Les forces sont classées en deux catégories qui sont l’existence du Comité préfectoral de coordination du secteur de la santé et de l’équipe de gestion, d’un PAO, de bureaux et de salles de réunion adéquats, et la disponibilité du personnel en nombre suffisant, des rapports </w:t>
      </w:r>
      <w:proofErr w:type="spellStart"/>
      <w:r w:rsidRPr="00C25E55">
        <w:rPr>
          <w:rFonts w:cs="Arial"/>
          <w:bCs/>
          <w:szCs w:val="24"/>
        </w:rPr>
        <w:t>SNIS</w:t>
      </w:r>
      <w:proofErr w:type="spellEnd"/>
      <w:r w:rsidRPr="00C25E55">
        <w:rPr>
          <w:rFonts w:cs="Arial"/>
          <w:bCs/>
          <w:szCs w:val="24"/>
        </w:rPr>
        <w:t xml:space="preserve"> dans la totalité des districts enquêtés</w:t>
      </w:r>
      <w:r w:rsidR="00F4118A">
        <w:rPr>
          <w:rFonts w:cs="Arial"/>
          <w:bCs/>
          <w:szCs w:val="24"/>
        </w:rPr>
        <w:t>.</w:t>
      </w:r>
      <w:r w:rsidRPr="00C25E55">
        <w:rPr>
          <w:rFonts w:cs="Arial"/>
          <w:bCs/>
          <w:szCs w:val="24"/>
        </w:rPr>
        <w:t> </w:t>
      </w:r>
    </w:p>
    <w:p w14:paraId="3945C79F" w14:textId="010286A4" w:rsidR="00A51A96" w:rsidRDefault="00A51A96" w:rsidP="00A51A96">
      <w:pPr>
        <w:spacing w:line="276" w:lineRule="auto"/>
        <w:rPr>
          <w:rFonts w:cs="Arial"/>
          <w:bCs/>
          <w:szCs w:val="24"/>
        </w:rPr>
      </w:pPr>
      <w:r w:rsidRPr="00C25E55">
        <w:rPr>
          <w:rFonts w:cs="Arial"/>
          <w:bCs/>
          <w:szCs w:val="24"/>
        </w:rPr>
        <w:t>Des faiblesses ont été notées dont les essentiels sont : la disparité de l’offre de soins entre les districts, la non mise à jour de la carte sanitaire depuis 2006, le manque de personnels qualifiés affectés à la fonction (</w:t>
      </w:r>
      <w:proofErr w:type="spellStart"/>
      <w:r w:rsidRPr="00C25E55">
        <w:rPr>
          <w:rFonts w:cs="Arial"/>
          <w:bCs/>
          <w:szCs w:val="24"/>
        </w:rPr>
        <w:t>SAF</w:t>
      </w:r>
      <w:proofErr w:type="spellEnd"/>
      <w:r w:rsidRPr="00C25E55">
        <w:rPr>
          <w:rFonts w:cs="Arial"/>
          <w:bCs/>
          <w:szCs w:val="24"/>
        </w:rPr>
        <w:t xml:space="preserve">, comptable, personnel de santé publique, médecins spécialistes) et à l’insuffisance de leadership du </w:t>
      </w:r>
      <w:r w:rsidR="006D457D">
        <w:rPr>
          <w:rFonts w:cs="Arial"/>
          <w:bCs/>
          <w:szCs w:val="24"/>
        </w:rPr>
        <w:t xml:space="preserve">chef </w:t>
      </w:r>
      <w:r w:rsidRPr="00C25E55">
        <w:rPr>
          <w:rFonts w:cs="Arial"/>
          <w:bCs/>
          <w:szCs w:val="24"/>
        </w:rPr>
        <w:t>de district</w:t>
      </w:r>
      <w:r w:rsidR="006D457D">
        <w:rPr>
          <w:rFonts w:cs="Arial"/>
          <w:bCs/>
          <w:szCs w:val="24"/>
        </w:rPr>
        <w:t xml:space="preserve"> de santé</w:t>
      </w:r>
      <w:r w:rsidRPr="00C25E55">
        <w:rPr>
          <w:rFonts w:cs="Arial"/>
          <w:bCs/>
          <w:szCs w:val="24"/>
        </w:rPr>
        <w:t xml:space="preserve">, </w:t>
      </w:r>
      <w:r w:rsidR="006D457D">
        <w:rPr>
          <w:rFonts w:cs="Arial"/>
          <w:bCs/>
          <w:szCs w:val="24"/>
        </w:rPr>
        <w:t xml:space="preserve">la </w:t>
      </w:r>
      <w:r w:rsidRPr="00C25E55">
        <w:rPr>
          <w:rFonts w:cs="Arial"/>
          <w:bCs/>
          <w:szCs w:val="24"/>
        </w:rPr>
        <w:t>non</w:t>
      </w:r>
      <w:r w:rsidR="006D457D">
        <w:rPr>
          <w:rFonts w:cs="Arial"/>
          <w:bCs/>
          <w:szCs w:val="24"/>
        </w:rPr>
        <w:t>-</w:t>
      </w:r>
      <w:r w:rsidRPr="00C25E55">
        <w:rPr>
          <w:rFonts w:cs="Arial"/>
          <w:bCs/>
          <w:szCs w:val="24"/>
        </w:rPr>
        <w:t xml:space="preserve">intégration des formations sanitaires privées dans le </w:t>
      </w:r>
      <w:proofErr w:type="spellStart"/>
      <w:r w:rsidRPr="00C25E55">
        <w:rPr>
          <w:rFonts w:cs="Arial"/>
          <w:bCs/>
          <w:szCs w:val="24"/>
        </w:rPr>
        <w:t>SNIS</w:t>
      </w:r>
      <w:proofErr w:type="spellEnd"/>
      <w:r w:rsidRPr="00C25E55">
        <w:rPr>
          <w:rFonts w:cs="Arial"/>
          <w:bCs/>
          <w:szCs w:val="24"/>
        </w:rPr>
        <w:t>.</w:t>
      </w:r>
    </w:p>
    <w:p w14:paraId="4507E006" w14:textId="5D9DA0C7" w:rsidR="00A51A96" w:rsidRPr="00C25E55" w:rsidRDefault="00FD1B88" w:rsidP="00A51A96">
      <w:pPr>
        <w:spacing w:line="276" w:lineRule="auto"/>
        <w:rPr>
          <w:rFonts w:cs="Arial"/>
          <w:bCs/>
          <w:szCs w:val="24"/>
        </w:rPr>
      </w:pPr>
      <w:r>
        <w:rPr>
          <w:rFonts w:cs="Arial"/>
          <w:bCs/>
          <w:szCs w:val="24"/>
        </w:rPr>
        <w:t>L</w:t>
      </w:r>
      <w:r w:rsidR="00A51A96" w:rsidRPr="00C25E55">
        <w:rPr>
          <w:rFonts w:cs="Arial"/>
          <w:bCs/>
          <w:szCs w:val="24"/>
        </w:rPr>
        <w:t>’évaluation de la fonctionnalité des districts a permis de mettre en évidence des forces et des faiblesses</w:t>
      </w:r>
      <w:r>
        <w:rPr>
          <w:rFonts w:cs="Arial"/>
          <w:bCs/>
          <w:szCs w:val="24"/>
        </w:rPr>
        <w:t xml:space="preserve"> qui méritent </w:t>
      </w:r>
      <w:r w:rsidR="00A51A96" w:rsidRPr="00C25E55">
        <w:rPr>
          <w:rFonts w:cs="Arial"/>
          <w:bCs/>
          <w:szCs w:val="24"/>
        </w:rPr>
        <w:t>d’être approfondies afin</w:t>
      </w:r>
      <w:r w:rsidR="00A51A96">
        <w:rPr>
          <w:rFonts w:cs="Arial"/>
          <w:bCs/>
          <w:szCs w:val="24"/>
        </w:rPr>
        <w:t xml:space="preserve"> de </w:t>
      </w:r>
      <w:r w:rsidR="00A51A96" w:rsidRPr="00C25E55">
        <w:rPr>
          <w:rFonts w:cs="Arial"/>
          <w:bCs/>
          <w:szCs w:val="24"/>
        </w:rPr>
        <w:t xml:space="preserve">proposer des actions d’amélioration appropriées pour les trois prochaines années. Ce travail devrait aboutir à la formulation d’un plan triennal pour la période 2021 – 2023. </w:t>
      </w:r>
    </w:p>
    <w:p w14:paraId="159D8009" w14:textId="77777777" w:rsidR="00A51A96" w:rsidRPr="00A51A96" w:rsidRDefault="00A51A96" w:rsidP="00A51A96">
      <w:pPr>
        <w:sectPr w:rsidR="00A51A96" w:rsidRPr="00A51A96" w:rsidSect="007127F6">
          <w:pgSz w:w="11906" w:h="16838" w:code="9"/>
          <w:pgMar w:top="1417" w:right="1417" w:bottom="1417" w:left="1417" w:header="709" w:footer="709" w:gutter="0"/>
          <w:pgBorders>
            <w:top w:val="single" w:sz="4" w:space="1" w:color="auto"/>
            <w:bottom w:val="single" w:sz="4" w:space="1" w:color="auto"/>
          </w:pgBorders>
          <w:cols w:space="708"/>
          <w:docGrid w:linePitch="360"/>
        </w:sectPr>
      </w:pPr>
    </w:p>
    <w:p w14:paraId="0D8A68E3" w14:textId="65C86E5B" w:rsidR="005C15BC" w:rsidRPr="0001795E" w:rsidRDefault="005C15BC" w:rsidP="006A44DA">
      <w:pPr>
        <w:pStyle w:val="Titre1"/>
      </w:pPr>
      <w:bookmarkStart w:id="4" w:name="_Toc63233180"/>
      <w:r w:rsidRPr="0001795E">
        <w:t>INTRODUCTION</w:t>
      </w:r>
      <w:bookmarkEnd w:id="4"/>
    </w:p>
    <w:p w14:paraId="4032178F" w14:textId="28A524BF" w:rsidR="00F9179C" w:rsidRPr="00C25E55" w:rsidRDefault="00F9179C" w:rsidP="00F9179C">
      <w:pPr>
        <w:spacing w:before="240" w:line="276" w:lineRule="auto"/>
        <w:rPr>
          <w:rFonts w:cs="Arial"/>
          <w:bCs/>
          <w:szCs w:val="24"/>
        </w:rPr>
      </w:pPr>
      <w:r w:rsidRPr="00C25E55">
        <w:rPr>
          <w:rFonts w:cs="Arial"/>
          <w:bCs/>
          <w:szCs w:val="24"/>
        </w:rPr>
        <w:t xml:space="preserve">Au </w:t>
      </w:r>
      <w:r w:rsidR="00755F60">
        <w:rPr>
          <w:rFonts w:cs="Arial"/>
          <w:bCs/>
          <w:szCs w:val="24"/>
        </w:rPr>
        <w:t xml:space="preserve">cours </w:t>
      </w:r>
      <w:r w:rsidRPr="00C25E55">
        <w:rPr>
          <w:rFonts w:cs="Arial"/>
          <w:bCs/>
          <w:szCs w:val="24"/>
        </w:rPr>
        <w:t>de cette décennie</w:t>
      </w:r>
      <w:r w:rsidR="00DC116B">
        <w:rPr>
          <w:rFonts w:cs="Arial"/>
          <w:bCs/>
          <w:szCs w:val="24"/>
        </w:rPr>
        <w:t xml:space="preserve"> (2010-2020)</w:t>
      </w:r>
      <w:r w:rsidRPr="00C25E55">
        <w:rPr>
          <w:rFonts w:cs="Arial"/>
          <w:bCs/>
          <w:szCs w:val="24"/>
        </w:rPr>
        <w:t>, le système de santé de la Guinée a été éprouvé par deux crises sanitaires majeures</w:t>
      </w:r>
      <w:r w:rsidR="00755F60">
        <w:rPr>
          <w:rFonts w:cs="Arial"/>
          <w:bCs/>
          <w:szCs w:val="24"/>
        </w:rPr>
        <w:t xml:space="preserve"> : </w:t>
      </w:r>
      <w:r w:rsidRPr="00C25E55">
        <w:rPr>
          <w:rFonts w:cs="Arial"/>
          <w:bCs/>
          <w:szCs w:val="24"/>
        </w:rPr>
        <w:t xml:space="preserve">l’épidémie à virus </w:t>
      </w:r>
      <w:proofErr w:type="spellStart"/>
      <w:r w:rsidRPr="00C25E55">
        <w:rPr>
          <w:rFonts w:cs="Arial"/>
          <w:bCs/>
          <w:szCs w:val="24"/>
        </w:rPr>
        <w:t>Ebola</w:t>
      </w:r>
      <w:proofErr w:type="spellEnd"/>
      <w:r w:rsidR="00755F60">
        <w:rPr>
          <w:rFonts w:cs="Arial"/>
          <w:bCs/>
          <w:szCs w:val="24"/>
        </w:rPr>
        <w:t xml:space="preserve"> et la covid-19</w:t>
      </w:r>
      <w:r w:rsidRPr="00C25E55">
        <w:rPr>
          <w:rFonts w:cs="Arial"/>
          <w:bCs/>
          <w:szCs w:val="24"/>
        </w:rPr>
        <w:t>. Le Ministère de la santé, pour faire face  à ces situations</w:t>
      </w:r>
      <w:r w:rsidR="00755F60">
        <w:rPr>
          <w:rFonts w:cs="Arial"/>
          <w:bCs/>
          <w:szCs w:val="24"/>
        </w:rPr>
        <w:t>,</w:t>
      </w:r>
      <w:r w:rsidRPr="00C25E55">
        <w:rPr>
          <w:rFonts w:cs="Arial"/>
          <w:bCs/>
          <w:szCs w:val="24"/>
        </w:rPr>
        <w:t xml:space="preserve"> devait répondre à deux défis : éliminer les deux épidémies avec leurs conséquences sanitaires et économiques</w:t>
      </w:r>
      <w:r w:rsidR="00FF3B0C">
        <w:rPr>
          <w:rFonts w:cs="Arial"/>
          <w:bCs/>
          <w:szCs w:val="24"/>
        </w:rPr>
        <w:t xml:space="preserve"> et </w:t>
      </w:r>
      <w:r w:rsidRPr="00C25E55">
        <w:rPr>
          <w:rFonts w:cs="Arial"/>
          <w:bCs/>
          <w:szCs w:val="24"/>
        </w:rPr>
        <w:t xml:space="preserve">assurer la résilience des services de santé pour garantir les services essentiels à la population. </w:t>
      </w:r>
    </w:p>
    <w:p w14:paraId="5CBE94B3" w14:textId="2A31498E" w:rsidR="00F9179C" w:rsidRPr="00C25E55" w:rsidRDefault="00F9179C" w:rsidP="00F9179C">
      <w:pPr>
        <w:spacing w:before="240" w:line="276" w:lineRule="auto"/>
        <w:rPr>
          <w:rFonts w:cs="Arial"/>
          <w:bCs/>
          <w:szCs w:val="24"/>
        </w:rPr>
      </w:pPr>
      <w:r w:rsidRPr="00C25E55">
        <w:rPr>
          <w:rFonts w:cs="Arial"/>
          <w:bCs/>
          <w:szCs w:val="24"/>
        </w:rPr>
        <w:t>C’est dans ce cadre que le ministère de la santé dans son rôle de promouvoir le développement des services</w:t>
      </w:r>
      <w:r w:rsidR="00FF3B0C">
        <w:rPr>
          <w:rFonts w:cs="Arial"/>
          <w:bCs/>
          <w:szCs w:val="24"/>
        </w:rPr>
        <w:t xml:space="preserve"> de santé,</w:t>
      </w:r>
      <w:r w:rsidRPr="00C25E55">
        <w:rPr>
          <w:rFonts w:cs="Arial"/>
          <w:bCs/>
          <w:szCs w:val="24"/>
        </w:rPr>
        <w:t xml:space="preserve"> a élaboré un plan de développement triennal</w:t>
      </w:r>
      <w:r w:rsidR="00B35653">
        <w:rPr>
          <w:rFonts w:cs="Arial"/>
          <w:bCs/>
          <w:szCs w:val="24"/>
        </w:rPr>
        <w:t xml:space="preserve"> (2015-2017)</w:t>
      </w:r>
      <w:r w:rsidRPr="00C25E55">
        <w:rPr>
          <w:rFonts w:cs="Arial"/>
          <w:bCs/>
          <w:szCs w:val="24"/>
        </w:rPr>
        <w:t xml:space="preserve"> qui vise entre autre</w:t>
      </w:r>
      <w:r w:rsidR="00FF3B0C">
        <w:rPr>
          <w:rFonts w:cs="Arial"/>
          <w:bCs/>
          <w:szCs w:val="24"/>
        </w:rPr>
        <w:t>s</w:t>
      </w:r>
      <w:r w:rsidRPr="00C25E55">
        <w:rPr>
          <w:rFonts w:cs="Arial"/>
          <w:bCs/>
          <w:szCs w:val="24"/>
        </w:rPr>
        <w:t xml:space="preserve"> au renforcement des systèmes de santé des districts.</w:t>
      </w:r>
    </w:p>
    <w:p w14:paraId="165B895F" w14:textId="3A4F51AC" w:rsidR="00F9179C" w:rsidRPr="00C25E55" w:rsidRDefault="00F9179C" w:rsidP="00F9179C">
      <w:pPr>
        <w:spacing w:before="240" w:line="276" w:lineRule="auto"/>
        <w:rPr>
          <w:rFonts w:cs="Arial"/>
          <w:bCs/>
          <w:szCs w:val="24"/>
        </w:rPr>
      </w:pPr>
      <w:r w:rsidRPr="00C25E55">
        <w:rPr>
          <w:rFonts w:cs="Arial"/>
          <w:bCs/>
          <w:szCs w:val="24"/>
        </w:rPr>
        <w:t>Le district sanitaire est la plus petite unité administrative urbaine ou rurale où les programmes des soins de santé primaires sont exécutés par des professionnels de santé      avec la pleine participation des communautés et des secteurs connexes.</w:t>
      </w:r>
    </w:p>
    <w:p w14:paraId="4D87536D" w14:textId="2B4979D4" w:rsidR="00F9179C" w:rsidRPr="00C25E55" w:rsidRDefault="00F9179C" w:rsidP="00F9179C">
      <w:pPr>
        <w:spacing w:before="240" w:line="276" w:lineRule="auto"/>
        <w:rPr>
          <w:rFonts w:cs="Arial"/>
          <w:bCs/>
          <w:szCs w:val="24"/>
        </w:rPr>
      </w:pPr>
      <w:r w:rsidRPr="00C25E55">
        <w:rPr>
          <w:rFonts w:cs="Arial"/>
          <w:bCs/>
          <w:szCs w:val="24"/>
        </w:rPr>
        <w:t>Aussi</w:t>
      </w:r>
      <w:r w:rsidR="002E4E7C">
        <w:rPr>
          <w:rFonts w:cs="Arial"/>
          <w:bCs/>
          <w:szCs w:val="24"/>
        </w:rPr>
        <w:t>,</w:t>
      </w:r>
      <w:r w:rsidRPr="00C25E55">
        <w:rPr>
          <w:rFonts w:cs="Arial"/>
          <w:bCs/>
          <w:szCs w:val="24"/>
        </w:rPr>
        <w:t xml:space="preserve"> le contrôle de l’épidémie à virus </w:t>
      </w:r>
      <w:proofErr w:type="spellStart"/>
      <w:r w:rsidRPr="00C25E55">
        <w:rPr>
          <w:rFonts w:cs="Arial"/>
          <w:bCs/>
          <w:szCs w:val="24"/>
        </w:rPr>
        <w:t>Ebola</w:t>
      </w:r>
      <w:proofErr w:type="spellEnd"/>
      <w:r w:rsidRPr="00C25E55">
        <w:rPr>
          <w:rFonts w:cs="Arial"/>
          <w:bCs/>
          <w:szCs w:val="24"/>
        </w:rPr>
        <w:t xml:space="preserve"> a montré le rôle important des services de santé de proximité dans la gestion de la santé de la population.</w:t>
      </w:r>
      <w:r w:rsidR="002E4E7C">
        <w:rPr>
          <w:rFonts w:cs="Arial"/>
          <w:bCs/>
          <w:szCs w:val="24"/>
        </w:rPr>
        <w:t xml:space="preserve"> </w:t>
      </w:r>
      <w:r w:rsidRPr="00C25E55">
        <w:rPr>
          <w:rFonts w:cs="Arial"/>
          <w:bCs/>
          <w:szCs w:val="24"/>
        </w:rPr>
        <w:t>Le ministère s’est engagé à mettre à échelle un programme de santé communautaire (</w:t>
      </w:r>
      <w:proofErr w:type="spellStart"/>
      <w:r w:rsidRPr="00C25E55">
        <w:rPr>
          <w:rFonts w:cs="Arial"/>
          <w:bCs/>
          <w:szCs w:val="24"/>
        </w:rPr>
        <w:t>SSP</w:t>
      </w:r>
      <w:proofErr w:type="spellEnd"/>
      <w:r w:rsidRPr="00C25E55">
        <w:rPr>
          <w:rFonts w:cs="Arial"/>
          <w:bCs/>
          <w:szCs w:val="24"/>
        </w:rPr>
        <w:t xml:space="preserve">) </w:t>
      </w:r>
      <w:r w:rsidR="00833DE7">
        <w:rPr>
          <w:rFonts w:cs="Arial"/>
          <w:bCs/>
          <w:szCs w:val="24"/>
        </w:rPr>
        <w:t>dans</w:t>
      </w:r>
      <w:r w:rsidRPr="00C25E55">
        <w:rPr>
          <w:rFonts w:cs="Arial"/>
          <w:bCs/>
          <w:szCs w:val="24"/>
        </w:rPr>
        <w:t xml:space="preserve"> tout le pays</w:t>
      </w:r>
      <w:r w:rsidR="00DC116B">
        <w:rPr>
          <w:rFonts w:cs="Arial"/>
          <w:bCs/>
          <w:szCs w:val="24"/>
        </w:rPr>
        <w:t>,</w:t>
      </w:r>
      <w:r w:rsidRPr="00C25E55">
        <w:rPr>
          <w:rFonts w:cs="Arial"/>
          <w:bCs/>
          <w:szCs w:val="24"/>
        </w:rPr>
        <w:t xml:space="preserve"> de façon échelonnée dans le temps en commençant par de</w:t>
      </w:r>
      <w:r w:rsidR="00A478FF">
        <w:rPr>
          <w:rFonts w:cs="Arial"/>
          <w:bCs/>
          <w:szCs w:val="24"/>
        </w:rPr>
        <w:t>s communes dites de convergence</w:t>
      </w:r>
      <w:r w:rsidRPr="00C25E55">
        <w:rPr>
          <w:rFonts w:cs="Arial"/>
          <w:bCs/>
          <w:szCs w:val="24"/>
        </w:rPr>
        <w:t>.</w:t>
      </w:r>
    </w:p>
    <w:p w14:paraId="5B98523D" w14:textId="6B58C936" w:rsidR="00F9179C" w:rsidRPr="00C25E55" w:rsidRDefault="00F702F4" w:rsidP="00F9179C">
      <w:pPr>
        <w:spacing w:before="240" w:line="276" w:lineRule="auto"/>
        <w:rPr>
          <w:rFonts w:cs="Arial"/>
          <w:bCs/>
          <w:szCs w:val="24"/>
        </w:rPr>
      </w:pPr>
      <w:r w:rsidRPr="00C25E55">
        <w:rPr>
          <w:rFonts w:cs="Arial"/>
          <w:bCs/>
          <w:szCs w:val="24"/>
        </w:rPr>
        <w:t>Suite</w:t>
      </w:r>
      <w:r w:rsidR="00F9179C" w:rsidRPr="00C25E55">
        <w:rPr>
          <w:rFonts w:cs="Arial"/>
          <w:bCs/>
          <w:szCs w:val="24"/>
        </w:rPr>
        <w:t xml:space="preserve"> à l’épidémie à virus </w:t>
      </w:r>
      <w:proofErr w:type="spellStart"/>
      <w:r w:rsidR="00F9179C" w:rsidRPr="00C25E55">
        <w:rPr>
          <w:rFonts w:cs="Arial"/>
          <w:bCs/>
          <w:szCs w:val="24"/>
        </w:rPr>
        <w:t>Ebola</w:t>
      </w:r>
      <w:proofErr w:type="spellEnd"/>
      <w:r>
        <w:rPr>
          <w:rFonts w:cs="Arial"/>
          <w:bCs/>
          <w:szCs w:val="24"/>
        </w:rPr>
        <w:t>, l</w:t>
      </w:r>
      <w:r w:rsidRPr="00C25E55">
        <w:rPr>
          <w:rFonts w:cs="Arial"/>
          <w:bCs/>
          <w:szCs w:val="24"/>
        </w:rPr>
        <w:t xml:space="preserve">e Ministère </w:t>
      </w:r>
      <w:r w:rsidR="00F9179C" w:rsidRPr="00C25E55">
        <w:rPr>
          <w:rFonts w:cs="Arial"/>
          <w:bCs/>
          <w:szCs w:val="24"/>
        </w:rPr>
        <w:t>a élaboré un plan triennal de relance et de résilience du système de santé</w:t>
      </w:r>
      <w:r>
        <w:rPr>
          <w:rFonts w:cs="Arial"/>
          <w:bCs/>
          <w:szCs w:val="24"/>
        </w:rPr>
        <w:t xml:space="preserve"> dans lequel </w:t>
      </w:r>
      <w:r w:rsidR="00F9179C" w:rsidRPr="00C25E55">
        <w:rPr>
          <w:rFonts w:cs="Arial"/>
          <w:bCs/>
          <w:szCs w:val="24"/>
        </w:rPr>
        <w:t xml:space="preserve">le renforcement du district de santé </w:t>
      </w:r>
      <w:r>
        <w:rPr>
          <w:rFonts w:cs="Arial"/>
          <w:bCs/>
          <w:szCs w:val="24"/>
        </w:rPr>
        <w:t xml:space="preserve">est </w:t>
      </w:r>
      <w:r w:rsidR="00F9179C" w:rsidRPr="00C25E55">
        <w:rPr>
          <w:rFonts w:cs="Arial"/>
          <w:bCs/>
          <w:szCs w:val="24"/>
        </w:rPr>
        <w:t xml:space="preserve">retenu comme priorité d’action. </w:t>
      </w:r>
      <w:r>
        <w:rPr>
          <w:rFonts w:cs="Arial"/>
          <w:bCs/>
          <w:szCs w:val="24"/>
        </w:rPr>
        <w:t xml:space="preserve">Dans le cadre des </w:t>
      </w:r>
      <w:r w:rsidR="00F9179C" w:rsidRPr="00C25E55">
        <w:rPr>
          <w:rFonts w:cs="Arial"/>
          <w:bCs/>
          <w:szCs w:val="24"/>
        </w:rPr>
        <w:t xml:space="preserve">engagements du gouvernement dans la mise en œuvre des </w:t>
      </w:r>
      <w:proofErr w:type="spellStart"/>
      <w:r w:rsidR="00F9179C" w:rsidRPr="00C25E55">
        <w:rPr>
          <w:rFonts w:cs="Arial"/>
          <w:bCs/>
          <w:szCs w:val="24"/>
        </w:rPr>
        <w:t>SSP</w:t>
      </w:r>
      <w:proofErr w:type="spellEnd"/>
      <w:r w:rsidR="00F9179C" w:rsidRPr="00C25E55">
        <w:rPr>
          <w:rFonts w:cs="Arial"/>
          <w:bCs/>
          <w:szCs w:val="24"/>
        </w:rPr>
        <w:t xml:space="preserve"> et le renforcement du district, le ministère de la santé a décidé de procéder à une auto-évaluation de la fonctionnalité d</w:t>
      </w:r>
      <w:r>
        <w:rPr>
          <w:rFonts w:cs="Arial"/>
          <w:bCs/>
          <w:szCs w:val="24"/>
        </w:rPr>
        <w:t>u</w:t>
      </w:r>
      <w:r w:rsidR="00F9179C" w:rsidRPr="00C25E55">
        <w:rPr>
          <w:rFonts w:cs="Arial"/>
          <w:bCs/>
          <w:szCs w:val="24"/>
        </w:rPr>
        <w:t xml:space="preserve"> district</w:t>
      </w:r>
      <w:r>
        <w:rPr>
          <w:rFonts w:cs="Arial"/>
          <w:bCs/>
          <w:szCs w:val="24"/>
        </w:rPr>
        <w:t xml:space="preserve"> sanitaire</w:t>
      </w:r>
      <w:r w:rsidR="00F9179C" w:rsidRPr="00C25E55">
        <w:rPr>
          <w:rFonts w:cs="Arial"/>
          <w:bCs/>
          <w:szCs w:val="24"/>
        </w:rPr>
        <w:t>.</w:t>
      </w:r>
    </w:p>
    <w:p w14:paraId="7D97DF99" w14:textId="69D6389D" w:rsidR="00F9179C" w:rsidRPr="00C25E55" w:rsidRDefault="00F9179C" w:rsidP="00F9179C">
      <w:pPr>
        <w:spacing w:before="240" w:line="276" w:lineRule="auto"/>
        <w:rPr>
          <w:rFonts w:cs="Arial"/>
          <w:bCs/>
          <w:szCs w:val="24"/>
        </w:rPr>
      </w:pPr>
      <w:r w:rsidRPr="00C25E55">
        <w:rPr>
          <w:rFonts w:cs="Arial"/>
          <w:bCs/>
          <w:szCs w:val="24"/>
        </w:rPr>
        <w:t>Pour ce faire, les spécialistes chargés de réaliser</w:t>
      </w:r>
      <w:r w:rsidR="00DA6588">
        <w:rPr>
          <w:rFonts w:cs="Arial"/>
          <w:bCs/>
          <w:szCs w:val="24"/>
        </w:rPr>
        <w:t xml:space="preserve"> cette évaluation ont utilisé d</w:t>
      </w:r>
      <w:r w:rsidRPr="00C25E55">
        <w:rPr>
          <w:rFonts w:cs="Arial"/>
          <w:bCs/>
          <w:szCs w:val="24"/>
        </w:rPr>
        <w:t xml:space="preserve">es outils préparés à cet effet : directives </w:t>
      </w:r>
      <w:r w:rsidR="00234500">
        <w:rPr>
          <w:rFonts w:cs="Arial"/>
          <w:bCs/>
          <w:szCs w:val="24"/>
        </w:rPr>
        <w:t>méthodologiques, questionnaires et</w:t>
      </w:r>
      <w:r w:rsidRPr="00C25E55">
        <w:rPr>
          <w:rFonts w:cs="Arial"/>
          <w:bCs/>
          <w:szCs w:val="24"/>
        </w:rPr>
        <w:t xml:space="preserve"> outil sur Excel pour la saisie et l’analyse des données.</w:t>
      </w:r>
    </w:p>
    <w:p w14:paraId="4669F0EF" w14:textId="7211B57D" w:rsidR="00F9179C" w:rsidRPr="00C25E55" w:rsidRDefault="00F9179C" w:rsidP="00F9179C">
      <w:pPr>
        <w:spacing w:before="240" w:line="276" w:lineRule="auto"/>
        <w:rPr>
          <w:rFonts w:cs="Arial"/>
          <w:bCs/>
          <w:szCs w:val="24"/>
        </w:rPr>
        <w:sectPr w:rsidR="00F9179C" w:rsidRPr="00C25E55" w:rsidSect="0037394B">
          <w:pgSz w:w="11906" w:h="16838"/>
          <w:pgMar w:top="1417" w:right="1417" w:bottom="1417" w:left="1417" w:header="708" w:footer="708" w:gutter="0"/>
          <w:pgBorders>
            <w:top w:val="single" w:sz="4" w:space="4" w:color="auto"/>
            <w:bottom w:val="single" w:sz="4" w:space="4" w:color="auto"/>
          </w:pgBorders>
          <w:cols w:space="708"/>
          <w:docGrid w:linePitch="360"/>
        </w:sectPr>
      </w:pPr>
      <w:r w:rsidRPr="00C25E55">
        <w:rPr>
          <w:rFonts w:cs="Arial"/>
          <w:bCs/>
          <w:szCs w:val="24"/>
        </w:rPr>
        <w:t>Les résultats de l’étude doivent comporter les aspects en lien avec la capacité des structures de soins à délivrer des soins surtout pour les interventions destinées à l’atteinte de</w:t>
      </w:r>
      <w:r w:rsidR="009D54B9">
        <w:rPr>
          <w:rFonts w:cs="Arial"/>
          <w:bCs/>
          <w:szCs w:val="24"/>
        </w:rPr>
        <w:t>s</w:t>
      </w:r>
      <w:r w:rsidR="0098734C">
        <w:rPr>
          <w:rFonts w:cs="Arial"/>
          <w:bCs/>
          <w:szCs w:val="24"/>
        </w:rPr>
        <w:t xml:space="preserve"> </w:t>
      </w:r>
      <w:proofErr w:type="spellStart"/>
      <w:r w:rsidR="0098734C">
        <w:rPr>
          <w:rFonts w:cs="Arial"/>
          <w:bCs/>
          <w:szCs w:val="24"/>
        </w:rPr>
        <w:t>ODD</w:t>
      </w:r>
      <w:proofErr w:type="spellEnd"/>
      <w:r w:rsidR="0098734C">
        <w:rPr>
          <w:rFonts w:cs="Arial"/>
          <w:bCs/>
          <w:szCs w:val="24"/>
        </w:rPr>
        <w:t xml:space="preserve"> et la capacité managériale</w:t>
      </w:r>
      <w:r w:rsidRPr="00C25E55">
        <w:rPr>
          <w:rFonts w:cs="Arial"/>
          <w:bCs/>
          <w:szCs w:val="24"/>
        </w:rPr>
        <w:t xml:space="preserve"> des équipes de </w:t>
      </w:r>
      <w:r w:rsidR="0098734C">
        <w:rPr>
          <w:rFonts w:cs="Arial"/>
          <w:bCs/>
          <w:szCs w:val="24"/>
        </w:rPr>
        <w:t>district.</w:t>
      </w:r>
      <w:r w:rsidRPr="00C25E55">
        <w:rPr>
          <w:rFonts w:cs="Arial"/>
          <w:bCs/>
          <w:szCs w:val="24"/>
        </w:rPr>
        <w:t xml:space="preserve"> </w:t>
      </w:r>
    </w:p>
    <w:p w14:paraId="11E67CDF" w14:textId="56A2D14A" w:rsidR="005C15BC" w:rsidRPr="00EC6337" w:rsidRDefault="005C15BC" w:rsidP="006A44DA">
      <w:pPr>
        <w:pStyle w:val="Titre1"/>
      </w:pPr>
      <w:bookmarkStart w:id="5" w:name="_Toc63233181"/>
      <w:r w:rsidRPr="00EC6337">
        <w:t>CHAPITRE I : CONTEXTE DE L</w:t>
      </w:r>
      <w:r w:rsidR="00FA676F">
        <w:t>’</w:t>
      </w:r>
      <w:proofErr w:type="spellStart"/>
      <w:r w:rsidRPr="00EC6337">
        <w:t>ETUDE</w:t>
      </w:r>
      <w:bookmarkEnd w:id="5"/>
      <w:proofErr w:type="spellEnd"/>
    </w:p>
    <w:p w14:paraId="40558BDB" w14:textId="7C8AEE9B" w:rsidR="00D051E1" w:rsidRPr="00EC6337" w:rsidRDefault="00D051E1" w:rsidP="00460F99">
      <w:pPr>
        <w:pStyle w:val="Titre2"/>
        <w:numPr>
          <w:ilvl w:val="1"/>
          <w:numId w:val="28"/>
        </w:numPr>
      </w:pPr>
      <w:bookmarkStart w:id="6" w:name="_Toc63233182"/>
      <w:r w:rsidRPr="00EC6337">
        <w:t>Aperçu de la géographie physique et des subdivisions administratives</w:t>
      </w:r>
      <w:bookmarkEnd w:id="6"/>
    </w:p>
    <w:p w14:paraId="2CE325E7" w14:textId="0D06034E" w:rsidR="00D051E1" w:rsidRPr="00EC6337" w:rsidRDefault="00D051E1" w:rsidP="00D051E1">
      <w:pPr>
        <w:rPr>
          <w:rFonts w:cs="Arial"/>
          <w:szCs w:val="24"/>
        </w:rPr>
      </w:pPr>
      <w:r w:rsidRPr="00EC6337">
        <w:rPr>
          <w:rFonts w:cs="Arial"/>
          <w:szCs w:val="24"/>
        </w:rPr>
        <w:t xml:space="preserve">La République de Guinée située en Afrique occidentale à 10 degrés au nord de l’équateur, est limitée par la Guinée Bissau au nord-est, le Sénégal au nord, la Côte d’Ivoire à l’est, le Libéria et la Sierra Leone au sud et l’Océan atlantique à l’ouest. Elle couvre une superficie de </w:t>
      </w:r>
      <w:smartTag w:uri="urn:schemas-microsoft-com:office:smarttags" w:element="metricconverter">
        <w:smartTagPr>
          <w:attr w:name="ProductID" w:val="245 857 kilomètres"/>
        </w:smartTagPr>
        <w:r w:rsidRPr="00EC6337">
          <w:rPr>
            <w:rFonts w:cs="Arial"/>
            <w:szCs w:val="24"/>
          </w:rPr>
          <w:t>245 857 kilomètres</w:t>
        </w:r>
      </w:smartTag>
      <w:r w:rsidRPr="00EC6337">
        <w:rPr>
          <w:rFonts w:cs="Arial"/>
          <w:szCs w:val="24"/>
        </w:rPr>
        <w:t xml:space="preserve"> carrés, </w:t>
      </w:r>
      <w:r w:rsidR="001867BE">
        <w:rPr>
          <w:rFonts w:cs="Arial"/>
          <w:szCs w:val="24"/>
        </w:rPr>
        <w:t>avec</w:t>
      </w:r>
      <w:r w:rsidRPr="00EC6337">
        <w:rPr>
          <w:rFonts w:cs="Arial"/>
          <w:szCs w:val="24"/>
        </w:rPr>
        <w:t xml:space="preserve"> environ </w:t>
      </w:r>
      <w:smartTag w:uri="urn:schemas-microsoft-com:office:smarttags" w:element="metricconverter">
        <w:smartTagPr>
          <w:attr w:name="ProductID" w:val="300 kilomètres"/>
        </w:smartTagPr>
        <w:r w:rsidRPr="00EC6337">
          <w:rPr>
            <w:rFonts w:cs="Arial"/>
            <w:szCs w:val="24"/>
          </w:rPr>
          <w:t>300 kilomètres</w:t>
        </w:r>
      </w:smartTag>
      <w:r w:rsidRPr="00EC6337">
        <w:rPr>
          <w:rFonts w:cs="Arial"/>
          <w:szCs w:val="24"/>
        </w:rPr>
        <w:t xml:space="preserve"> de côte </w:t>
      </w:r>
      <w:r w:rsidR="001867BE">
        <w:rPr>
          <w:rFonts w:cs="Arial"/>
          <w:szCs w:val="24"/>
        </w:rPr>
        <w:t xml:space="preserve">de l’océan </w:t>
      </w:r>
      <w:r w:rsidRPr="00EC6337">
        <w:rPr>
          <w:rFonts w:cs="Arial"/>
          <w:szCs w:val="24"/>
        </w:rPr>
        <w:t xml:space="preserve">atlantique, et s’étend sur </w:t>
      </w:r>
      <w:smartTag w:uri="urn:schemas-microsoft-com:office:smarttags" w:element="metricconverter">
        <w:smartTagPr>
          <w:attr w:name="ProductID" w:val="800 kilomètres"/>
        </w:smartTagPr>
        <w:r w:rsidRPr="00EC6337">
          <w:rPr>
            <w:rFonts w:cs="Arial"/>
            <w:szCs w:val="24"/>
          </w:rPr>
          <w:t>800 kilomètres</w:t>
        </w:r>
      </w:smartTag>
      <w:r w:rsidRPr="00EC6337">
        <w:rPr>
          <w:rFonts w:cs="Arial"/>
          <w:szCs w:val="24"/>
        </w:rPr>
        <w:t xml:space="preserve"> d’est en ouest contre </w:t>
      </w:r>
      <w:smartTag w:uri="urn:schemas-microsoft-com:office:smarttags" w:element="metricconverter">
        <w:smartTagPr>
          <w:attr w:name="ProductID" w:val="500 kilomètres"/>
        </w:smartTagPr>
        <w:r w:rsidRPr="00EC6337">
          <w:rPr>
            <w:rFonts w:cs="Arial"/>
            <w:szCs w:val="24"/>
          </w:rPr>
          <w:t>500 kilomètres</w:t>
        </w:r>
      </w:smartTag>
      <w:r w:rsidRPr="00EC6337">
        <w:rPr>
          <w:rFonts w:cs="Arial"/>
          <w:szCs w:val="24"/>
        </w:rPr>
        <w:t xml:space="preserve"> du nord au sud. Elle comprend quatre régions naturelles qui sont:</w:t>
      </w:r>
      <w:r w:rsidR="00F36889">
        <w:rPr>
          <w:rFonts w:cs="Arial"/>
          <w:szCs w:val="24"/>
        </w:rPr>
        <w:t xml:space="preserve"> </w:t>
      </w:r>
    </w:p>
    <w:p w14:paraId="2131E47D" w14:textId="77777777" w:rsidR="00D051E1" w:rsidRPr="00EC6337" w:rsidRDefault="00D051E1" w:rsidP="00514550">
      <w:pPr>
        <w:widowControl/>
        <w:numPr>
          <w:ilvl w:val="0"/>
          <w:numId w:val="10"/>
        </w:numPr>
        <w:spacing w:before="0" w:after="0" w:line="240" w:lineRule="auto"/>
        <w:rPr>
          <w:rFonts w:cs="Arial"/>
          <w:szCs w:val="24"/>
        </w:rPr>
      </w:pPr>
      <w:r w:rsidRPr="00EC6337">
        <w:rPr>
          <w:rFonts w:cs="Arial"/>
          <w:szCs w:val="24"/>
        </w:rPr>
        <w:t xml:space="preserve">La Basse Guinée: plaines côtières couvrant 18% du territoire, avec un climat caractérisé par de fortes précipitations variant entre 3000 et </w:t>
      </w:r>
      <w:smartTag w:uri="urn:schemas-microsoft-com:office:smarttags" w:element="metricconverter">
        <w:smartTagPr>
          <w:attr w:name="ProductID" w:val="4000 millimètres"/>
        </w:smartTagPr>
        <w:r w:rsidRPr="00EC6337">
          <w:rPr>
            <w:rFonts w:cs="Arial"/>
            <w:szCs w:val="24"/>
          </w:rPr>
          <w:t>4000 millimètres</w:t>
        </w:r>
      </w:smartTag>
      <w:r w:rsidRPr="00EC6337">
        <w:rPr>
          <w:rFonts w:cs="Arial"/>
          <w:szCs w:val="24"/>
        </w:rPr>
        <w:t xml:space="preserve"> par an;</w:t>
      </w:r>
    </w:p>
    <w:p w14:paraId="12175386" w14:textId="77777777" w:rsidR="00D051E1" w:rsidRPr="00EC6337" w:rsidRDefault="00D051E1" w:rsidP="00514550">
      <w:pPr>
        <w:widowControl/>
        <w:numPr>
          <w:ilvl w:val="0"/>
          <w:numId w:val="10"/>
        </w:numPr>
        <w:spacing w:before="0" w:after="0" w:line="240" w:lineRule="auto"/>
        <w:rPr>
          <w:rFonts w:cs="Arial"/>
          <w:szCs w:val="24"/>
        </w:rPr>
      </w:pPr>
      <w:r w:rsidRPr="00EC6337">
        <w:rPr>
          <w:rFonts w:cs="Arial"/>
          <w:szCs w:val="24"/>
        </w:rPr>
        <w:t xml:space="preserve">Moyenne Guinée: massifs montagneux couvrant 22%, avec un climat caractérisé par des précipitations annuelles variant entre 1500 et </w:t>
      </w:r>
      <w:smartTag w:uri="urn:schemas-microsoft-com:office:smarttags" w:element="metricconverter">
        <w:smartTagPr>
          <w:attr w:name="ProductID" w:val="2000 millimètres"/>
        </w:smartTagPr>
        <w:r w:rsidRPr="00EC6337">
          <w:rPr>
            <w:rFonts w:cs="Arial"/>
            <w:szCs w:val="24"/>
          </w:rPr>
          <w:t>2000 millimètres</w:t>
        </w:r>
      </w:smartTag>
      <w:r w:rsidRPr="00EC6337">
        <w:rPr>
          <w:rFonts w:cs="Arial"/>
          <w:szCs w:val="24"/>
        </w:rPr>
        <w:t xml:space="preserve"> par an; </w:t>
      </w:r>
    </w:p>
    <w:p w14:paraId="23EBF36E" w14:textId="77777777" w:rsidR="00D051E1" w:rsidRPr="00EC6337" w:rsidRDefault="00D051E1" w:rsidP="00514550">
      <w:pPr>
        <w:widowControl/>
        <w:numPr>
          <w:ilvl w:val="0"/>
          <w:numId w:val="10"/>
        </w:numPr>
        <w:spacing w:before="0" w:after="0" w:line="240" w:lineRule="auto"/>
        <w:rPr>
          <w:rFonts w:cs="Arial"/>
          <w:szCs w:val="24"/>
        </w:rPr>
      </w:pPr>
      <w:r w:rsidRPr="00EC6337">
        <w:rPr>
          <w:rFonts w:cs="Arial"/>
          <w:szCs w:val="24"/>
        </w:rPr>
        <w:t xml:space="preserve">Haute Guinée: plateaux et savanes arborées couvrant 40% avec des précipitations annuelles variant entre 1000 et </w:t>
      </w:r>
      <w:smartTag w:uri="urn:schemas-microsoft-com:office:smarttags" w:element="metricconverter">
        <w:smartTagPr>
          <w:attr w:name="ProductID" w:val="1500 millimètres"/>
        </w:smartTagPr>
        <w:r w:rsidRPr="00EC6337">
          <w:rPr>
            <w:rFonts w:cs="Arial"/>
            <w:szCs w:val="24"/>
          </w:rPr>
          <w:t>1500 millimètres</w:t>
        </w:r>
      </w:smartTag>
      <w:r w:rsidRPr="00EC6337">
        <w:rPr>
          <w:rFonts w:cs="Arial"/>
          <w:szCs w:val="24"/>
        </w:rPr>
        <w:t xml:space="preserve"> par an; </w:t>
      </w:r>
    </w:p>
    <w:p w14:paraId="2DE67BD5" w14:textId="77777777" w:rsidR="00D051E1" w:rsidRPr="00EC6337" w:rsidRDefault="00D051E1" w:rsidP="00514550">
      <w:pPr>
        <w:widowControl/>
        <w:numPr>
          <w:ilvl w:val="0"/>
          <w:numId w:val="10"/>
        </w:numPr>
        <w:spacing w:before="0" w:after="0" w:line="240" w:lineRule="auto"/>
        <w:rPr>
          <w:rFonts w:cs="Arial"/>
          <w:szCs w:val="24"/>
        </w:rPr>
      </w:pPr>
      <w:r w:rsidRPr="00EC6337">
        <w:rPr>
          <w:rFonts w:cs="Arial"/>
          <w:szCs w:val="24"/>
        </w:rPr>
        <w:t xml:space="preserve">Guinée Forestière: massifs montagneux couvrant 20% avec une pluviométrie variant entre 2000 et </w:t>
      </w:r>
      <w:smartTag w:uri="urn:schemas-microsoft-com:office:smarttags" w:element="metricconverter">
        <w:smartTagPr>
          <w:attr w:name="ProductID" w:val="3000 millimètres"/>
        </w:smartTagPr>
        <w:r w:rsidRPr="00EC6337">
          <w:rPr>
            <w:rFonts w:cs="Arial"/>
            <w:szCs w:val="24"/>
          </w:rPr>
          <w:t>3000 millimètres</w:t>
        </w:r>
      </w:smartTag>
      <w:r w:rsidRPr="00EC6337">
        <w:rPr>
          <w:rFonts w:cs="Arial"/>
          <w:szCs w:val="24"/>
        </w:rPr>
        <w:t>.</w:t>
      </w:r>
    </w:p>
    <w:p w14:paraId="37A13009" w14:textId="77777777" w:rsidR="0076631E" w:rsidRDefault="00D051E1" w:rsidP="00D051E1">
      <w:pPr>
        <w:rPr>
          <w:rFonts w:cs="Arial"/>
          <w:szCs w:val="24"/>
        </w:rPr>
      </w:pPr>
      <w:r w:rsidRPr="00EC6337">
        <w:rPr>
          <w:rFonts w:cs="Arial"/>
          <w:noProof/>
          <w:szCs w:val="24"/>
          <w:lang w:val="en-US"/>
        </w:rPr>
        <w:drawing>
          <wp:anchor distT="0" distB="0" distL="114300" distR="114300" simplePos="0" relativeHeight="251659264" behindDoc="0" locked="0" layoutInCell="1" allowOverlap="0" wp14:anchorId="689B2784" wp14:editId="2347E1DA">
            <wp:simplePos x="0" y="0"/>
            <wp:positionH relativeFrom="margin">
              <wp:posOffset>-234777</wp:posOffset>
            </wp:positionH>
            <wp:positionV relativeFrom="paragraph">
              <wp:posOffset>822251</wp:posOffset>
            </wp:positionV>
            <wp:extent cx="6507480" cy="3633849"/>
            <wp:effectExtent l="0" t="0" r="7620" b="5080"/>
            <wp:wrapSquare wrapText="bothSides"/>
            <wp:docPr id="1" name="Image 1" descr="carte administ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 administrati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159" cy="36342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337">
        <w:rPr>
          <w:rFonts w:cs="Arial"/>
          <w:szCs w:val="24"/>
        </w:rPr>
        <w:t>Cet ensemble des régions naturelles est reparti en huit régions administratives qui sont: Conakry (considérée Zone spéciale), Boké, Kindia, Mamou, Labé, Faranah, Kankan et N’</w:t>
      </w:r>
      <w:proofErr w:type="spellStart"/>
      <w:r w:rsidRPr="00EC6337">
        <w:rPr>
          <w:rFonts w:cs="Arial"/>
          <w:szCs w:val="24"/>
        </w:rPr>
        <w:t>zérékoré</w:t>
      </w:r>
      <w:proofErr w:type="spellEnd"/>
      <w:r w:rsidRPr="00EC6337">
        <w:rPr>
          <w:rFonts w:cs="Arial"/>
          <w:szCs w:val="24"/>
        </w:rPr>
        <w:t xml:space="preserve"> (voir la carte ci-dessous). </w:t>
      </w:r>
    </w:p>
    <w:p w14:paraId="7E296F0B" w14:textId="3DBC9BC4" w:rsidR="00D051E1" w:rsidRDefault="00D051E1" w:rsidP="00D051E1">
      <w:pPr>
        <w:rPr>
          <w:rFonts w:cs="Arial"/>
          <w:szCs w:val="24"/>
        </w:rPr>
      </w:pPr>
      <w:r w:rsidRPr="00EC6337">
        <w:rPr>
          <w:rFonts w:cs="Arial"/>
          <w:szCs w:val="24"/>
        </w:rPr>
        <w:t>Les Régions administratives de l'intérieur du pays sont subdivisées en préfectures (33 au total) et la Zone spéciale de Conakry en cinq communes urbaines. Chacune de ces préfectures et des communes de Conakry correspond à un District de santé.</w:t>
      </w:r>
    </w:p>
    <w:p w14:paraId="07B08785" w14:textId="1B0FBE84" w:rsidR="0076631E" w:rsidRPr="00EC6337" w:rsidRDefault="0076631E" w:rsidP="00D051E1">
      <w:pPr>
        <w:rPr>
          <w:rFonts w:cs="Arial"/>
          <w:szCs w:val="24"/>
        </w:rPr>
      </w:pPr>
      <w:r>
        <w:rPr>
          <w:rFonts w:cs="Arial"/>
          <w:szCs w:val="24"/>
        </w:rPr>
        <w:t xml:space="preserve">Le gouvernement s’est engagé dans une politique de décentralisation avec le transfert des compétences au niveau des communes pour faciliter la prise en charge des </w:t>
      </w:r>
      <w:r w:rsidR="00D4295D">
        <w:rPr>
          <w:rFonts w:cs="Arial"/>
          <w:szCs w:val="24"/>
        </w:rPr>
        <w:t>besoins</w:t>
      </w:r>
      <w:r>
        <w:rPr>
          <w:rFonts w:cs="Arial"/>
          <w:szCs w:val="24"/>
        </w:rPr>
        <w:t xml:space="preserve"> sociaux de la population</w:t>
      </w:r>
      <w:r w:rsidR="00D4295D">
        <w:rPr>
          <w:rFonts w:cs="Arial"/>
          <w:szCs w:val="24"/>
        </w:rPr>
        <w:t xml:space="preserve">. </w:t>
      </w:r>
      <w:r w:rsidR="00D170EF">
        <w:rPr>
          <w:rFonts w:cs="Arial"/>
          <w:szCs w:val="24"/>
        </w:rPr>
        <w:t>Pour le cas spécifique de la santé, l</w:t>
      </w:r>
      <w:r w:rsidR="00D4295D">
        <w:rPr>
          <w:rFonts w:cs="Arial"/>
          <w:szCs w:val="24"/>
        </w:rPr>
        <w:t xml:space="preserve">e centre de santé est la structure opérationnelle de mise en </w:t>
      </w:r>
      <w:r w:rsidR="00395ABB">
        <w:rPr>
          <w:rFonts w:cs="Arial"/>
          <w:szCs w:val="24"/>
        </w:rPr>
        <w:t>œuvre</w:t>
      </w:r>
      <w:r w:rsidR="00D4295D">
        <w:rPr>
          <w:rFonts w:cs="Arial"/>
          <w:szCs w:val="24"/>
        </w:rPr>
        <w:t xml:space="preserve"> du </w:t>
      </w:r>
      <w:r w:rsidR="00395ABB">
        <w:rPr>
          <w:rFonts w:cs="Arial"/>
          <w:szCs w:val="24"/>
        </w:rPr>
        <w:t>paquet</w:t>
      </w:r>
      <w:r w:rsidR="00D4295D">
        <w:rPr>
          <w:rFonts w:cs="Arial"/>
          <w:szCs w:val="24"/>
        </w:rPr>
        <w:t xml:space="preserve"> des soins de santé primaire</w:t>
      </w:r>
      <w:r w:rsidR="00FC26BA">
        <w:rPr>
          <w:rFonts w:cs="Arial"/>
          <w:szCs w:val="24"/>
        </w:rPr>
        <w:t>s</w:t>
      </w:r>
      <w:r w:rsidR="00D4295D">
        <w:rPr>
          <w:rFonts w:cs="Arial"/>
          <w:szCs w:val="24"/>
        </w:rPr>
        <w:t>.</w:t>
      </w:r>
    </w:p>
    <w:p w14:paraId="169602F1" w14:textId="77777777" w:rsidR="00D051E1" w:rsidRPr="0037394B" w:rsidRDefault="00D051E1" w:rsidP="00460F99">
      <w:pPr>
        <w:pStyle w:val="Titre2"/>
        <w:numPr>
          <w:ilvl w:val="1"/>
          <w:numId w:val="28"/>
        </w:numPr>
      </w:pPr>
      <w:bookmarkStart w:id="7" w:name="_Toc63233183"/>
      <w:r w:rsidRPr="0037394B">
        <w:t>Population</w:t>
      </w:r>
      <w:bookmarkEnd w:id="7"/>
      <w:r w:rsidRPr="0037394B">
        <w:t xml:space="preserve"> </w:t>
      </w:r>
    </w:p>
    <w:p w14:paraId="13FB9A77" w14:textId="77777777" w:rsidR="00D051E1" w:rsidRPr="00EC6337" w:rsidRDefault="00D051E1" w:rsidP="00D051E1">
      <w:pPr>
        <w:rPr>
          <w:rFonts w:cs="Arial"/>
          <w:szCs w:val="24"/>
          <w:vertAlign w:val="superscript"/>
          <w:lang w:val="fr-CA"/>
        </w:rPr>
      </w:pPr>
      <w:r w:rsidRPr="00EC6337">
        <w:rPr>
          <w:rFonts w:cs="Arial"/>
          <w:szCs w:val="24"/>
        </w:rPr>
        <w:t>En 2017, l</w:t>
      </w:r>
      <w:r w:rsidRPr="00EC6337">
        <w:rPr>
          <w:rFonts w:cs="Arial"/>
          <w:szCs w:val="24"/>
          <w:lang w:val="fr-CA"/>
        </w:rPr>
        <w:t xml:space="preserve">a population totale de la Guinée est estimée à </w:t>
      </w:r>
      <w:r w:rsidRPr="00EC6337">
        <w:rPr>
          <w:rFonts w:eastAsia="Times New Roman" w:cs="Arial"/>
          <w:b/>
          <w:bCs/>
          <w:szCs w:val="24"/>
          <w:lang w:eastAsia="fr-FR"/>
        </w:rPr>
        <w:t xml:space="preserve">11 702 693 </w:t>
      </w:r>
      <w:r w:rsidRPr="00EC6337">
        <w:rPr>
          <w:rFonts w:cs="Arial"/>
          <w:bCs/>
          <w:szCs w:val="24"/>
          <w:lang w:val="fr-CA"/>
        </w:rPr>
        <w:t xml:space="preserve">habitants </w:t>
      </w:r>
      <w:r w:rsidRPr="00EC6337">
        <w:rPr>
          <w:rFonts w:cs="Arial"/>
          <w:szCs w:val="24"/>
          <w:lang w:val="fr-CA"/>
        </w:rPr>
        <w:t xml:space="preserve">et la densité moyenne pour l’ensemble du pays est de </w:t>
      </w:r>
      <w:r w:rsidRPr="00EC6337">
        <w:rPr>
          <w:rFonts w:cs="Arial"/>
          <w:bCs/>
          <w:szCs w:val="24"/>
        </w:rPr>
        <w:t>47,60</w:t>
      </w:r>
      <w:r w:rsidRPr="00EC6337">
        <w:rPr>
          <w:rFonts w:cs="Arial"/>
          <w:szCs w:val="24"/>
          <w:lang w:val="fr-CA"/>
        </w:rPr>
        <w:t xml:space="preserve"> habitants au km² </w:t>
      </w:r>
      <w:r w:rsidRPr="00EC6337">
        <w:rPr>
          <w:rFonts w:cs="Arial"/>
          <w:bCs/>
          <w:szCs w:val="24"/>
          <w:lang w:val="fr-CA"/>
        </w:rPr>
        <w:t>(Perspectives démographiques, INS, 2014)</w:t>
      </w:r>
      <w:r w:rsidRPr="00EC6337">
        <w:rPr>
          <w:rFonts w:cs="Arial"/>
          <w:szCs w:val="24"/>
          <w:lang w:val="fr-CA"/>
        </w:rPr>
        <w:t>.</w:t>
      </w:r>
    </w:p>
    <w:p w14:paraId="36618293" w14:textId="04D85A82" w:rsidR="00D051E1" w:rsidRPr="00EC6337" w:rsidRDefault="00D051E1" w:rsidP="003511F9">
      <w:pPr>
        <w:jc w:val="left"/>
        <w:rPr>
          <w:rFonts w:cs="Arial"/>
          <w:szCs w:val="24"/>
        </w:rPr>
      </w:pPr>
      <w:r w:rsidRPr="00EC6337">
        <w:rPr>
          <w:rFonts w:cs="Arial"/>
          <w:szCs w:val="24"/>
        </w:rPr>
        <w:t>La Guinée est un pays à forte natalité et à fécondité élevée, caractérisée par des maternités précoces, tardives et une proportion importante de femmes en âge de procréer. Le taux brut de natalité est estimé à 39,7 (RGPH3, 2014) et l'indice synthétique de fécondité à 5,3 e</w:t>
      </w:r>
      <w:r w:rsidR="00617C7E">
        <w:rPr>
          <w:rFonts w:cs="Arial"/>
          <w:szCs w:val="24"/>
        </w:rPr>
        <w:t>nfants par femme (RGPH3, 2014).</w:t>
      </w:r>
    </w:p>
    <w:p w14:paraId="50E1F482" w14:textId="3FDFA12E" w:rsidR="00D051E1" w:rsidRPr="00EC6337" w:rsidRDefault="00D051E1" w:rsidP="003511F9">
      <w:pPr>
        <w:pStyle w:val="CORPSDETEXTE2"/>
        <w:spacing w:before="0" w:after="120"/>
        <w:ind w:left="0" w:right="288"/>
        <w:jc w:val="left"/>
        <w:rPr>
          <w:rFonts w:ascii="Maiandra GD" w:hAnsi="Maiandra GD" w:cs="Arial"/>
          <w:sz w:val="24"/>
          <w:szCs w:val="24"/>
        </w:rPr>
      </w:pPr>
      <w:r w:rsidRPr="00EC6337">
        <w:rPr>
          <w:rFonts w:ascii="Maiandra GD" w:hAnsi="Maiandra GD" w:cs="Arial"/>
          <w:sz w:val="24"/>
          <w:szCs w:val="24"/>
        </w:rPr>
        <w:t>Les résultats de l'enquête sur l'urbanisation et les migrations en Afrique de l'Ouest (</w:t>
      </w:r>
      <w:proofErr w:type="spellStart"/>
      <w:r w:rsidRPr="00EC6337">
        <w:rPr>
          <w:rFonts w:ascii="Maiandra GD" w:hAnsi="Maiandra GD" w:cs="Arial"/>
          <w:sz w:val="24"/>
          <w:szCs w:val="24"/>
        </w:rPr>
        <w:t>REMUO</w:t>
      </w:r>
      <w:proofErr w:type="spellEnd"/>
      <w:r w:rsidRPr="00EC6337">
        <w:rPr>
          <w:rFonts w:ascii="Maiandra GD" w:hAnsi="Maiandra GD" w:cs="Arial"/>
          <w:sz w:val="24"/>
          <w:szCs w:val="24"/>
        </w:rPr>
        <w:t xml:space="preserve">, 1993) indiquent qu’en Guinée la population de 15 ans et plus </w:t>
      </w:r>
      <w:r w:rsidR="00E14D3D" w:rsidRPr="00EC6337">
        <w:rPr>
          <w:rFonts w:ascii="Maiandra GD" w:hAnsi="Maiandra GD" w:cs="Arial"/>
          <w:sz w:val="24"/>
          <w:szCs w:val="24"/>
        </w:rPr>
        <w:t>à</w:t>
      </w:r>
      <w:r w:rsidRPr="00EC6337">
        <w:rPr>
          <w:rFonts w:ascii="Maiandra GD" w:hAnsi="Maiandra GD" w:cs="Arial"/>
          <w:sz w:val="24"/>
          <w:szCs w:val="24"/>
        </w:rPr>
        <w:t xml:space="preserve"> un taux de croissance migratoire international négatif (-0,09%). S'agissant des migrations internes, l'enquête indique que les taux nets ne sont positifs qu'à Conakry et en Haute Guinée. Ces deux régions ont respectivement un taux net de migration de 1,42% et de 0,15%. </w:t>
      </w:r>
    </w:p>
    <w:p w14:paraId="076DEE6E" w14:textId="77777777" w:rsidR="00D051E1" w:rsidRPr="00EC6337" w:rsidRDefault="00D051E1" w:rsidP="00460F99">
      <w:pPr>
        <w:pStyle w:val="Titre2"/>
        <w:numPr>
          <w:ilvl w:val="1"/>
          <w:numId w:val="28"/>
        </w:numPr>
      </w:pPr>
      <w:bookmarkStart w:id="8" w:name="_Toc63233184"/>
      <w:r w:rsidRPr="00EC6337">
        <w:t>Données socio-économiques</w:t>
      </w:r>
      <w:bookmarkEnd w:id="8"/>
    </w:p>
    <w:p w14:paraId="1F60A537" w14:textId="77777777" w:rsidR="00D051E1" w:rsidRPr="00EC6337" w:rsidRDefault="00D051E1" w:rsidP="00D051E1">
      <w:pPr>
        <w:pStyle w:val="CORPSDETEXTE2"/>
        <w:spacing w:before="0" w:after="120"/>
        <w:ind w:left="0" w:right="288"/>
        <w:rPr>
          <w:rFonts w:ascii="Maiandra GD" w:hAnsi="Maiandra GD" w:cs="Arial"/>
          <w:color w:val="000000" w:themeColor="text1"/>
          <w:sz w:val="24"/>
          <w:szCs w:val="24"/>
        </w:rPr>
      </w:pPr>
      <w:r w:rsidRPr="00EC6337">
        <w:rPr>
          <w:rFonts w:ascii="Maiandra GD" w:hAnsi="Maiandra GD" w:cs="Arial"/>
          <w:color w:val="000000" w:themeColor="text1"/>
          <w:sz w:val="24"/>
          <w:szCs w:val="24"/>
        </w:rPr>
        <w:t>Depuis 1984, la Guinée s’est engagée dans un processus de transition d’une économie planifiée vers une économie de marché. Son économie est dominée par le secteur rural et le secteur minier qui contribuent respectivement pour 18 % et 19 % au PIB. Le secteur rural assure l’emploi et les moyens de subsistance à la majorité de la population. Le sous-sol renferme d’immenses potentialités minières (bauxite, or, diamant, fer, etc.). D’importants efforts ont été réalisés ces dernières années dans le domaine des réformes économiques et de la réduction des déséquilibres internes et externes. Ces réformes ont permis de stabiliser les agrégats macroéconomiques et de répondre à une partie de la demande sociale notamment dans les domaines de l’éducation et de la santé.</w:t>
      </w:r>
    </w:p>
    <w:p w14:paraId="59AEEBBF" w14:textId="77777777" w:rsidR="00D051E1" w:rsidRPr="00EC6337" w:rsidRDefault="00D051E1" w:rsidP="00460F99">
      <w:pPr>
        <w:pStyle w:val="Titre2"/>
        <w:numPr>
          <w:ilvl w:val="1"/>
          <w:numId w:val="28"/>
        </w:numPr>
      </w:pPr>
      <w:bookmarkStart w:id="9" w:name="_Toc63233185"/>
      <w:proofErr w:type="spellStart"/>
      <w:r w:rsidRPr="0037394B">
        <w:t>Etat</w:t>
      </w:r>
      <w:proofErr w:type="spellEnd"/>
      <w:r w:rsidRPr="00EC6337">
        <w:t xml:space="preserve"> de santé</w:t>
      </w:r>
      <w:bookmarkEnd w:id="9"/>
    </w:p>
    <w:p w14:paraId="2696E424" w14:textId="597E794C" w:rsidR="00D051E1" w:rsidRPr="00EC6337" w:rsidRDefault="00D051E1" w:rsidP="0037394B">
      <w:pPr>
        <w:tabs>
          <w:tab w:val="left" w:pos="426"/>
        </w:tabs>
        <w:spacing w:line="276" w:lineRule="auto"/>
        <w:rPr>
          <w:rFonts w:eastAsia="Times New Roman" w:cs="Arial"/>
          <w:color w:val="000000" w:themeColor="text1"/>
          <w:szCs w:val="24"/>
        </w:rPr>
      </w:pPr>
      <w:r w:rsidRPr="00EC6337">
        <w:rPr>
          <w:rFonts w:eastAsia="Times New Roman" w:cs="Arial"/>
          <w:color w:val="000000" w:themeColor="text1"/>
          <w:szCs w:val="24"/>
        </w:rPr>
        <w:t xml:space="preserve">L’état de santé de la population se résume sur la base des indicateurs du </w:t>
      </w:r>
      <w:proofErr w:type="spellStart"/>
      <w:r w:rsidRPr="00EC6337">
        <w:rPr>
          <w:rFonts w:eastAsia="Times New Roman" w:cs="Arial"/>
          <w:color w:val="000000" w:themeColor="text1"/>
          <w:szCs w:val="24"/>
        </w:rPr>
        <w:t>MICS</w:t>
      </w:r>
      <w:proofErr w:type="spellEnd"/>
      <w:r w:rsidRPr="00EC6337">
        <w:rPr>
          <w:rFonts w:eastAsia="Times New Roman" w:cs="Arial"/>
          <w:color w:val="000000" w:themeColor="text1"/>
          <w:szCs w:val="24"/>
        </w:rPr>
        <w:t xml:space="preserve"> 2016 et de l’</w:t>
      </w:r>
      <w:proofErr w:type="spellStart"/>
      <w:r w:rsidRPr="00EC6337">
        <w:rPr>
          <w:rFonts w:eastAsia="Times New Roman" w:cs="Arial"/>
          <w:color w:val="000000" w:themeColor="text1"/>
          <w:szCs w:val="24"/>
        </w:rPr>
        <w:t>EDS</w:t>
      </w:r>
      <w:proofErr w:type="spellEnd"/>
      <w:r w:rsidRPr="00EC6337">
        <w:rPr>
          <w:rFonts w:eastAsia="Times New Roman" w:cs="Arial"/>
          <w:color w:val="000000" w:themeColor="text1"/>
          <w:szCs w:val="24"/>
        </w:rPr>
        <w:t xml:space="preserve"> 2018 : le ratio de la mortalité maternelle est de 550 pour 100 000 naissances vivantes, le taux de mortalité néonatale de 32‰, le taux de mortalité </w:t>
      </w:r>
      <w:proofErr w:type="spellStart"/>
      <w:r w:rsidRPr="00EC6337">
        <w:rPr>
          <w:rFonts w:eastAsia="Times New Roman" w:cs="Arial"/>
          <w:color w:val="000000" w:themeColor="text1"/>
          <w:szCs w:val="24"/>
        </w:rPr>
        <w:t>infantojuvénile</w:t>
      </w:r>
      <w:proofErr w:type="spellEnd"/>
      <w:r w:rsidRPr="00EC6337">
        <w:rPr>
          <w:rFonts w:eastAsia="Times New Roman" w:cs="Arial"/>
          <w:color w:val="000000" w:themeColor="text1"/>
          <w:szCs w:val="24"/>
        </w:rPr>
        <w:t xml:space="preserve"> de 111‰ et le taux de mortalité infantile de 66‰. </w:t>
      </w:r>
    </w:p>
    <w:p w14:paraId="05BB062F" w14:textId="6400312C" w:rsidR="00D051E1" w:rsidRPr="00EC6337" w:rsidRDefault="00D051E1" w:rsidP="00D051E1">
      <w:pPr>
        <w:tabs>
          <w:tab w:val="left" w:pos="426"/>
        </w:tabs>
        <w:spacing w:line="276" w:lineRule="auto"/>
        <w:rPr>
          <w:rFonts w:eastAsia="Times New Roman" w:cs="Arial"/>
          <w:color w:val="000000" w:themeColor="text1"/>
          <w:szCs w:val="24"/>
        </w:rPr>
      </w:pPr>
      <w:r w:rsidRPr="00EC6337">
        <w:rPr>
          <w:rFonts w:eastAsia="Times New Roman" w:cs="Arial"/>
          <w:color w:val="000000" w:themeColor="text1"/>
          <w:szCs w:val="24"/>
        </w:rPr>
        <w:t xml:space="preserve">Le niveau de ces indicateurs de mortalité maternelle, infantile et </w:t>
      </w:r>
      <w:proofErr w:type="spellStart"/>
      <w:r w:rsidRPr="00EC6337">
        <w:rPr>
          <w:rFonts w:eastAsia="Times New Roman" w:cs="Arial"/>
          <w:color w:val="000000" w:themeColor="text1"/>
          <w:szCs w:val="24"/>
        </w:rPr>
        <w:t>infantojuvénile</w:t>
      </w:r>
      <w:proofErr w:type="spellEnd"/>
      <w:r w:rsidRPr="00EC6337">
        <w:rPr>
          <w:rFonts w:eastAsia="Times New Roman" w:cs="Arial"/>
          <w:color w:val="000000" w:themeColor="text1"/>
          <w:szCs w:val="24"/>
        </w:rPr>
        <w:t xml:space="preserve"> reste encore très élevé par rapport aux pays à économie similaire. </w:t>
      </w:r>
    </w:p>
    <w:p w14:paraId="72E8E907" w14:textId="4C0A9BBA" w:rsidR="00D051E1" w:rsidRPr="00EC6337" w:rsidRDefault="00D051E1" w:rsidP="00D051E1">
      <w:pPr>
        <w:tabs>
          <w:tab w:val="left" w:pos="426"/>
        </w:tabs>
        <w:spacing w:line="276" w:lineRule="auto"/>
        <w:rPr>
          <w:rFonts w:eastAsia="Times New Roman" w:cs="Arial"/>
          <w:color w:val="000000" w:themeColor="text1"/>
          <w:szCs w:val="24"/>
        </w:rPr>
      </w:pPr>
      <w:r w:rsidRPr="00EC6337">
        <w:rPr>
          <w:rFonts w:eastAsia="Times New Roman" w:cs="Arial"/>
          <w:color w:val="000000" w:themeColor="text1"/>
          <w:szCs w:val="24"/>
        </w:rPr>
        <w:t>Sur le plan épidémiologique, les principales causes de la morbi</w:t>
      </w:r>
      <w:r w:rsidR="00E5114D">
        <w:rPr>
          <w:rFonts w:eastAsia="Times New Roman" w:cs="Arial"/>
          <w:color w:val="000000" w:themeColor="text1"/>
          <w:szCs w:val="24"/>
        </w:rPr>
        <w:t xml:space="preserve">dité et de la </w:t>
      </w:r>
      <w:r w:rsidRPr="00EC6337">
        <w:rPr>
          <w:rFonts w:eastAsia="Times New Roman" w:cs="Arial"/>
          <w:color w:val="000000" w:themeColor="text1"/>
          <w:szCs w:val="24"/>
        </w:rPr>
        <w:t xml:space="preserve">mortalité sont liées aux maladies transmissibles dont les maladies à potentiel épidémique et les maladies évitables par la vaccination. </w:t>
      </w:r>
    </w:p>
    <w:p w14:paraId="6C4094F8" w14:textId="77777777" w:rsidR="00D051E1" w:rsidRPr="00EC6337" w:rsidRDefault="00D051E1" w:rsidP="00D051E1">
      <w:pPr>
        <w:tabs>
          <w:tab w:val="left" w:pos="426"/>
        </w:tabs>
        <w:spacing w:line="276" w:lineRule="auto"/>
        <w:rPr>
          <w:rFonts w:eastAsia="Times New Roman" w:cs="Arial"/>
          <w:color w:val="000000" w:themeColor="text1"/>
          <w:szCs w:val="24"/>
        </w:rPr>
      </w:pPr>
      <w:r w:rsidRPr="00EC6337">
        <w:rPr>
          <w:rFonts w:eastAsia="Times New Roman" w:cs="Arial"/>
          <w:color w:val="000000" w:themeColor="text1"/>
          <w:szCs w:val="24"/>
        </w:rPr>
        <w:t>Selon l’</w:t>
      </w:r>
      <w:proofErr w:type="spellStart"/>
      <w:r w:rsidRPr="00EC6337">
        <w:rPr>
          <w:rFonts w:eastAsia="Times New Roman" w:cs="Arial"/>
          <w:color w:val="000000" w:themeColor="text1"/>
          <w:szCs w:val="24"/>
        </w:rPr>
        <w:t>EDS-MICS</w:t>
      </w:r>
      <w:proofErr w:type="spellEnd"/>
      <w:r w:rsidRPr="00EC6337">
        <w:rPr>
          <w:rFonts w:eastAsia="Times New Roman" w:cs="Arial"/>
          <w:color w:val="000000" w:themeColor="text1"/>
          <w:szCs w:val="24"/>
        </w:rPr>
        <w:t xml:space="preserve"> 2012 et le </w:t>
      </w:r>
      <w:proofErr w:type="spellStart"/>
      <w:r w:rsidRPr="00EC6337">
        <w:rPr>
          <w:rFonts w:eastAsia="Times New Roman" w:cs="Arial"/>
          <w:color w:val="000000" w:themeColor="text1"/>
          <w:szCs w:val="24"/>
        </w:rPr>
        <w:t>MICS</w:t>
      </w:r>
      <w:proofErr w:type="spellEnd"/>
      <w:r w:rsidRPr="00EC6337">
        <w:rPr>
          <w:rFonts w:eastAsia="Times New Roman" w:cs="Arial"/>
          <w:color w:val="000000" w:themeColor="text1"/>
          <w:szCs w:val="24"/>
        </w:rPr>
        <w:t xml:space="preserve"> 2016, la prévalence du paludisme est passée de 44% en 2012 à 15% en 2016 soit une baisse de 65%. Le VIH/SIDA demeure un problème de santé publique avec une prévalence stable de 1,5% en 2018. La prévalence de la tuberculose, est de 177 </w:t>
      </w:r>
      <w:proofErr w:type="spellStart"/>
      <w:r w:rsidRPr="00EC6337">
        <w:rPr>
          <w:rFonts w:eastAsia="Times New Roman" w:cs="Arial"/>
          <w:color w:val="000000" w:themeColor="text1"/>
          <w:szCs w:val="24"/>
        </w:rPr>
        <w:t>TPM</w:t>
      </w:r>
      <w:proofErr w:type="spellEnd"/>
      <w:r w:rsidRPr="00EC6337">
        <w:rPr>
          <w:rFonts w:eastAsia="Times New Roman" w:cs="Arial"/>
          <w:color w:val="000000" w:themeColor="text1"/>
          <w:szCs w:val="24"/>
        </w:rPr>
        <w:t xml:space="preserve">+ pour 100.000 habitants, reste encore élevée avec sa double charge de co-infection avec le VIH/SIDA. La mortalité par tuberculose (VIH exclu) était de 28 pour 100.000 habitants et a diminué de 68%. </w:t>
      </w:r>
    </w:p>
    <w:p w14:paraId="049FEFCC" w14:textId="77777777" w:rsidR="00D051E1" w:rsidRPr="00EC6337" w:rsidRDefault="00D051E1" w:rsidP="00D051E1">
      <w:pPr>
        <w:tabs>
          <w:tab w:val="left" w:pos="426"/>
        </w:tabs>
        <w:spacing w:line="276" w:lineRule="auto"/>
        <w:rPr>
          <w:rFonts w:eastAsia="Times New Roman" w:cs="Arial"/>
          <w:color w:val="000000" w:themeColor="text1"/>
          <w:szCs w:val="24"/>
        </w:rPr>
      </w:pPr>
      <w:r w:rsidRPr="00EC6337">
        <w:rPr>
          <w:rFonts w:eastAsia="Times New Roman" w:cs="Arial"/>
          <w:color w:val="000000" w:themeColor="text1"/>
          <w:szCs w:val="24"/>
        </w:rPr>
        <w:t xml:space="preserve">Les maladies non transmissibles comme le diabète (5% chez les sujets de 15 à 64 ans), les maladies respiratoires chroniques (12,4% en milieu scolaire), les maladies cardiovasculaires avec 28,1% de </w:t>
      </w:r>
      <w:proofErr w:type="spellStart"/>
      <w:r w:rsidRPr="00EC6337">
        <w:rPr>
          <w:rFonts w:eastAsia="Times New Roman" w:cs="Arial"/>
          <w:color w:val="000000" w:themeColor="text1"/>
          <w:szCs w:val="24"/>
        </w:rPr>
        <w:t>HTA</w:t>
      </w:r>
      <w:proofErr w:type="spellEnd"/>
      <w:r w:rsidRPr="00EC6337">
        <w:rPr>
          <w:rFonts w:eastAsia="Times New Roman" w:cs="Arial"/>
          <w:color w:val="000000" w:themeColor="text1"/>
          <w:szCs w:val="24"/>
        </w:rPr>
        <w:t>, les cancers du col de l’utérus (0,5%) et le cancer du foie 31,5 p.100 000 et la drépanocytose (11,57%) prennent de plus en plus d’importance. Par ailleurs, 31% des enfants de moins de cinq ans souffrent de malnutrition chronique. Les accidents de la circulation représentent plus de 60% de toutes les formes de violences et traumatismes crâniens enregistrés</w:t>
      </w:r>
      <w:r w:rsidRPr="00EC6337">
        <w:rPr>
          <w:rFonts w:eastAsia="Times New Roman" w:cs="Arial"/>
          <w:color w:val="000000" w:themeColor="text1"/>
          <w:szCs w:val="24"/>
        </w:rPr>
        <w:footnoteReference w:id="1"/>
      </w:r>
      <w:r w:rsidRPr="00EC6337">
        <w:rPr>
          <w:rFonts w:eastAsia="Times New Roman" w:cs="Arial"/>
          <w:color w:val="000000" w:themeColor="text1"/>
          <w:szCs w:val="24"/>
        </w:rPr>
        <w:t>.</w:t>
      </w:r>
    </w:p>
    <w:p w14:paraId="06BF28C6" w14:textId="77777777" w:rsidR="00D051E1" w:rsidRPr="00EC6337" w:rsidRDefault="00D051E1" w:rsidP="00460F99">
      <w:pPr>
        <w:pStyle w:val="Titre2"/>
        <w:numPr>
          <w:ilvl w:val="1"/>
          <w:numId w:val="28"/>
        </w:numPr>
      </w:pPr>
      <w:bookmarkStart w:id="10" w:name="_Toc63233186"/>
      <w:r w:rsidRPr="0037394B">
        <w:t>Politique</w:t>
      </w:r>
      <w:r w:rsidRPr="00EC6337">
        <w:t xml:space="preserve"> de santé</w:t>
      </w:r>
      <w:bookmarkEnd w:id="10"/>
    </w:p>
    <w:p w14:paraId="6E8BE83A" w14:textId="04D0F17C" w:rsidR="00D051E1" w:rsidRPr="00EC6337" w:rsidRDefault="00D051E1" w:rsidP="00D051E1">
      <w:pPr>
        <w:pStyle w:val="CORPSDETEXTE2"/>
        <w:spacing w:before="0" w:after="120"/>
        <w:ind w:left="0" w:right="288"/>
        <w:rPr>
          <w:rFonts w:ascii="Maiandra GD" w:hAnsi="Maiandra GD" w:cs="Arial"/>
          <w:color w:val="000000" w:themeColor="text1"/>
          <w:sz w:val="24"/>
          <w:szCs w:val="24"/>
        </w:rPr>
      </w:pPr>
      <w:r w:rsidRPr="00EC6337">
        <w:rPr>
          <w:rFonts w:ascii="Maiandra GD" w:hAnsi="Maiandra GD" w:cs="Arial"/>
          <w:color w:val="000000" w:themeColor="text1"/>
          <w:sz w:val="24"/>
          <w:szCs w:val="24"/>
        </w:rPr>
        <w:t>La politique de santé de la Guinée</w:t>
      </w:r>
      <w:r w:rsidR="001F4E33">
        <w:rPr>
          <w:rFonts w:ascii="Maiandra GD" w:hAnsi="Maiandra GD" w:cs="Arial"/>
          <w:color w:val="000000" w:themeColor="text1"/>
          <w:sz w:val="24"/>
          <w:szCs w:val="24"/>
        </w:rPr>
        <w:t xml:space="preserve"> adoptée par le gouvernement est celle portant sur la santé pour tous à l’horizon 2020 et sa stratégie est soins de santé primaires.</w:t>
      </w:r>
      <w:r w:rsidRPr="00EC6337">
        <w:rPr>
          <w:rFonts w:ascii="Maiandra GD" w:hAnsi="Maiandra GD" w:cs="Arial"/>
          <w:color w:val="000000" w:themeColor="text1"/>
          <w:sz w:val="24"/>
          <w:szCs w:val="24"/>
        </w:rPr>
        <w:t xml:space="preserve"> </w:t>
      </w:r>
      <w:r w:rsidR="007C5A29">
        <w:rPr>
          <w:rFonts w:ascii="Maiandra GD" w:hAnsi="Maiandra GD" w:cs="Arial"/>
          <w:color w:val="000000" w:themeColor="text1"/>
          <w:sz w:val="24"/>
          <w:szCs w:val="24"/>
        </w:rPr>
        <w:t xml:space="preserve">Elle </w:t>
      </w:r>
      <w:r w:rsidRPr="00EC6337">
        <w:rPr>
          <w:rFonts w:ascii="Maiandra GD" w:hAnsi="Maiandra GD" w:cs="Arial"/>
          <w:color w:val="000000" w:themeColor="text1"/>
          <w:sz w:val="24"/>
          <w:szCs w:val="24"/>
        </w:rPr>
        <w:t>comporte une vision, un but, des objectifs et des orientations stratégiques</w:t>
      </w:r>
      <w:r w:rsidR="007C5A29">
        <w:rPr>
          <w:rFonts w:ascii="Maiandra GD" w:hAnsi="Maiandra GD" w:cs="Arial"/>
          <w:color w:val="000000" w:themeColor="text1"/>
          <w:sz w:val="24"/>
          <w:szCs w:val="24"/>
        </w:rPr>
        <w:t xml:space="preserve"> consensuels</w:t>
      </w:r>
      <w:r w:rsidRPr="00EC6337">
        <w:rPr>
          <w:rFonts w:ascii="Maiandra GD" w:hAnsi="Maiandra GD" w:cs="Arial"/>
          <w:color w:val="000000" w:themeColor="text1"/>
          <w:sz w:val="24"/>
          <w:szCs w:val="24"/>
        </w:rPr>
        <w:t xml:space="preserve">. </w:t>
      </w:r>
      <w:bookmarkStart w:id="11" w:name="_Toc419880070"/>
      <w:bookmarkStart w:id="12" w:name="_Toc424024160"/>
    </w:p>
    <w:p w14:paraId="0858F109" w14:textId="3E39F13E" w:rsidR="00D051E1" w:rsidRPr="0037394B" w:rsidRDefault="00D051E1" w:rsidP="0037394B">
      <w:pPr>
        <w:pStyle w:val="Titre3"/>
      </w:pPr>
      <w:bookmarkStart w:id="13" w:name="_Toc63233187"/>
      <w:r w:rsidRPr="0037394B">
        <w:t>Vision</w:t>
      </w:r>
      <w:bookmarkEnd w:id="11"/>
      <w:bookmarkEnd w:id="12"/>
      <w:bookmarkEnd w:id="13"/>
    </w:p>
    <w:p w14:paraId="57239267" w14:textId="3E83030E" w:rsidR="00D051E1" w:rsidRPr="00EC6337" w:rsidRDefault="00446B99" w:rsidP="00D051E1">
      <w:pPr>
        <w:spacing w:after="0" w:line="240" w:lineRule="auto"/>
        <w:rPr>
          <w:rFonts w:cs="Arial"/>
          <w:szCs w:val="24"/>
        </w:rPr>
      </w:pPr>
      <w:r>
        <w:rPr>
          <w:rFonts w:cs="Arial"/>
          <w:szCs w:val="24"/>
        </w:rPr>
        <w:t>L’</w:t>
      </w:r>
      <w:r w:rsidR="00A07C86">
        <w:rPr>
          <w:rFonts w:cs="Arial"/>
          <w:szCs w:val="24"/>
        </w:rPr>
        <w:t>énoncé</w:t>
      </w:r>
      <w:r>
        <w:rPr>
          <w:rFonts w:cs="Arial"/>
          <w:szCs w:val="24"/>
        </w:rPr>
        <w:t xml:space="preserve"> de la vision est u</w:t>
      </w:r>
      <w:r w:rsidR="00D051E1" w:rsidRPr="00EC6337">
        <w:rPr>
          <w:rFonts w:cs="Arial"/>
          <w:szCs w:val="24"/>
        </w:rPr>
        <w:t xml:space="preserve">ne Guinée où toutes les populations sont en bonne santé, économiquement et socialement productives, bénéficiant d’un accès universel à des services et soins de santé de qualité, avec leur pleine participation. </w:t>
      </w:r>
      <w:bookmarkStart w:id="14" w:name="_Toc419880071"/>
    </w:p>
    <w:p w14:paraId="0AB452BC" w14:textId="07E87A3D" w:rsidR="00D051E1" w:rsidRPr="00EC6337" w:rsidRDefault="00D051E1" w:rsidP="0037394B">
      <w:pPr>
        <w:pStyle w:val="Titre3"/>
      </w:pPr>
      <w:bookmarkStart w:id="15" w:name="_Toc424024161"/>
      <w:bookmarkStart w:id="16" w:name="_Toc63233188"/>
      <w:r w:rsidRPr="00EC6337">
        <w:t>But</w:t>
      </w:r>
      <w:bookmarkEnd w:id="14"/>
      <w:bookmarkEnd w:id="15"/>
      <w:bookmarkEnd w:id="16"/>
    </w:p>
    <w:p w14:paraId="42D6BD8E" w14:textId="4E3277A3" w:rsidR="00D051E1" w:rsidRPr="00EC6337" w:rsidRDefault="00A07C86" w:rsidP="00D051E1">
      <w:pPr>
        <w:spacing w:after="0" w:line="240" w:lineRule="auto"/>
        <w:rPr>
          <w:rFonts w:cs="Arial"/>
          <w:szCs w:val="24"/>
        </w:rPr>
      </w:pPr>
      <w:r>
        <w:rPr>
          <w:rFonts w:cs="Arial"/>
          <w:szCs w:val="24"/>
        </w:rPr>
        <w:t>Le but est de c</w:t>
      </w:r>
      <w:r w:rsidR="00D051E1" w:rsidRPr="00EC6337">
        <w:rPr>
          <w:rFonts w:cs="Arial"/>
          <w:szCs w:val="24"/>
        </w:rPr>
        <w:t>ontribuer à l’amélioration du bien-être de la population guinéenne</w:t>
      </w:r>
    </w:p>
    <w:p w14:paraId="4332C076" w14:textId="2F4FE173" w:rsidR="00D051E1" w:rsidRPr="00EC6337" w:rsidRDefault="00D051E1" w:rsidP="0037394B">
      <w:pPr>
        <w:pStyle w:val="Titre3"/>
      </w:pPr>
      <w:bookmarkStart w:id="17" w:name="_Toc419880072"/>
      <w:bookmarkStart w:id="18" w:name="_Toc424024162"/>
      <w:bookmarkStart w:id="19" w:name="_Toc63233189"/>
      <w:r w:rsidRPr="00EC6337">
        <w:t>Objectif</w:t>
      </w:r>
      <w:bookmarkEnd w:id="17"/>
      <w:bookmarkEnd w:id="18"/>
      <w:bookmarkEnd w:id="19"/>
    </w:p>
    <w:p w14:paraId="01247911" w14:textId="14E415A8" w:rsidR="00A07C86" w:rsidRPr="001C75B6" w:rsidRDefault="00D051E1" w:rsidP="00A07C86">
      <w:pPr>
        <w:pStyle w:val="Paragraphedeliste"/>
        <w:widowControl/>
        <w:numPr>
          <w:ilvl w:val="0"/>
          <w:numId w:val="14"/>
        </w:numPr>
        <w:spacing w:before="0" w:after="0" w:line="240" w:lineRule="auto"/>
        <w:rPr>
          <w:rFonts w:cs="Arial"/>
          <w:szCs w:val="24"/>
        </w:rPr>
      </w:pPr>
      <w:r w:rsidRPr="00EC6337">
        <w:rPr>
          <w:rFonts w:cs="Arial"/>
          <w:szCs w:val="24"/>
        </w:rPr>
        <w:t xml:space="preserve">Objectif général : </w:t>
      </w:r>
      <w:r w:rsidRPr="001C75B6">
        <w:rPr>
          <w:rFonts w:cs="Arial"/>
          <w:szCs w:val="24"/>
        </w:rPr>
        <w:t>Améliorer l’état de sa</w:t>
      </w:r>
      <w:bookmarkStart w:id="20" w:name="_Toc419880073"/>
      <w:bookmarkStart w:id="21" w:name="_Toc424024163"/>
      <w:r w:rsidR="00A07C86" w:rsidRPr="001C75B6">
        <w:rPr>
          <w:rFonts w:cs="Arial"/>
          <w:szCs w:val="24"/>
        </w:rPr>
        <w:t>nté de la population guinéenne.</w:t>
      </w:r>
    </w:p>
    <w:p w14:paraId="16BFEB94" w14:textId="77777777" w:rsidR="00D051E1" w:rsidRPr="00EC6337" w:rsidRDefault="00D051E1" w:rsidP="0037394B">
      <w:pPr>
        <w:pStyle w:val="Titre3"/>
      </w:pPr>
      <w:bookmarkStart w:id="22" w:name="_Toc63233190"/>
      <w:r w:rsidRPr="00EC6337">
        <w:t>Orientations stratégiques</w:t>
      </w:r>
      <w:bookmarkEnd w:id="20"/>
      <w:bookmarkEnd w:id="21"/>
      <w:bookmarkEnd w:id="22"/>
    </w:p>
    <w:p w14:paraId="5BBD4B08" w14:textId="77777777" w:rsidR="00D051E1" w:rsidRPr="00EC6337" w:rsidRDefault="00D051E1" w:rsidP="00D051E1">
      <w:pPr>
        <w:spacing w:after="0" w:line="240" w:lineRule="auto"/>
        <w:rPr>
          <w:rFonts w:cs="Arial"/>
          <w:szCs w:val="24"/>
        </w:rPr>
      </w:pPr>
      <w:r w:rsidRPr="00EC6337">
        <w:rPr>
          <w:rFonts w:cs="Arial"/>
          <w:szCs w:val="24"/>
        </w:rPr>
        <w:t xml:space="preserve">Cette nouvelle vision sectorielle est matérialisée par trois orientations stratégiques et six sous stratégies qui seront déclinées en stratégies d’intervention dans le présent </w:t>
      </w:r>
      <w:proofErr w:type="spellStart"/>
      <w:r w:rsidRPr="00EC6337">
        <w:rPr>
          <w:rFonts w:cs="Arial"/>
          <w:szCs w:val="24"/>
        </w:rPr>
        <w:t>PNDS</w:t>
      </w:r>
      <w:proofErr w:type="spellEnd"/>
      <w:r w:rsidRPr="00EC6337">
        <w:rPr>
          <w:rFonts w:cs="Arial"/>
          <w:szCs w:val="24"/>
        </w:rPr>
        <w:t>.</w:t>
      </w:r>
    </w:p>
    <w:p w14:paraId="41B753CF" w14:textId="77777777" w:rsidR="00D051E1" w:rsidRPr="00EC6337" w:rsidRDefault="00D051E1" w:rsidP="00460F99">
      <w:pPr>
        <w:pStyle w:val="Paragraphedeliste"/>
        <w:widowControl/>
        <w:numPr>
          <w:ilvl w:val="0"/>
          <w:numId w:val="15"/>
        </w:numPr>
        <w:spacing w:before="0" w:after="0" w:line="240" w:lineRule="auto"/>
        <w:rPr>
          <w:rFonts w:cs="Arial"/>
          <w:i/>
          <w:szCs w:val="24"/>
        </w:rPr>
      </w:pPr>
      <w:r w:rsidRPr="00EC6337">
        <w:rPr>
          <w:rFonts w:cs="Arial"/>
          <w:szCs w:val="24"/>
        </w:rPr>
        <w:t xml:space="preserve">Orientation stratégique 1 : </w:t>
      </w:r>
      <w:r w:rsidRPr="00EC6337">
        <w:rPr>
          <w:rFonts w:cs="Arial"/>
          <w:i/>
          <w:szCs w:val="24"/>
        </w:rPr>
        <w:t xml:space="preserve">Renforcement de la prévention et de la prise en charge des maladies et des situations d’urgence </w:t>
      </w:r>
    </w:p>
    <w:p w14:paraId="31170A03" w14:textId="77777777" w:rsidR="00D051E1" w:rsidRPr="00EC6337" w:rsidRDefault="00D051E1" w:rsidP="00460F99">
      <w:pPr>
        <w:pStyle w:val="Paragraphedeliste"/>
        <w:widowControl/>
        <w:numPr>
          <w:ilvl w:val="0"/>
          <w:numId w:val="15"/>
        </w:numPr>
        <w:spacing w:before="0" w:after="0" w:line="240" w:lineRule="auto"/>
        <w:rPr>
          <w:rFonts w:cs="Arial"/>
          <w:i/>
          <w:szCs w:val="24"/>
        </w:rPr>
      </w:pPr>
      <w:r w:rsidRPr="00EC6337">
        <w:rPr>
          <w:rFonts w:cs="Arial"/>
          <w:szCs w:val="24"/>
        </w:rPr>
        <w:t xml:space="preserve">Orientation stratégique 2 : </w:t>
      </w:r>
      <w:r w:rsidRPr="00EC6337">
        <w:rPr>
          <w:rFonts w:cs="Arial"/>
          <w:i/>
          <w:szCs w:val="24"/>
        </w:rPr>
        <w:t xml:space="preserve">Promotion de la santé de la mère, de l’enfant, de l’adolescent et des personnes âgées </w:t>
      </w:r>
    </w:p>
    <w:p w14:paraId="15539400" w14:textId="2065744E" w:rsidR="00D051E1" w:rsidRPr="001C75B6" w:rsidRDefault="00D051E1" w:rsidP="00460F99">
      <w:pPr>
        <w:pStyle w:val="Paragraphedeliste"/>
        <w:widowControl/>
        <w:numPr>
          <w:ilvl w:val="0"/>
          <w:numId w:val="15"/>
        </w:numPr>
        <w:spacing w:before="0" w:after="0" w:line="240" w:lineRule="auto"/>
        <w:rPr>
          <w:rFonts w:cs="Arial"/>
          <w:i/>
          <w:szCs w:val="24"/>
        </w:rPr>
      </w:pPr>
      <w:r w:rsidRPr="00EC6337">
        <w:rPr>
          <w:rFonts w:cs="Arial"/>
          <w:szCs w:val="24"/>
        </w:rPr>
        <w:t xml:space="preserve">Orientation stratégique 3 : </w:t>
      </w:r>
      <w:r w:rsidRPr="00EC6337">
        <w:rPr>
          <w:rFonts w:cs="Arial"/>
          <w:i/>
          <w:szCs w:val="24"/>
        </w:rPr>
        <w:t xml:space="preserve">Renforcement du système national de santé </w:t>
      </w:r>
    </w:p>
    <w:p w14:paraId="42618CC1" w14:textId="164D3AD6" w:rsidR="00D051E1" w:rsidRPr="00EC6337" w:rsidRDefault="00D051E1" w:rsidP="00460F99">
      <w:pPr>
        <w:pStyle w:val="Titre2"/>
        <w:numPr>
          <w:ilvl w:val="1"/>
          <w:numId w:val="28"/>
        </w:numPr>
        <w:rPr>
          <w:color w:val="000000" w:themeColor="text1"/>
        </w:rPr>
      </w:pPr>
      <w:bookmarkStart w:id="23" w:name="_Toc63233191"/>
      <w:r w:rsidRPr="0037394B">
        <w:t>Organisation</w:t>
      </w:r>
      <w:r w:rsidR="00370CA7">
        <w:rPr>
          <w:color w:val="000000" w:themeColor="text1"/>
        </w:rPr>
        <w:t xml:space="preserve"> du</w:t>
      </w:r>
      <w:r w:rsidR="00370CA7" w:rsidRPr="00EC6337">
        <w:t xml:space="preserve"> système</w:t>
      </w:r>
      <w:r w:rsidR="00370CA7">
        <w:t xml:space="preserve"> national</w:t>
      </w:r>
      <w:r w:rsidR="00370CA7" w:rsidRPr="00EC6337">
        <w:t xml:space="preserve"> </w:t>
      </w:r>
      <w:r w:rsidR="00370CA7">
        <w:t xml:space="preserve">de </w:t>
      </w:r>
      <w:r w:rsidRPr="00EC6337">
        <w:rPr>
          <w:color w:val="000000" w:themeColor="text1"/>
        </w:rPr>
        <w:t>santé</w:t>
      </w:r>
      <w:bookmarkEnd w:id="23"/>
    </w:p>
    <w:p w14:paraId="284B2D66" w14:textId="00522BDF" w:rsidR="00560F9D" w:rsidRDefault="00D051E1" w:rsidP="0037394B">
      <w:pPr>
        <w:pStyle w:val="CORPSDETEXTE2"/>
        <w:widowControl w:val="0"/>
        <w:spacing w:before="120" w:after="120" w:line="300" w:lineRule="auto"/>
        <w:ind w:left="0"/>
        <w:rPr>
          <w:rFonts w:ascii="Maiandra GD" w:hAnsi="Maiandra GD" w:cs="Arial"/>
          <w:sz w:val="24"/>
          <w:szCs w:val="24"/>
        </w:rPr>
      </w:pPr>
      <w:r w:rsidRPr="00EC6337">
        <w:rPr>
          <w:rFonts w:ascii="Maiandra GD" w:hAnsi="Maiandra GD" w:cs="Arial"/>
          <w:sz w:val="24"/>
          <w:szCs w:val="24"/>
        </w:rPr>
        <w:t>Le système de santé en République de Guinée est basé sur le déc</w:t>
      </w:r>
      <w:r w:rsidR="00D15454">
        <w:rPr>
          <w:rFonts w:ascii="Maiandra GD" w:hAnsi="Maiandra GD" w:cs="Arial"/>
          <w:sz w:val="24"/>
          <w:szCs w:val="24"/>
        </w:rPr>
        <w:t xml:space="preserve">oupage administratif du pays, niveau central, régions, </w:t>
      </w:r>
      <w:r w:rsidRPr="00EC6337">
        <w:rPr>
          <w:rFonts w:ascii="Maiandra GD" w:hAnsi="Maiandra GD" w:cs="Arial"/>
          <w:sz w:val="24"/>
          <w:szCs w:val="24"/>
        </w:rPr>
        <w:t>Préfectures</w:t>
      </w:r>
      <w:r w:rsidR="00D15454">
        <w:rPr>
          <w:rFonts w:ascii="Maiandra GD" w:hAnsi="Maiandra GD" w:cs="Arial"/>
          <w:sz w:val="24"/>
          <w:szCs w:val="24"/>
        </w:rPr>
        <w:t>, sous-préfectures et communauté qui constitue</w:t>
      </w:r>
      <w:r w:rsidR="00CF6362">
        <w:rPr>
          <w:rFonts w:ascii="Maiandra GD" w:hAnsi="Maiandra GD" w:cs="Arial"/>
          <w:sz w:val="24"/>
          <w:szCs w:val="24"/>
        </w:rPr>
        <w:t xml:space="preserve"> un cadre d’appui au développement du système de santé</w:t>
      </w:r>
      <w:r w:rsidRPr="00EC6337">
        <w:rPr>
          <w:rFonts w:ascii="Maiandra GD" w:hAnsi="Maiandra GD" w:cs="Arial"/>
          <w:sz w:val="24"/>
          <w:szCs w:val="24"/>
        </w:rPr>
        <w:t>.</w:t>
      </w:r>
    </w:p>
    <w:p w14:paraId="3361B044" w14:textId="67866919" w:rsidR="00D051E1" w:rsidRPr="00EC6337" w:rsidRDefault="00560F9D" w:rsidP="0037394B">
      <w:pPr>
        <w:pStyle w:val="CORPSDETEXTE2"/>
        <w:spacing w:before="0" w:after="120"/>
        <w:ind w:left="0" w:right="0"/>
        <w:rPr>
          <w:rFonts w:ascii="Maiandra GD" w:hAnsi="Maiandra GD" w:cs="Arial"/>
          <w:sz w:val="24"/>
          <w:szCs w:val="24"/>
        </w:rPr>
      </w:pPr>
      <w:r>
        <w:rPr>
          <w:rFonts w:ascii="Maiandra GD" w:hAnsi="Maiandra GD" w:cs="Arial"/>
          <w:sz w:val="24"/>
          <w:szCs w:val="24"/>
        </w:rPr>
        <w:t>Le système de santé comprend les structures administratives pour l’organisation, la coordination, la gestion des services de santé et des structures opérationnelles pour les prestations des soins.</w:t>
      </w:r>
      <w:r w:rsidR="00D051E1" w:rsidRPr="00EC6337">
        <w:rPr>
          <w:rFonts w:ascii="Maiandra GD" w:hAnsi="Maiandra GD" w:cs="Arial"/>
          <w:sz w:val="24"/>
          <w:szCs w:val="24"/>
        </w:rPr>
        <w:t xml:space="preserve"> </w:t>
      </w:r>
      <w:bookmarkStart w:id="24" w:name="_Toc532996569"/>
    </w:p>
    <w:p w14:paraId="637F5E22" w14:textId="57872301" w:rsidR="00560F9D" w:rsidRPr="00E931A9" w:rsidRDefault="00D051E1" w:rsidP="0037394B">
      <w:pPr>
        <w:pStyle w:val="Titre3"/>
      </w:pPr>
      <w:bookmarkStart w:id="25" w:name="_Toc63233192"/>
      <w:r w:rsidRPr="00EC6337">
        <w:t>Organisation administrative</w:t>
      </w:r>
      <w:bookmarkEnd w:id="24"/>
      <w:r w:rsidRPr="00EC6337">
        <w:t xml:space="preserve"> du système de santé</w:t>
      </w:r>
      <w:bookmarkEnd w:id="25"/>
    </w:p>
    <w:p w14:paraId="21A2DA92" w14:textId="77777777" w:rsidR="00D051E1" w:rsidRPr="00EC6337" w:rsidRDefault="00D051E1" w:rsidP="0037394B">
      <w:pPr>
        <w:pStyle w:val="CORPSDETEXTE2"/>
        <w:spacing w:before="0" w:after="120"/>
        <w:ind w:left="0" w:right="0"/>
        <w:rPr>
          <w:rFonts w:ascii="Maiandra GD" w:hAnsi="Maiandra GD" w:cs="Arial"/>
          <w:sz w:val="24"/>
          <w:szCs w:val="24"/>
        </w:rPr>
      </w:pPr>
      <w:r w:rsidRPr="00EC6337">
        <w:rPr>
          <w:rFonts w:ascii="Maiandra GD" w:hAnsi="Maiandra GD" w:cs="Arial"/>
          <w:sz w:val="24"/>
          <w:szCs w:val="24"/>
        </w:rPr>
        <w:t>Le Ministère de la santé comprend trois niveaux dans sa structuration administrative :</w:t>
      </w:r>
    </w:p>
    <w:p w14:paraId="7FA7DC17" w14:textId="11A1F410" w:rsidR="00D051E1" w:rsidRPr="00EC6337" w:rsidRDefault="00D051E1" w:rsidP="0037394B">
      <w:pPr>
        <w:pStyle w:val="CORPSDETEXTE2"/>
        <w:numPr>
          <w:ilvl w:val="0"/>
          <w:numId w:val="11"/>
        </w:numPr>
        <w:spacing w:before="0" w:after="120"/>
        <w:ind w:left="426" w:right="0" w:hanging="426"/>
        <w:rPr>
          <w:rFonts w:ascii="Maiandra GD" w:hAnsi="Maiandra GD" w:cs="Arial"/>
          <w:sz w:val="24"/>
          <w:szCs w:val="24"/>
        </w:rPr>
      </w:pPr>
      <w:r w:rsidRPr="00EC6337">
        <w:rPr>
          <w:rFonts w:ascii="Maiandra GD" w:hAnsi="Maiandra GD" w:cs="Arial"/>
          <w:sz w:val="24"/>
          <w:szCs w:val="24"/>
        </w:rPr>
        <w:t xml:space="preserve">le niveau central, qui comprend </w:t>
      </w:r>
      <w:r w:rsidR="004D0633">
        <w:rPr>
          <w:rFonts w:ascii="Maiandra GD" w:hAnsi="Maiandra GD" w:cs="Arial"/>
          <w:sz w:val="24"/>
          <w:szCs w:val="24"/>
        </w:rPr>
        <w:t>le secrétariat général</w:t>
      </w:r>
      <w:r w:rsidR="00E63691">
        <w:rPr>
          <w:rFonts w:ascii="Maiandra GD" w:hAnsi="Maiandra GD" w:cs="Arial"/>
          <w:sz w:val="24"/>
          <w:szCs w:val="24"/>
        </w:rPr>
        <w:t xml:space="preserve">, </w:t>
      </w:r>
      <w:r w:rsidRPr="00EC6337">
        <w:rPr>
          <w:rFonts w:ascii="Maiandra GD" w:hAnsi="Maiandra GD" w:cs="Arial"/>
          <w:sz w:val="24"/>
          <w:szCs w:val="24"/>
        </w:rPr>
        <w:t>les directions</w:t>
      </w:r>
      <w:r w:rsidR="004D0633">
        <w:rPr>
          <w:rFonts w:ascii="Maiandra GD" w:hAnsi="Maiandra GD" w:cs="Arial"/>
          <w:sz w:val="24"/>
          <w:szCs w:val="24"/>
        </w:rPr>
        <w:t xml:space="preserve"> et leurs subdivisions</w:t>
      </w:r>
      <w:r w:rsidR="008F492B">
        <w:rPr>
          <w:rFonts w:ascii="Maiandra GD" w:hAnsi="Maiandra GD" w:cs="Arial"/>
          <w:sz w:val="24"/>
          <w:szCs w:val="24"/>
        </w:rPr>
        <w:t xml:space="preserve"> </w:t>
      </w:r>
      <w:r w:rsidRPr="00EC6337">
        <w:rPr>
          <w:rFonts w:ascii="Maiandra GD" w:hAnsi="Maiandra GD" w:cs="Arial"/>
          <w:sz w:val="24"/>
          <w:szCs w:val="24"/>
        </w:rPr>
        <w:t>organisées autour du Cabinet du Ministre</w:t>
      </w:r>
      <w:r w:rsidR="008F492B">
        <w:rPr>
          <w:rFonts w:ascii="Maiandra GD" w:hAnsi="Maiandra GD" w:cs="Arial"/>
          <w:sz w:val="24"/>
          <w:szCs w:val="24"/>
        </w:rPr>
        <w:t>.</w:t>
      </w:r>
    </w:p>
    <w:p w14:paraId="65B36261" w14:textId="539C4167" w:rsidR="00D051E1" w:rsidRPr="00EC6337" w:rsidRDefault="00D051E1" w:rsidP="0037394B">
      <w:pPr>
        <w:pStyle w:val="CORPSDETEXTE2"/>
        <w:numPr>
          <w:ilvl w:val="0"/>
          <w:numId w:val="11"/>
        </w:numPr>
        <w:ind w:left="426" w:right="0" w:hanging="426"/>
        <w:rPr>
          <w:rFonts w:ascii="Maiandra GD" w:hAnsi="Maiandra GD" w:cs="Arial"/>
          <w:sz w:val="24"/>
          <w:szCs w:val="24"/>
        </w:rPr>
      </w:pPr>
      <w:r w:rsidRPr="00EC6337">
        <w:rPr>
          <w:rFonts w:ascii="Maiandra GD" w:hAnsi="Maiandra GD" w:cs="Arial"/>
          <w:sz w:val="24"/>
          <w:szCs w:val="24"/>
        </w:rPr>
        <w:t>le niveau intermédiaire qui comprend les directions régionales de la santé;</w:t>
      </w:r>
    </w:p>
    <w:p w14:paraId="2DD1FF2D" w14:textId="2C85E908" w:rsidR="00D051E1" w:rsidRPr="00EC6337" w:rsidRDefault="00D051E1" w:rsidP="0037394B">
      <w:pPr>
        <w:pStyle w:val="CORPSDETEXTE2"/>
        <w:numPr>
          <w:ilvl w:val="0"/>
          <w:numId w:val="11"/>
        </w:numPr>
        <w:ind w:left="426" w:right="0" w:hanging="426"/>
        <w:rPr>
          <w:rFonts w:ascii="Maiandra GD" w:hAnsi="Maiandra GD" w:cs="Arial"/>
          <w:sz w:val="24"/>
          <w:szCs w:val="24"/>
        </w:rPr>
      </w:pPr>
      <w:r w:rsidRPr="00EC6337">
        <w:rPr>
          <w:rFonts w:ascii="Maiandra GD" w:hAnsi="Maiandra GD" w:cs="Arial"/>
          <w:sz w:val="24"/>
          <w:szCs w:val="24"/>
        </w:rPr>
        <w:t>le niveau périphérique qui est représenté par les préfectures (districts) sanitaires.</w:t>
      </w:r>
    </w:p>
    <w:p w14:paraId="6C373650" w14:textId="77777777" w:rsidR="00D051E1" w:rsidRPr="00EC6337" w:rsidRDefault="00D051E1" w:rsidP="0037394B">
      <w:pPr>
        <w:pStyle w:val="Titre3"/>
      </w:pPr>
      <w:bookmarkStart w:id="26" w:name="_Toc532996570"/>
      <w:bookmarkStart w:id="27" w:name="_Toc63233193"/>
      <w:r w:rsidRPr="00EC6337">
        <w:t xml:space="preserve">Organisation </w:t>
      </w:r>
      <w:r w:rsidRPr="00FE492E">
        <w:t>et fonctionnement des structures de soins</w:t>
      </w:r>
      <w:bookmarkEnd w:id="26"/>
      <w:bookmarkEnd w:id="27"/>
    </w:p>
    <w:p w14:paraId="1D2B9A85" w14:textId="0886C1C6" w:rsidR="00D051E1" w:rsidRPr="00EC6337" w:rsidRDefault="00D051E1" w:rsidP="0037394B">
      <w:pPr>
        <w:pStyle w:val="CORPSDETEXTE2"/>
        <w:spacing w:after="120"/>
        <w:ind w:left="0" w:right="0"/>
        <w:rPr>
          <w:rFonts w:ascii="Maiandra GD" w:hAnsi="Maiandra GD" w:cs="Arial"/>
          <w:sz w:val="24"/>
          <w:szCs w:val="24"/>
        </w:rPr>
      </w:pPr>
      <w:r w:rsidRPr="00EC6337">
        <w:rPr>
          <w:rFonts w:ascii="Maiandra GD" w:hAnsi="Maiandra GD" w:cs="Arial"/>
          <w:sz w:val="24"/>
          <w:szCs w:val="24"/>
        </w:rPr>
        <w:t>Les structures publiques de soins sont organisées</w:t>
      </w:r>
      <w:r w:rsidR="00AF4462">
        <w:rPr>
          <w:rFonts w:ascii="Maiandra GD" w:hAnsi="Maiandra GD" w:cs="Arial"/>
          <w:sz w:val="24"/>
          <w:szCs w:val="24"/>
        </w:rPr>
        <w:t xml:space="preserve"> de façon pyramidale </w:t>
      </w:r>
      <w:r w:rsidRPr="00EC6337">
        <w:rPr>
          <w:rFonts w:ascii="Maiandra GD" w:hAnsi="Maiandra GD" w:cs="Arial"/>
          <w:sz w:val="24"/>
          <w:szCs w:val="24"/>
        </w:rPr>
        <w:t>qui assurent des soins primaires, secondaires et tertiaires, correspondant à trois échelons :</w:t>
      </w:r>
    </w:p>
    <w:p w14:paraId="2CD392BF" w14:textId="2039726F" w:rsidR="00D051E1" w:rsidRPr="00EC6337" w:rsidRDefault="00D051E1" w:rsidP="0037394B">
      <w:pPr>
        <w:pStyle w:val="CORPSDETEXTE2"/>
        <w:numPr>
          <w:ilvl w:val="0"/>
          <w:numId w:val="13"/>
        </w:numPr>
        <w:spacing w:before="0" w:after="120"/>
        <w:ind w:left="426" w:right="0" w:hanging="284"/>
        <w:rPr>
          <w:rFonts w:ascii="Maiandra GD" w:hAnsi="Maiandra GD" w:cs="Arial"/>
          <w:sz w:val="24"/>
          <w:szCs w:val="24"/>
        </w:rPr>
      </w:pPr>
      <w:r w:rsidRPr="00EC6337">
        <w:rPr>
          <w:rFonts w:ascii="Maiandra GD" w:hAnsi="Maiandra GD" w:cs="Arial"/>
          <w:sz w:val="24"/>
          <w:szCs w:val="24"/>
        </w:rPr>
        <w:t xml:space="preserve">le premier échelon de soins est le Poste et Centre de santé (CS)/CSA qui sont les structures sanitaires de base du système de santé. Leur nombre est de 410 CS et 960 PS en 2017. Ces structures gravitent </w:t>
      </w:r>
      <w:r w:rsidR="00B836E1">
        <w:rPr>
          <w:rFonts w:ascii="Maiandra GD" w:hAnsi="Maiandra GD" w:cs="Arial"/>
          <w:sz w:val="24"/>
          <w:szCs w:val="24"/>
        </w:rPr>
        <w:t>autour des hôpitaux</w:t>
      </w:r>
      <w:r w:rsidR="0030099F">
        <w:rPr>
          <w:rFonts w:ascii="Maiandra GD" w:hAnsi="Maiandra GD" w:cs="Arial"/>
          <w:sz w:val="24"/>
          <w:szCs w:val="24"/>
        </w:rPr>
        <w:t xml:space="preserve"> préfectoraux et des </w:t>
      </w:r>
      <w:proofErr w:type="spellStart"/>
      <w:r w:rsidR="00B836E1">
        <w:rPr>
          <w:rFonts w:ascii="Maiandra GD" w:hAnsi="Maiandra GD" w:cs="Arial"/>
          <w:sz w:val="24"/>
          <w:szCs w:val="24"/>
        </w:rPr>
        <w:t>CMC</w:t>
      </w:r>
      <w:proofErr w:type="spellEnd"/>
      <w:r w:rsidR="00B836E1">
        <w:rPr>
          <w:rFonts w:ascii="Maiandra GD" w:hAnsi="Maiandra GD" w:cs="Arial"/>
          <w:sz w:val="24"/>
          <w:szCs w:val="24"/>
        </w:rPr>
        <w:t>, qui sont au nombre de 45</w:t>
      </w:r>
      <w:r w:rsidRPr="00EC6337">
        <w:rPr>
          <w:rFonts w:ascii="Maiandra GD" w:hAnsi="Maiandra GD" w:cs="Arial"/>
          <w:sz w:val="24"/>
          <w:szCs w:val="24"/>
        </w:rPr>
        <w:t>;</w:t>
      </w:r>
    </w:p>
    <w:p w14:paraId="4BB1663A" w14:textId="4E3CCCF5" w:rsidR="00D051E1" w:rsidRPr="00EC6337" w:rsidRDefault="00D051E1" w:rsidP="0037394B">
      <w:pPr>
        <w:pStyle w:val="CORPSDETEXTE2"/>
        <w:numPr>
          <w:ilvl w:val="0"/>
          <w:numId w:val="13"/>
        </w:numPr>
        <w:spacing w:before="0" w:after="120"/>
        <w:ind w:left="426" w:hanging="284"/>
        <w:rPr>
          <w:rFonts w:ascii="Maiandra GD" w:hAnsi="Maiandra GD" w:cs="Arial"/>
          <w:sz w:val="24"/>
          <w:szCs w:val="24"/>
        </w:rPr>
      </w:pPr>
      <w:r w:rsidRPr="00EC6337">
        <w:rPr>
          <w:rFonts w:ascii="Maiandra GD" w:hAnsi="Maiandra GD" w:cs="Arial"/>
          <w:sz w:val="24"/>
          <w:szCs w:val="24"/>
        </w:rPr>
        <w:t>le deuxième échelon est représenté par les hôpitaux régionaux qui font office de préfectoral dans les préfectures où ils sont implantés</w:t>
      </w:r>
      <w:r w:rsidR="0050045D">
        <w:rPr>
          <w:rFonts w:ascii="Maiandra GD" w:hAnsi="Maiandra GD" w:cs="Arial"/>
          <w:sz w:val="24"/>
          <w:szCs w:val="24"/>
        </w:rPr>
        <w:t xml:space="preserve"> et constituent les </w:t>
      </w:r>
      <w:r w:rsidR="00885083">
        <w:rPr>
          <w:rFonts w:ascii="Maiandra GD" w:hAnsi="Maiandra GD" w:cs="Arial"/>
          <w:sz w:val="24"/>
          <w:szCs w:val="24"/>
        </w:rPr>
        <w:t>premiers recours des hôpitaux préfectoraux de la région</w:t>
      </w:r>
      <w:r w:rsidR="00BB32FA">
        <w:rPr>
          <w:rFonts w:ascii="Maiandra GD" w:hAnsi="Maiandra GD" w:cs="Arial"/>
          <w:sz w:val="24"/>
          <w:szCs w:val="24"/>
        </w:rPr>
        <w:t>.</w:t>
      </w:r>
      <w:r w:rsidRPr="00EC6337">
        <w:rPr>
          <w:rFonts w:ascii="Maiandra GD" w:hAnsi="Maiandra GD" w:cs="Arial"/>
          <w:sz w:val="24"/>
          <w:szCs w:val="24"/>
        </w:rPr>
        <w:t xml:space="preserve"> </w:t>
      </w:r>
      <w:r w:rsidR="00BB32FA">
        <w:rPr>
          <w:rFonts w:ascii="Maiandra GD" w:hAnsi="Maiandra GD" w:cs="Arial"/>
          <w:sz w:val="24"/>
          <w:szCs w:val="24"/>
        </w:rPr>
        <w:t>I</w:t>
      </w:r>
      <w:r w:rsidRPr="00EC6337">
        <w:rPr>
          <w:rFonts w:ascii="Maiandra GD" w:hAnsi="Maiandra GD" w:cs="Arial"/>
          <w:sz w:val="24"/>
          <w:szCs w:val="24"/>
        </w:rPr>
        <w:t>ls servent de référence pour les formations sanitaires d</w:t>
      </w:r>
      <w:r w:rsidR="00BB32FA">
        <w:rPr>
          <w:rFonts w:ascii="Maiandra GD" w:hAnsi="Maiandra GD" w:cs="Arial"/>
          <w:sz w:val="24"/>
          <w:szCs w:val="24"/>
        </w:rPr>
        <w:t xml:space="preserve">e la préfecture et des communes sont au nombre de </w:t>
      </w:r>
      <w:r w:rsidRPr="00EC6337">
        <w:rPr>
          <w:rFonts w:ascii="Maiandra GD" w:hAnsi="Maiandra GD" w:cs="Arial"/>
          <w:sz w:val="24"/>
          <w:szCs w:val="24"/>
        </w:rPr>
        <w:t>7 en 2017,</w:t>
      </w:r>
    </w:p>
    <w:p w14:paraId="6FABABCA" w14:textId="77777777" w:rsidR="00D051E1" w:rsidRPr="00EC6337" w:rsidRDefault="00D051E1" w:rsidP="0037394B">
      <w:pPr>
        <w:pStyle w:val="CORPSDETEXTE2"/>
        <w:numPr>
          <w:ilvl w:val="0"/>
          <w:numId w:val="13"/>
        </w:numPr>
        <w:spacing w:before="0" w:after="120"/>
        <w:ind w:left="426" w:hanging="284"/>
        <w:rPr>
          <w:rFonts w:ascii="Maiandra GD" w:hAnsi="Maiandra GD" w:cs="Arial"/>
          <w:sz w:val="24"/>
          <w:szCs w:val="24"/>
        </w:rPr>
      </w:pPr>
      <w:r w:rsidRPr="00EC6337">
        <w:rPr>
          <w:rFonts w:ascii="Maiandra GD" w:hAnsi="Maiandra GD" w:cs="Arial"/>
          <w:sz w:val="24"/>
          <w:szCs w:val="24"/>
        </w:rPr>
        <w:t xml:space="preserve">le troisième échelon est constitué par les Hôpitaux nationaux au nombre de 03 Il est le niveau de référence le plus élevé, les soins spécialisés. Il s’agit des hôpitaux nationaux de </w:t>
      </w:r>
      <w:proofErr w:type="spellStart"/>
      <w:r w:rsidRPr="00EC6337">
        <w:rPr>
          <w:rFonts w:ascii="Maiandra GD" w:hAnsi="Maiandra GD" w:cs="Arial"/>
          <w:sz w:val="24"/>
          <w:szCs w:val="24"/>
        </w:rPr>
        <w:t>DONKA</w:t>
      </w:r>
      <w:proofErr w:type="spellEnd"/>
      <w:r w:rsidRPr="00EC6337">
        <w:rPr>
          <w:rFonts w:ascii="Maiandra GD" w:hAnsi="Maiandra GD" w:cs="Arial"/>
          <w:sz w:val="24"/>
          <w:szCs w:val="24"/>
        </w:rPr>
        <w:t xml:space="preserve">, Ignace Deen et </w:t>
      </w:r>
      <w:proofErr w:type="spellStart"/>
      <w:r w:rsidRPr="00EC6337">
        <w:rPr>
          <w:rFonts w:ascii="Maiandra GD" w:hAnsi="Maiandra GD" w:cs="Arial"/>
          <w:sz w:val="24"/>
          <w:szCs w:val="24"/>
        </w:rPr>
        <w:t>Kipé</w:t>
      </w:r>
      <w:proofErr w:type="spellEnd"/>
      <w:r w:rsidRPr="00EC6337">
        <w:rPr>
          <w:rFonts w:ascii="Maiandra GD" w:hAnsi="Maiandra GD" w:cs="Arial"/>
          <w:sz w:val="24"/>
          <w:szCs w:val="24"/>
        </w:rPr>
        <w:t>.</w:t>
      </w:r>
    </w:p>
    <w:p w14:paraId="5CA3EC3E" w14:textId="245A245E" w:rsidR="00C61AB0" w:rsidRPr="0037394B" w:rsidRDefault="00D051E1" w:rsidP="0037394B">
      <w:pPr>
        <w:autoSpaceDE w:val="0"/>
        <w:autoSpaceDN w:val="0"/>
        <w:adjustRightInd w:val="0"/>
        <w:spacing w:after="0"/>
        <w:rPr>
          <w:rFonts w:cs="Arial"/>
          <w:szCs w:val="24"/>
        </w:rPr>
      </w:pPr>
      <w:r w:rsidRPr="00EC6337">
        <w:rPr>
          <w:rFonts w:cs="Arial"/>
          <w:szCs w:val="24"/>
        </w:rPr>
        <w:t>En plus des structures publiques, la Guinée compte un nombre i</w:t>
      </w:r>
      <w:r w:rsidR="00411E63">
        <w:rPr>
          <w:rFonts w:cs="Arial"/>
          <w:szCs w:val="24"/>
        </w:rPr>
        <w:t xml:space="preserve">mportant de structures privées </w:t>
      </w:r>
      <w:r w:rsidRPr="00EC6337">
        <w:rPr>
          <w:rFonts w:cs="Arial"/>
          <w:szCs w:val="24"/>
        </w:rPr>
        <w:t xml:space="preserve">et de </w:t>
      </w:r>
      <w:proofErr w:type="spellStart"/>
      <w:r w:rsidRPr="00EC6337">
        <w:rPr>
          <w:rFonts w:cs="Arial"/>
          <w:szCs w:val="24"/>
        </w:rPr>
        <w:t>tradithérapeutes</w:t>
      </w:r>
      <w:proofErr w:type="spellEnd"/>
      <w:r w:rsidRPr="00EC6337">
        <w:rPr>
          <w:rFonts w:cs="Arial"/>
          <w:szCs w:val="24"/>
        </w:rPr>
        <w:t xml:space="preserve"> avec la reconnaissance de l’importance de la médecine traditionnelle par le Ministère de la Santé.</w:t>
      </w:r>
    </w:p>
    <w:p w14:paraId="20C122B1" w14:textId="497A6095" w:rsidR="00A7578E" w:rsidRPr="00FE492E" w:rsidRDefault="00D051E1" w:rsidP="00460F99">
      <w:pPr>
        <w:pStyle w:val="Titre2"/>
        <w:numPr>
          <w:ilvl w:val="1"/>
          <w:numId w:val="28"/>
        </w:numPr>
      </w:pPr>
      <w:bookmarkStart w:id="28" w:name="_Toc63233194"/>
      <w:r w:rsidRPr="00EC6337">
        <w:t xml:space="preserve">Les </w:t>
      </w:r>
      <w:r w:rsidRPr="00F72BA5">
        <w:t>ressources</w:t>
      </w:r>
      <w:r w:rsidRPr="00EC6337">
        <w:t xml:space="preserve"> du secteur</w:t>
      </w:r>
      <w:bookmarkEnd w:id="28"/>
    </w:p>
    <w:p w14:paraId="11E1C8EA" w14:textId="77777777" w:rsidR="00D051E1" w:rsidRPr="0037394B" w:rsidRDefault="00D051E1" w:rsidP="0037394B">
      <w:pPr>
        <w:pStyle w:val="Titre3"/>
      </w:pPr>
      <w:bookmarkStart w:id="29" w:name="_Toc63233195"/>
      <w:r w:rsidRPr="0037394B">
        <w:t>Ressources humaines</w:t>
      </w:r>
      <w:bookmarkEnd w:id="29"/>
    </w:p>
    <w:p w14:paraId="0C732921" w14:textId="7D6D0874" w:rsidR="00D051E1" w:rsidRDefault="00D051E1" w:rsidP="00D051E1">
      <w:pPr>
        <w:spacing w:line="276" w:lineRule="auto"/>
        <w:rPr>
          <w:rFonts w:cs="Arial"/>
          <w:szCs w:val="24"/>
        </w:rPr>
      </w:pPr>
      <w:r w:rsidRPr="00EC6337">
        <w:rPr>
          <w:rFonts w:cs="Arial"/>
          <w:szCs w:val="24"/>
        </w:rPr>
        <w:t>L’analyse des données disponibles montre que les structures de soins publiques de niveau primaire (PS, CS, CSA) emploient 33% des professionnels de santé, le niveau de soins secondaire (</w:t>
      </w:r>
      <w:proofErr w:type="spellStart"/>
      <w:r w:rsidRPr="00EC6337">
        <w:rPr>
          <w:rFonts w:cs="Arial"/>
          <w:szCs w:val="24"/>
        </w:rPr>
        <w:t>CMC</w:t>
      </w:r>
      <w:proofErr w:type="spellEnd"/>
      <w:r w:rsidRPr="00EC6337">
        <w:rPr>
          <w:rFonts w:cs="Arial"/>
          <w:szCs w:val="24"/>
        </w:rPr>
        <w:t>, HP, HR) et le niveau tertiaire (</w:t>
      </w:r>
      <w:proofErr w:type="spellStart"/>
      <w:r w:rsidRPr="00EC6337">
        <w:rPr>
          <w:rFonts w:cs="Arial"/>
          <w:szCs w:val="24"/>
        </w:rPr>
        <w:t>HN</w:t>
      </w:r>
      <w:proofErr w:type="spellEnd"/>
      <w:r w:rsidRPr="00EC6337">
        <w:rPr>
          <w:rFonts w:cs="Arial"/>
          <w:szCs w:val="24"/>
        </w:rPr>
        <w:t xml:space="preserve">) respectivement 23% et 19%. Le reste se répartit entre les administrations préfectorale (4%), régionale (1%) et centrale (3%) y compris les programmes et autres structures publiques </w:t>
      </w:r>
      <w:r w:rsidR="004F4D9D">
        <w:rPr>
          <w:rFonts w:cs="Arial"/>
          <w:szCs w:val="24"/>
        </w:rPr>
        <w:t>(</w:t>
      </w:r>
      <w:r w:rsidRPr="00EC6337">
        <w:rPr>
          <w:rFonts w:cs="Arial"/>
          <w:szCs w:val="24"/>
        </w:rPr>
        <w:t>17%</w:t>
      </w:r>
      <w:r w:rsidR="004F4D9D">
        <w:rPr>
          <w:rFonts w:cs="Arial"/>
          <w:szCs w:val="24"/>
        </w:rPr>
        <w:t>)</w:t>
      </w:r>
      <w:r w:rsidRPr="00EC6337">
        <w:rPr>
          <w:rFonts w:cs="Arial"/>
          <w:szCs w:val="24"/>
        </w:rPr>
        <w:t xml:space="preserve">. </w:t>
      </w:r>
    </w:p>
    <w:p w14:paraId="1D8C2FD0" w14:textId="77777777" w:rsidR="00C45F74" w:rsidRDefault="00C45F74" w:rsidP="00D051E1">
      <w:pPr>
        <w:spacing w:line="276" w:lineRule="auto"/>
        <w:rPr>
          <w:rFonts w:cs="Arial"/>
          <w:szCs w:val="24"/>
        </w:rPr>
      </w:pPr>
    </w:p>
    <w:p w14:paraId="26130F90" w14:textId="77777777" w:rsidR="00C45F74" w:rsidRPr="00EC6337" w:rsidRDefault="00C45F74" w:rsidP="00D051E1">
      <w:pPr>
        <w:spacing w:line="276" w:lineRule="auto"/>
        <w:rPr>
          <w:rFonts w:cs="Arial"/>
          <w:szCs w:val="24"/>
        </w:rPr>
      </w:pPr>
    </w:p>
    <w:p w14:paraId="3FC66FA0" w14:textId="77777777" w:rsidR="00D051E1" w:rsidRDefault="00D051E1" w:rsidP="0037394B">
      <w:pPr>
        <w:pStyle w:val="Titre3"/>
      </w:pPr>
      <w:bookmarkStart w:id="30" w:name="_Toc63233196"/>
      <w:r w:rsidRPr="00EC6337">
        <w:t>Ressources financières :</w:t>
      </w:r>
      <w:bookmarkEnd w:id="30"/>
      <w:r w:rsidRPr="00EC6337">
        <w:t xml:space="preserve"> </w:t>
      </w:r>
    </w:p>
    <w:p w14:paraId="4CB0F279" w14:textId="4448C85A" w:rsidR="00D50D08" w:rsidRDefault="00D50D08" w:rsidP="00D50D08">
      <w:pPr>
        <w:pStyle w:val="CORPSDETEXTE2"/>
        <w:spacing w:before="0" w:after="120"/>
        <w:ind w:left="60" w:right="288"/>
        <w:rPr>
          <w:rFonts w:ascii="Maiandra GD" w:hAnsi="Maiandra GD" w:cs="Arial"/>
          <w:sz w:val="24"/>
          <w:szCs w:val="24"/>
        </w:rPr>
      </w:pPr>
      <w:r>
        <w:rPr>
          <w:rFonts w:ascii="Maiandra GD" w:hAnsi="Maiandra GD" w:cs="Arial"/>
          <w:sz w:val="24"/>
          <w:szCs w:val="24"/>
        </w:rPr>
        <w:t>Dans cette section, il a été retenu de présenter l’évolution des efforts du gouvernement dans le financement de la santé</w:t>
      </w:r>
      <w:r w:rsidR="00C45F74">
        <w:rPr>
          <w:rFonts w:ascii="Maiandra GD" w:hAnsi="Maiandra GD" w:cs="Arial"/>
          <w:sz w:val="24"/>
          <w:szCs w:val="24"/>
        </w:rPr>
        <w:t>.</w:t>
      </w:r>
      <w:r>
        <w:rPr>
          <w:rFonts w:ascii="Maiandra GD" w:hAnsi="Maiandra GD" w:cs="Arial"/>
          <w:sz w:val="24"/>
          <w:szCs w:val="24"/>
        </w:rPr>
        <w:t xml:space="preserve"> </w:t>
      </w:r>
    </w:p>
    <w:p w14:paraId="1F1A3D5E" w14:textId="72A6ED2B" w:rsidR="00D50D08" w:rsidRPr="00D50D08" w:rsidRDefault="00D50D08" w:rsidP="00D50D08">
      <w:pPr>
        <w:pStyle w:val="CORPSDETEXTE2"/>
        <w:spacing w:before="0" w:after="120"/>
        <w:ind w:left="60" w:right="288"/>
        <w:rPr>
          <w:rFonts w:ascii="Maiandra GD" w:hAnsi="Maiandra GD" w:cs="Arial"/>
          <w:sz w:val="24"/>
          <w:szCs w:val="24"/>
        </w:rPr>
      </w:pPr>
      <w:r>
        <w:rPr>
          <w:rFonts w:ascii="Maiandra GD" w:hAnsi="Maiandra GD" w:cs="Arial"/>
          <w:sz w:val="24"/>
          <w:szCs w:val="24"/>
        </w:rPr>
        <w:t xml:space="preserve">Avec un engagement des </w:t>
      </w:r>
      <w:proofErr w:type="spellStart"/>
      <w:r>
        <w:rPr>
          <w:rFonts w:ascii="Maiandra GD" w:hAnsi="Maiandra GD" w:cs="Arial"/>
          <w:sz w:val="24"/>
          <w:szCs w:val="24"/>
        </w:rPr>
        <w:t>Etats</w:t>
      </w:r>
      <w:proofErr w:type="spellEnd"/>
      <w:r>
        <w:rPr>
          <w:rFonts w:ascii="Maiandra GD" w:hAnsi="Maiandra GD" w:cs="Arial"/>
          <w:sz w:val="24"/>
          <w:szCs w:val="24"/>
        </w:rPr>
        <w:t xml:space="preserve"> membre</w:t>
      </w:r>
      <w:r w:rsidR="00C772D8">
        <w:rPr>
          <w:rFonts w:ascii="Maiandra GD" w:hAnsi="Maiandra GD" w:cs="Arial"/>
          <w:sz w:val="24"/>
          <w:szCs w:val="24"/>
        </w:rPr>
        <w:t>s</w:t>
      </w:r>
      <w:r>
        <w:rPr>
          <w:rFonts w:ascii="Maiandra GD" w:hAnsi="Maiandra GD" w:cs="Arial"/>
          <w:sz w:val="24"/>
          <w:szCs w:val="24"/>
        </w:rPr>
        <w:t xml:space="preserve"> de l’</w:t>
      </w:r>
      <w:proofErr w:type="spellStart"/>
      <w:r>
        <w:rPr>
          <w:rFonts w:ascii="Maiandra GD" w:hAnsi="Maiandra GD" w:cs="Arial"/>
          <w:sz w:val="24"/>
          <w:szCs w:val="24"/>
        </w:rPr>
        <w:t>UA</w:t>
      </w:r>
      <w:proofErr w:type="spellEnd"/>
      <w:r>
        <w:rPr>
          <w:rFonts w:ascii="Maiandra GD" w:hAnsi="Maiandra GD" w:cs="Arial"/>
          <w:sz w:val="24"/>
          <w:szCs w:val="24"/>
        </w:rPr>
        <w:t xml:space="preserve"> de porter le budget de la santé à 15%, le gouvernement compte tenue de ses réalités s’est fixé un objectif de 10%. De 2014 à 2017 l’</w:t>
      </w:r>
      <w:proofErr w:type="spellStart"/>
      <w:r>
        <w:rPr>
          <w:rFonts w:ascii="Maiandra GD" w:hAnsi="Maiandra GD" w:cs="Arial"/>
          <w:sz w:val="24"/>
          <w:szCs w:val="24"/>
        </w:rPr>
        <w:t>Etat</w:t>
      </w:r>
      <w:proofErr w:type="spellEnd"/>
      <w:r>
        <w:rPr>
          <w:rFonts w:ascii="Maiandra GD" w:hAnsi="Maiandra GD" w:cs="Arial"/>
          <w:sz w:val="24"/>
          <w:szCs w:val="24"/>
        </w:rPr>
        <w:t xml:space="preserve"> est passé de 2.4% à 5% environ. Cette augmentation s’est traduite par une augmentation substantielle des ressources physiques (personnels, plateau technique équipement, médicament etc…) ce qui devrait améliorer la facilité d’accès aux services.</w:t>
      </w:r>
    </w:p>
    <w:p w14:paraId="4C4C600C" w14:textId="77777777" w:rsidR="00E9775C" w:rsidRPr="00A7578E" w:rsidRDefault="00E9775C" w:rsidP="00E9775C">
      <w:pPr>
        <w:pStyle w:val="Paragraphedeliste"/>
        <w:spacing w:after="80" w:line="276" w:lineRule="auto"/>
        <w:ind w:left="360"/>
        <w:rPr>
          <w:rFonts w:cs="Arial"/>
          <w:b/>
        </w:rPr>
      </w:pPr>
      <w:proofErr w:type="spellStart"/>
      <w:r w:rsidRPr="00A7578E">
        <w:rPr>
          <w:b/>
        </w:rPr>
        <w:t>Evolution</w:t>
      </w:r>
      <w:proofErr w:type="spellEnd"/>
      <w:r w:rsidRPr="00A7578E">
        <w:rPr>
          <w:b/>
        </w:rPr>
        <w:t xml:space="preserve"> de la part du budget de l’</w:t>
      </w:r>
      <w:proofErr w:type="spellStart"/>
      <w:r w:rsidRPr="00A7578E">
        <w:rPr>
          <w:b/>
        </w:rPr>
        <w:t>Etat</w:t>
      </w:r>
      <w:proofErr w:type="spellEnd"/>
      <w:r w:rsidRPr="00A7578E">
        <w:rPr>
          <w:b/>
        </w:rPr>
        <w:t xml:space="preserve"> allouée au Ministère de la Santé</w:t>
      </w:r>
    </w:p>
    <w:p w14:paraId="290D8287" w14:textId="77777777" w:rsidR="00E9775C" w:rsidRPr="00EC6337" w:rsidRDefault="00E9775C" w:rsidP="00E9775C">
      <w:pPr>
        <w:pStyle w:val="Paragraphedeliste"/>
        <w:widowControl/>
        <w:spacing w:before="0" w:after="160" w:line="259" w:lineRule="auto"/>
        <w:ind w:left="360"/>
        <w:jc w:val="left"/>
        <w:rPr>
          <w:rFonts w:cs="Arial"/>
          <w:b/>
          <w:color w:val="000000" w:themeColor="text1"/>
          <w:szCs w:val="24"/>
        </w:rPr>
      </w:pPr>
      <w:r w:rsidRPr="00B90B86">
        <w:rPr>
          <w:rFonts w:cs="Arial"/>
          <w:noProof/>
          <w:lang w:val="en-US"/>
        </w:rPr>
        <w:drawing>
          <wp:anchor distT="0" distB="0" distL="114300" distR="114300" simplePos="0" relativeHeight="251661312" behindDoc="1" locked="0" layoutInCell="1" allowOverlap="1" wp14:anchorId="3A754415" wp14:editId="3FC1B3C5">
            <wp:simplePos x="0" y="0"/>
            <wp:positionH relativeFrom="column">
              <wp:posOffset>0</wp:posOffset>
            </wp:positionH>
            <wp:positionV relativeFrom="paragraph">
              <wp:posOffset>295910</wp:posOffset>
            </wp:positionV>
            <wp:extent cx="4721860" cy="1937385"/>
            <wp:effectExtent l="0" t="0" r="2540" b="5715"/>
            <wp:wrapSquare wrapText="bothSides"/>
            <wp:docPr id="45" name="Graphique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6554A8A" w14:textId="77777777" w:rsidR="00E9775C" w:rsidRDefault="00E9775C" w:rsidP="00E9775C">
      <w:pPr>
        <w:pStyle w:val="CORPSDETEXTE2"/>
        <w:spacing w:before="0" w:after="120"/>
        <w:ind w:left="60" w:right="288"/>
        <w:rPr>
          <w:rFonts w:ascii="Maiandra GD" w:hAnsi="Maiandra GD" w:cs="Arial"/>
          <w:sz w:val="24"/>
          <w:szCs w:val="24"/>
        </w:rPr>
      </w:pPr>
    </w:p>
    <w:p w14:paraId="11194D47" w14:textId="77777777" w:rsidR="00E9775C" w:rsidRDefault="00E9775C" w:rsidP="00E9775C">
      <w:pPr>
        <w:pStyle w:val="CORPSDETEXTE2"/>
        <w:spacing w:before="0" w:after="120"/>
        <w:ind w:left="60" w:right="288"/>
        <w:rPr>
          <w:rFonts w:ascii="Maiandra GD" w:hAnsi="Maiandra GD" w:cs="Arial"/>
          <w:sz w:val="24"/>
          <w:szCs w:val="24"/>
        </w:rPr>
      </w:pPr>
    </w:p>
    <w:p w14:paraId="12B658AA" w14:textId="77777777" w:rsidR="00E9775C" w:rsidRDefault="00E9775C" w:rsidP="00E9775C">
      <w:pPr>
        <w:pStyle w:val="CORPSDETEXTE2"/>
        <w:spacing w:before="0" w:after="120"/>
        <w:ind w:left="60" w:right="288"/>
        <w:rPr>
          <w:rFonts w:ascii="Maiandra GD" w:hAnsi="Maiandra GD" w:cs="Arial"/>
          <w:sz w:val="24"/>
          <w:szCs w:val="24"/>
        </w:rPr>
      </w:pPr>
    </w:p>
    <w:p w14:paraId="78742A40" w14:textId="77777777" w:rsidR="00E9775C" w:rsidRDefault="00E9775C" w:rsidP="00E9775C">
      <w:pPr>
        <w:pStyle w:val="CORPSDETEXTE2"/>
        <w:spacing w:before="0" w:after="120"/>
        <w:ind w:left="60" w:right="288"/>
        <w:rPr>
          <w:rFonts w:ascii="Maiandra GD" w:hAnsi="Maiandra GD" w:cs="Arial"/>
          <w:sz w:val="24"/>
          <w:szCs w:val="24"/>
        </w:rPr>
      </w:pPr>
    </w:p>
    <w:p w14:paraId="1B85D7CE" w14:textId="77777777" w:rsidR="00E9775C" w:rsidRDefault="00E9775C" w:rsidP="00E9775C">
      <w:pPr>
        <w:pStyle w:val="CORPSDETEXTE2"/>
        <w:spacing w:before="0" w:after="120"/>
        <w:ind w:left="60" w:right="288"/>
        <w:rPr>
          <w:rFonts w:ascii="Maiandra GD" w:hAnsi="Maiandra GD" w:cs="Arial"/>
          <w:sz w:val="24"/>
          <w:szCs w:val="24"/>
        </w:rPr>
      </w:pPr>
    </w:p>
    <w:p w14:paraId="78B4CBBB" w14:textId="77777777" w:rsidR="00E9775C" w:rsidRDefault="00E9775C" w:rsidP="00E9775C">
      <w:pPr>
        <w:pStyle w:val="CORPSDETEXTE2"/>
        <w:spacing w:before="0" w:after="120"/>
        <w:ind w:left="60" w:right="288"/>
        <w:rPr>
          <w:rFonts w:ascii="Maiandra GD" w:hAnsi="Maiandra GD" w:cs="Arial"/>
          <w:sz w:val="24"/>
          <w:szCs w:val="24"/>
        </w:rPr>
      </w:pPr>
    </w:p>
    <w:p w14:paraId="4AF8B33A" w14:textId="77777777" w:rsidR="00E9775C" w:rsidRDefault="00E9775C" w:rsidP="00E9775C">
      <w:pPr>
        <w:pStyle w:val="CORPSDETEXTE2"/>
        <w:spacing w:before="0" w:after="120"/>
        <w:ind w:left="60" w:right="288"/>
        <w:rPr>
          <w:rFonts w:ascii="Maiandra GD" w:hAnsi="Maiandra GD" w:cs="Arial"/>
          <w:sz w:val="24"/>
          <w:szCs w:val="24"/>
        </w:rPr>
      </w:pPr>
    </w:p>
    <w:p w14:paraId="4200A04C" w14:textId="77777777" w:rsidR="00E9775C" w:rsidRDefault="00E9775C" w:rsidP="00E9775C">
      <w:pPr>
        <w:pStyle w:val="CORPSDETEXTE2"/>
        <w:spacing w:before="0" w:after="120"/>
        <w:ind w:left="60" w:right="288"/>
        <w:rPr>
          <w:rFonts w:ascii="Maiandra GD" w:hAnsi="Maiandra GD" w:cs="Arial"/>
          <w:sz w:val="24"/>
          <w:szCs w:val="24"/>
        </w:rPr>
      </w:pPr>
    </w:p>
    <w:p w14:paraId="5A10A9BB" w14:textId="77777777" w:rsidR="00E9775C" w:rsidRPr="00EC6337" w:rsidRDefault="00E9775C" w:rsidP="00D051E1">
      <w:pPr>
        <w:spacing w:line="276" w:lineRule="auto"/>
        <w:rPr>
          <w:rFonts w:cs="Arial"/>
          <w:b/>
          <w:szCs w:val="24"/>
        </w:rPr>
      </w:pPr>
    </w:p>
    <w:p w14:paraId="508DFB75" w14:textId="77777777" w:rsidR="00D051E1" w:rsidRPr="00EC6337" w:rsidRDefault="00D051E1" w:rsidP="00822388">
      <w:pPr>
        <w:rPr>
          <w:rFonts w:eastAsiaTheme="majorEastAsia"/>
          <w:b/>
          <w:vanish/>
          <w:color w:val="002060"/>
          <w:szCs w:val="24"/>
        </w:rPr>
      </w:pPr>
      <w:bookmarkStart w:id="31" w:name="_Toc58419915"/>
      <w:bookmarkStart w:id="32" w:name="_Toc58419978"/>
      <w:bookmarkStart w:id="33" w:name="_Toc58420040"/>
      <w:bookmarkStart w:id="34" w:name="_Toc58445209"/>
      <w:bookmarkStart w:id="35" w:name="_Toc15977906"/>
      <w:bookmarkEnd w:id="31"/>
      <w:bookmarkEnd w:id="32"/>
      <w:bookmarkEnd w:id="33"/>
      <w:bookmarkEnd w:id="34"/>
    </w:p>
    <w:p w14:paraId="71F49024" w14:textId="77777777" w:rsidR="00D051E1" w:rsidRPr="00EC6337" w:rsidRDefault="00D051E1" w:rsidP="00822388">
      <w:pPr>
        <w:rPr>
          <w:rFonts w:eastAsiaTheme="majorEastAsia"/>
          <w:b/>
          <w:vanish/>
          <w:color w:val="002060"/>
          <w:szCs w:val="24"/>
        </w:rPr>
      </w:pPr>
      <w:bookmarkStart w:id="36" w:name="_Toc58419916"/>
      <w:bookmarkStart w:id="37" w:name="_Toc58419979"/>
      <w:bookmarkStart w:id="38" w:name="_Toc58420041"/>
      <w:bookmarkStart w:id="39" w:name="_Toc58445210"/>
      <w:bookmarkEnd w:id="36"/>
      <w:bookmarkEnd w:id="37"/>
      <w:bookmarkEnd w:id="38"/>
      <w:bookmarkEnd w:id="39"/>
    </w:p>
    <w:p w14:paraId="4E4AB0B6" w14:textId="77777777" w:rsidR="00D051E1" w:rsidRPr="00EC6337" w:rsidRDefault="00D051E1" w:rsidP="00822388">
      <w:pPr>
        <w:rPr>
          <w:rFonts w:eastAsiaTheme="majorEastAsia"/>
          <w:b/>
          <w:vanish/>
          <w:color w:val="002060"/>
          <w:szCs w:val="24"/>
        </w:rPr>
      </w:pPr>
      <w:bookmarkStart w:id="40" w:name="_Toc58419917"/>
      <w:bookmarkStart w:id="41" w:name="_Toc58419980"/>
      <w:bookmarkStart w:id="42" w:name="_Toc58420042"/>
      <w:bookmarkStart w:id="43" w:name="_Toc58445211"/>
      <w:bookmarkEnd w:id="40"/>
      <w:bookmarkEnd w:id="41"/>
      <w:bookmarkEnd w:id="42"/>
      <w:bookmarkEnd w:id="43"/>
    </w:p>
    <w:p w14:paraId="226A04DE" w14:textId="77777777" w:rsidR="00D051E1" w:rsidRPr="00EC6337" w:rsidRDefault="00D051E1" w:rsidP="00822388">
      <w:pPr>
        <w:rPr>
          <w:rFonts w:eastAsiaTheme="majorEastAsia"/>
          <w:b/>
          <w:vanish/>
          <w:color w:val="002060"/>
          <w:szCs w:val="24"/>
        </w:rPr>
      </w:pPr>
      <w:bookmarkStart w:id="44" w:name="_Toc58419918"/>
      <w:bookmarkStart w:id="45" w:name="_Toc58419981"/>
      <w:bookmarkStart w:id="46" w:name="_Toc58420043"/>
      <w:bookmarkStart w:id="47" w:name="_Toc58445212"/>
      <w:bookmarkEnd w:id="44"/>
      <w:bookmarkEnd w:id="45"/>
      <w:bookmarkEnd w:id="46"/>
      <w:bookmarkEnd w:id="47"/>
    </w:p>
    <w:p w14:paraId="58498ED1" w14:textId="77777777" w:rsidR="00D051E1" w:rsidRPr="00EC6337" w:rsidRDefault="00D051E1" w:rsidP="00822388">
      <w:pPr>
        <w:rPr>
          <w:rFonts w:eastAsiaTheme="majorEastAsia"/>
          <w:b/>
          <w:vanish/>
          <w:color w:val="002060"/>
          <w:szCs w:val="24"/>
        </w:rPr>
      </w:pPr>
      <w:bookmarkStart w:id="48" w:name="_Toc58419919"/>
      <w:bookmarkStart w:id="49" w:name="_Toc58419982"/>
      <w:bookmarkStart w:id="50" w:name="_Toc58420044"/>
      <w:bookmarkStart w:id="51" w:name="_Toc58445213"/>
      <w:bookmarkEnd w:id="48"/>
      <w:bookmarkEnd w:id="49"/>
      <w:bookmarkEnd w:id="50"/>
      <w:bookmarkEnd w:id="51"/>
    </w:p>
    <w:p w14:paraId="18F8BD6C" w14:textId="77777777" w:rsidR="00D051E1" w:rsidRPr="00EC6337" w:rsidRDefault="00D051E1" w:rsidP="00822388">
      <w:pPr>
        <w:rPr>
          <w:rFonts w:eastAsiaTheme="majorEastAsia"/>
          <w:b/>
          <w:vanish/>
          <w:color w:val="002060"/>
          <w:szCs w:val="24"/>
        </w:rPr>
      </w:pPr>
      <w:bookmarkStart w:id="52" w:name="_Toc58419920"/>
      <w:bookmarkStart w:id="53" w:name="_Toc58419983"/>
      <w:bookmarkStart w:id="54" w:name="_Toc58420045"/>
      <w:bookmarkStart w:id="55" w:name="_Toc58445214"/>
      <w:bookmarkEnd w:id="52"/>
      <w:bookmarkEnd w:id="53"/>
      <w:bookmarkEnd w:id="54"/>
      <w:bookmarkEnd w:id="55"/>
    </w:p>
    <w:p w14:paraId="19879561" w14:textId="77777777" w:rsidR="00D051E1" w:rsidRPr="00EC6337" w:rsidRDefault="00D051E1" w:rsidP="00822388">
      <w:pPr>
        <w:rPr>
          <w:rFonts w:eastAsiaTheme="majorEastAsia"/>
          <w:b/>
          <w:vanish/>
          <w:color w:val="002060"/>
          <w:szCs w:val="24"/>
        </w:rPr>
      </w:pPr>
    </w:p>
    <w:p w14:paraId="017A661C" w14:textId="77777777" w:rsidR="00D051E1" w:rsidRPr="00EC6337" w:rsidRDefault="00D051E1" w:rsidP="00822388">
      <w:pPr>
        <w:rPr>
          <w:rFonts w:eastAsiaTheme="majorEastAsia"/>
          <w:b/>
          <w:vanish/>
          <w:color w:val="002060"/>
          <w:szCs w:val="24"/>
        </w:rPr>
      </w:pPr>
      <w:bookmarkStart w:id="56" w:name="_Toc15660652"/>
      <w:bookmarkStart w:id="57" w:name="_Toc15660778"/>
      <w:bookmarkStart w:id="58" w:name="_Toc15755750"/>
      <w:bookmarkStart w:id="59" w:name="_Toc15885917"/>
      <w:bookmarkStart w:id="60" w:name="_Toc15887698"/>
      <w:bookmarkStart w:id="61" w:name="_Toc15891832"/>
      <w:bookmarkStart w:id="62" w:name="_Toc15909459"/>
      <w:bookmarkStart w:id="63" w:name="_Toc15910514"/>
      <w:bookmarkStart w:id="64" w:name="_Toc15910643"/>
      <w:bookmarkStart w:id="65" w:name="_Toc15921074"/>
      <w:bookmarkStart w:id="66" w:name="_Toc15922293"/>
      <w:bookmarkStart w:id="67" w:name="_Toc15924313"/>
      <w:bookmarkStart w:id="68" w:name="_Toc15938654"/>
      <w:bookmarkStart w:id="69" w:name="_Toc15968105"/>
      <w:bookmarkStart w:id="70" w:name="_Toc15969290"/>
      <w:bookmarkStart w:id="71" w:name="_Toc15969426"/>
      <w:bookmarkStart w:id="72" w:name="_Toc15969562"/>
      <w:bookmarkStart w:id="73" w:name="_Toc15971095"/>
      <w:bookmarkStart w:id="74" w:name="_Toc15971552"/>
      <w:bookmarkStart w:id="75" w:name="_Toc15971689"/>
      <w:bookmarkStart w:id="76" w:name="_Toc14354861"/>
      <w:bookmarkStart w:id="77" w:name="_Toc14867834"/>
      <w:bookmarkStart w:id="78" w:name="_Toc14871534"/>
      <w:bookmarkStart w:id="79" w:name="_Toc15660784"/>
      <w:bookmarkEnd w:id="3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FABF8AB" w14:textId="77777777" w:rsidR="00D051E1" w:rsidRPr="00EC6337" w:rsidRDefault="00D051E1" w:rsidP="00822388">
      <w:pPr>
        <w:rPr>
          <w:rFonts w:eastAsiaTheme="majorEastAsia"/>
          <w:b/>
          <w:vanish/>
          <w:color w:val="002060"/>
          <w:szCs w:val="24"/>
        </w:rPr>
      </w:pPr>
      <w:bookmarkStart w:id="80" w:name="_Toc15969291"/>
      <w:bookmarkStart w:id="81" w:name="_Toc15969427"/>
      <w:bookmarkStart w:id="82" w:name="_Toc15969563"/>
      <w:bookmarkStart w:id="83" w:name="_Toc15971096"/>
      <w:bookmarkStart w:id="84" w:name="_Toc15971553"/>
      <w:bookmarkStart w:id="85" w:name="_Toc15971690"/>
      <w:bookmarkStart w:id="86" w:name="_Toc15977907"/>
      <w:bookmarkStart w:id="87" w:name="_Toc58419922"/>
      <w:bookmarkStart w:id="88" w:name="_Toc58419985"/>
      <w:bookmarkStart w:id="89" w:name="_Toc58420047"/>
      <w:bookmarkStart w:id="90" w:name="_Toc58445216"/>
      <w:bookmarkEnd w:id="80"/>
      <w:bookmarkEnd w:id="81"/>
      <w:bookmarkEnd w:id="82"/>
      <w:bookmarkEnd w:id="83"/>
      <w:bookmarkEnd w:id="84"/>
      <w:bookmarkEnd w:id="85"/>
      <w:bookmarkEnd w:id="86"/>
      <w:bookmarkEnd w:id="87"/>
      <w:bookmarkEnd w:id="88"/>
      <w:bookmarkEnd w:id="89"/>
      <w:bookmarkEnd w:id="90"/>
    </w:p>
    <w:p w14:paraId="136F9051" w14:textId="77777777" w:rsidR="00D051E1" w:rsidRPr="00EC6337" w:rsidRDefault="00D051E1" w:rsidP="00822388">
      <w:pPr>
        <w:rPr>
          <w:rFonts w:eastAsiaTheme="majorEastAsia"/>
          <w:b/>
          <w:vanish/>
          <w:color w:val="002060"/>
          <w:szCs w:val="24"/>
        </w:rPr>
      </w:pPr>
      <w:bookmarkStart w:id="91" w:name="_Toc15969292"/>
      <w:bookmarkStart w:id="92" w:name="_Toc15969428"/>
      <w:bookmarkStart w:id="93" w:name="_Toc15969564"/>
      <w:bookmarkStart w:id="94" w:name="_Toc15971097"/>
      <w:bookmarkStart w:id="95" w:name="_Toc15971554"/>
      <w:bookmarkStart w:id="96" w:name="_Toc15971691"/>
      <w:bookmarkStart w:id="97" w:name="_Toc15977908"/>
      <w:bookmarkStart w:id="98" w:name="_Toc58419923"/>
      <w:bookmarkStart w:id="99" w:name="_Toc58419986"/>
      <w:bookmarkStart w:id="100" w:name="_Toc58420048"/>
      <w:bookmarkStart w:id="101" w:name="_Toc58445217"/>
      <w:bookmarkEnd w:id="91"/>
      <w:bookmarkEnd w:id="92"/>
      <w:bookmarkEnd w:id="93"/>
      <w:bookmarkEnd w:id="94"/>
      <w:bookmarkEnd w:id="95"/>
      <w:bookmarkEnd w:id="96"/>
      <w:bookmarkEnd w:id="97"/>
      <w:bookmarkEnd w:id="98"/>
      <w:bookmarkEnd w:id="99"/>
      <w:bookmarkEnd w:id="100"/>
      <w:bookmarkEnd w:id="101"/>
    </w:p>
    <w:p w14:paraId="3A002A59" w14:textId="77777777" w:rsidR="00D051E1" w:rsidRPr="00EC6337" w:rsidRDefault="00D051E1" w:rsidP="00822388">
      <w:pPr>
        <w:rPr>
          <w:rFonts w:eastAsiaTheme="majorEastAsia"/>
          <w:b/>
          <w:vanish/>
          <w:color w:val="002060"/>
          <w:szCs w:val="24"/>
        </w:rPr>
      </w:pPr>
      <w:bookmarkStart w:id="102" w:name="_Toc15969293"/>
      <w:bookmarkStart w:id="103" w:name="_Toc15969429"/>
      <w:bookmarkStart w:id="104" w:name="_Toc15969565"/>
      <w:bookmarkStart w:id="105" w:name="_Toc15971098"/>
      <w:bookmarkStart w:id="106" w:name="_Toc15971555"/>
      <w:bookmarkStart w:id="107" w:name="_Toc15971692"/>
      <w:bookmarkStart w:id="108" w:name="_Toc15977909"/>
      <w:bookmarkStart w:id="109" w:name="_Toc58419924"/>
      <w:bookmarkStart w:id="110" w:name="_Toc58419987"/>
      <w:bookmarkStart w:id="111" w:name="_Toc58420049"/>
      <w:bookmarkStart w:id="112" w:name="_Toc58445218"/>
      <w:bookmarkEnd w:id="102"/>
      <w:bookmarkEnd w:id="103"/>
      <w:bookmarkEnd w:id="104"/>
      <w:bookmarkEnd w:id="105"/>
      <w:bookmarkEnd w:id="106"/>
      <w:bookmarkEnd w:id="107"/>
      <w:bookmarkEnd w:id="108"/>
      <w:bookmarkEnd w:id="109"/>
      <w:bookmarkEnd w:id="110"/>
      <w:bookmarkEnd w:id="111"/>
      <w:bookmarkEnd w:id="112"/>
    </w:p>
    <w:p w14:paraId="336577A4" w14:textId="77777777" w:rsidR="00D051E1" w:rsidRPr="00EC6337" w:rsidRDefault="00D051E1" w:rsidP="00822388">
      <w:pPr>
        <w:rPr>
          <w:rFonts w:eastAsiaTheme="majorEastAsia"/>
          <w:b/>
          <w:vanish/>
          <w:color w:val="002060"/>
          <w:szCs w:val="24"/>
        </w:rPr>
      </w:pPr>
      <w:bookmarkStart w:id="113" w:name="_Toc15969294"/>
      <w:bookmarkStart w:id="114" w:name="_Toc15969430"/>
      <w:bookmarkStart w:id="115" w:name="_Toc15969566"/>
      <w:bookmarkStart w:id="116" w:name="_Toc15971099"/>
      <w:bookmarkStart w:id="117" w:name="_Toc15971556"/>
      <w:bookmarkStart w:id="118" w:name="_Toc15971693"/>
      <w:bookmarkStart w:id="119" w:name="_Toc15977910"/>
      <w:bookmarkStart w:id="120" w:name="_Toc58419925"/>
      <w:bookmarkStart w:id="121" w:name="_Toc58419988"/>
      <w:bookmarkStart w:id="122" w:name="_Toc58420050"/>
      <w:bookmarkStart w:id="123" w:name="_Toc58445219"/>
      <w:bookmarkEnd w:id="113"/>
      <w:bookmarkEnd w:id="114"/>
      <w:bookmarkEnd w:id="115"/>
      <w:bookmarkEnd w:id="116"/>
      <w:bookmarkEnd w:id="117"/>
      <w:bookmarkEnd w:id="118"/>
      <w:bookmarkEnd w:id="119"/>
      <w:bookmarkEnd w:id="120"/>
      <w:bookmarkEnd w:id="121"/>
      <w:bookmarkEnd w:id="122"/>
      <w:bookmarkEnd w:id="123"/>
    </w:p>
    <w:p w14:paraId="56ABAA37" w14:textId="77777777" w:rsidR="00D051E1" w:rsidRPr="00EC6337" w:rsidRDefault="00D051E1" w:rsidP="00822388">
      <w:pPr>
        <w:rPr>
          <w:rFonts w:eastAsiaTheme="majorEastAsia"/>
          <w:b/>
          <w:vanish/>
          <w:color w:val="002060"/>
          <w:szCs w:val="24"/>
        </w:rPr>
      </w:pPr>
      <w:bookmarkStart w:id="124" w:name="_Toc15969295"/>
      <w:bookmarkStart w:id="125" w:name="_Toc15969431"/>
      <w:bookmarkStart w:id="126" w:name="_Toc15969567"/>
      <w:bookmarkStart w:id="127" w:name="_Toc15971100"/>
      <w:bookmarkStart w:id="128" w:name="_Toc15971557"/>
      <w:bookmarkStart w:id="129" w:name="_Toc15971694"/>
      <w:bookmarkStart w:id="130" w:name="_Toc15977911"/>
      <w:bookmarkStart w:id="131" w:name="_Toc58419926"/>
      <w:bookmarkStart w:id="132" w:name="_Toc58419989"/>
      <w:bookmarkStart w:id="133" w:name="_Toc58420051"/>
      <w:bookmarkStart w:id="134" w:name="_Toc58445220"/>
      <w:bookmarkEnd w:id="124"/>
      <w:bookmarkEnd w:id="125"/>
      <w:bookmarkEnd w:id="126"/>
      <w:bookmarkEnd w:id="127"/>
      <w:bookmarkEnd w:id="128"/>
      <w:bookmarkEnd w:id="129"/>
      <w:bookmarkEnd w:id="130"/>
      <w:bookmarkEnd w:id="131"/>
      <w:bookmarkEnd w:id="132"/>
      <w:bookmarkEnd w:id="133"/>
      <w:bookmarkEnd w:id="134"/>
    </w:p>
    <w:p w14:paraId="12ADDF71" w14:textId="77777777" w:rsidR="00D051E1" w:rsidRPr="00EC6337" w:rsidRDefault="00D051E1" w:rsidP="00822388">
      <w:pPr>
        <w:rPr>
          <w:rFonts w:eastAsiaTheme="majorEastAsia"/>
          <w:b/>
          <w:vanish/>
          <w:color w:val="002060"/>
          <w:szCs w:val="24"/>
        </w:rPr>
      </w:pPr>
      <w:bookmarkStart w:id="135" w:name="_Toc15977912"/>
      <w:bookmarkEnd w:id="135"/>
    </w:p>
    <w:bookmarkEnd w:id="76"/>
    <w:bookmarkEnd w:id="77"/>
    <w:bookmarkEnd w:id="78"/>
    <w:bookmarkEnd w:id="79"/>
    <w:p w14:paraId="3361B543" w14:textId="052714BD" w:rsidR="00D051E1" w:rsidRPr="00EC6337" w:rsidRDefault="00D50D08" w:rsidP="00822388">
      <w:pPr>
        <w:rPr>
          <w:color w:val="000000"/>
          <w:szCs w:val="24"/>
        </w:rPr>
      </w:pPr>
      <w:r>
        <w:rPr>
          <w:szCs w:val="24"/>
        </w:rPr>
        <w:t>La</w:t>
      </w:r>
      <w:r w:rsidR="00D051E1" w:rsidRPr="00EC6337">
        <w:rPr>
          <w:szCs w:val="24"/>
        </w:rPr>
        <w:t xml:space="preserve"> dépense totale en santé (</w:t>
      </w:r>
      <w:proofErr w:type="spellStart"/>
      <w:r w:rsidR="00D051E1" w:rsidRPr="00EC6337">
        <w:rPr>
          <w:szCs w:val="24"/>
        </w:rPr>
        <w:t>DTS</w:t>
      </w:r>
      <w:proofErr w:type="spellEnd"/>
      <w:r w:rsidR="00D051E1" w:rsidRPr="00EC6337">
        <w:rPr>
          <w:szCs w:val="24"/>
        </w:rPr>
        <w:t xml:space="preserve">) par habitant et par an est estimée à 395 319,19 </w:t>
      </w:r>
      <w:proofErr w:type="spellStart"/>
      <w:r w:rsidR="00D051E1" w:rsidRPr="00EC6337">
        <w:rPr>
          <w:color w:val="000000"/>
          <w:szCs w:val="24"/>
        </w:rPr>
        <w:t>GNF</w:t>
      </w:r>
      <w:proofErr w:type="spellEnd"/>
      <w:r w:rsidR="00D051E1" w:rsidRPr="00EC6337">
        <w:rPr>
          <w:color w:val="000000"/>
          <w:szCs w:val="24"/>
        </w:rPr>
        <w:t xml:space="preserve"> en 2016, soit 43 USD</w:t>
      </w:r>
      <w:r w:rsidR="00D051E1" w:rsidRPr="00EC6337">
        <w:rPr>
          <w:rStyle w:val="Appelnotedebasdep"/>
          <w:rFonts w:cs="Arial"/>
          <w:color w:val="000000"/>
          <w:szCs w:val="24"/>
        </w:rPr>
        <w:footnoteReference w:id="2"/>
      </w:r>
      <w:r w:rsidR="00D051E1" w:rsidRPr="00EC6337">
        <w:rPr>
          <w:color w:val="000000"/>
          <w:szCs w:val="24"/>
        </w:rPr>
        <w:t xml:space="preserve">. Elle correspond à </w:t>
      </w:r>
      <w:r w:rsidR="00D051E1" w:rsidRPr="00EC6337">
        <w:rPr>
          <w:szCs w:val="24"/>
        </w:rPr>
        <w:t>6,4%</w:t>
      </w:r>
      <w:r w:rsidR="00D051E1" w:rsidRPr="00EC6337">
        <w:rPr>
          <w:color w:val="000000"/>
          <w:szCs w:val="24"/>
        </w:rPr>
        <w:t xml:space="preserve"> du PIB</w:t>
      </w:r>
      <w:r w:rsidR="00D051E1" w:rsidRPr="00EC6337">
        <w:rPr>
          <w:rStyle w:val="Appelnotedebasdep"/>
          <w:rFonts w:cs="Arial"/>
          <w:color w:val="000000"/>
          <w:szCs w:val="24"/>
        </w:rPr>
        <w:footnoteReference w:id="3"/>
      </w:r>
      <w:r w:rsidR="00D051E1" w:rsidRPr="00EC6337">
        <w:rPr>
          <w:color w:val="000000"/>
          <w:szCs w:val="24"/>
        </w:rPr>
        <w:t xml:space="preserve">. </w:t>
      </w:r>
      <w:r w:rsidR="00D051E1" w:rsidRPr="00EC6337">
        <w:rPr>
          <w:szCs w:val="24"/>
        </w:rPr>
        <w:t>En 2014 elle était de 187 US $ en Côte d’Ivoire et 107 US$ au Sénégal</w:t>
      </w:r>
      <w:r w:rsidR="00D051E1" w:rsidRPr="00EC6337">
        <w:rPr>
          <w:rStyle w:val="Appelnotedebasdep"/>
          <w:rFonts w:cs="Arial"/>
          <w:color w:val="000000"/>
          <w:szCs w:val="24"/>
        </w:rPr>
        <w:footnoteReference w:id="4"/>
      </w:r>
      <w:r w:rsidR="00D051E1" w:rsidRPr="00EC6337">
        <w:rPr>
          <w:szCs w:val="24"/>
        </w:rPr>
        <w:t>.</w:t>
      </w:r>
    </w:p>
    <w:p w14:paraId="4673A28E" w14:textId="21AFCBA9" w:rsidR="00D051E1" w:rsidRPr="00EC6337" w:rsidRDefault="002E5AA5" w:rsidP="00822388">
      <w:pPr>
        <w:rPr>
          <w:szCs w:val="24"/>
        </w:rPr>
      </w:pPr>
      <w:r>
        <w:rPr>
          <w:color w:val="000000"/>
          <w:szCs w:val="24"/>
        </w:rPr>
        <w:t>L</w:t>
      </w:r>
      <w:r w:rsidR="00D051E1" w:rsidRPr="00EC6337">
        <w:rPr>
          <w:color w:val="000000"/>
          <w:szCs w:val="24"/>
        </w:rPr>
        <w:t xml:space="preserve">a répartition de la </w:t>
      </w:r>
      <w:proofErr w:type="spellStart"/>
      <w:r w:rsidR="00D051E1" w:rsidRPr="00EC6337">
        <w:rPr>
          <w:color w:val="000000"/>
          <w:szCs w:val="24"/>
        </w:rPr>
        <w:t>DTS</w:t>
      </w:r>
      <w:proofErr w:type="spellEnd"/>
      <w:r w:rsidR="00D051E1" w:rsidRPr="00EC6337">
        <w:rPr>
          <w:color w:val="000000"/>
          <w:szCs w:val="24"/>
        </w:rPr>
        <w:t xml:space="preserve"> par source montre que </w:t>
      </w:r>
      <w:r w:rsidR="00D051E1" w:rsidRPr="00EC6337">
        <w:rPr>
          <w:szCs w:val="24"/>
        </w:rPr>
        <w:t>les ménages constituent la première source de financement des dépenses de santé par le paiement direct, avec 46,4% des dépenses, suivi du Reste du monde, avec 35,7% des dépenses de santé. L’</w:t>
      </w:r>
      <w:proofErr w:type="spellStart"/>
      <w:r w:rsidR="00D051E1" w:rsidRPr="00EC6337">
        <w:rPr>
          <w:szCs w:val="24"/>
        </w:rPr>
        <w:t>Etat</w:t>
      </w:r>
      <w:proofErr w:type="spellEnd"/>
      <w:r w:rsidR="00D051E1" w:rsidRPr="00EC6337">
        <w:rPr>
          <w:szCs w:val="24"/>
        </w:rPr>
        <w:t xml:space="preserve"> est la troisième source de financement de la santé avec 15,1% des dépenses de santé</w:t>
      </w:r>
      <w:r w:rsidR="00D051E1" w:rsidRPr="00EC6337">
        <w:rPr>
          <w:rStyle w:val="Appelnotedebasdep"/>
          <w:rFonts w:cs="Arial"/>
          <w:szCs w:val="24"/>
        </w:rPr>
        <w:footnoteReference w:id="5"/>
      </w:r>
      <w:r w:rsidR="00D051E1" w:rsidRPr="00EC6337">
        <w:rPr>
          <w:i/>
          <w:szCs w:val="24"/>
        </w:rPr>
        <w:t>.</w:t>
      </w:r>
      <w:r w:rsidR="00D051E1" w:rsidRPr="00EC6337">
        <w:rPr>
          <w:szCs w:val="24"/>
        </w:rPr>
        <w:t xml:space="preserve">  </w:t>
      </w:r>
    </w:p>
    <w:p w14:paraId="5D300BE8" w14:textId="77777777" w:rsidR="00D051E1" w:rsidRPr="00EC6337" w:rsidRDefault="00D051E1" w:rsidP="00D051E1">
      <w:pPr>
        <w:spacing w:line="276" w:lineRule="auto"/>
        <w:rPr>
          <w:rFonts w:cs="Arial"/>
          <w:b/>
          <w:szCs w:val="24"/>
        </w:rPr>
        <w:sectPr w:rsidR="00D051E1" w:rsidRPr="00EC6337" w:rsidSect="007127F6">
          <w:footerReference w:type="first" r:id="rId14"/>
          <w:pgSz w:w="11906" w:h="16838" w:code="9"/>
          <w:pgMar w:top="1417" w:right="1417" w:bottom="1417" w:left="1417" w:header="709" w:footer="709" w:gutter="0"/>
          <w:pgBorders>
            <w:top w:val="single" w:sz="4" w:space="1" w:color="auto"/>
            <w:bottom w:val="single" w:sz="4" w:space="1" w:color="auto"/>
          </w:pgBorders>
          <w:cols w:space="708"/>
          <w:titlePg/>
          <w:docGrid w:linePitch="360"/>
        </w:sectPr>
      </w:pPr>
    </w:p>
    <w:p w14:paraId="3AF5DE63" w14:textId="670B36B0" w:rsidR="004E0F1B" w:rsidRPr="006A44DA" w:rsidRDefault="00CB4D5C" w:rsidP="006A44DA">
      <w:pPr>
        <w:pStyle w:val="Titre1"/>
      </w:pPr>
      <w:bookmarkStart w:id="136" w:name="_Toc58420053"/>
      <w:bookmarkStart w:id="137" w:name="_Toc63233197"/>
      <w:r w:rsidRPr="006A44DA">
        <w:t xml:space="preserve">CHAPITRE II : OBJECTIFS ET </w:t>
      </w:r>
      <w:proofErr w:type="spellStart"/>
      <w:r w:rsidRPr="006A44DA">
        <w:t>METHODOLOGIE</w:t>
      </w:r>
      <w:bookmarkEnd w:id="136"/>
      <w:bookmarkEnd w:id="137"/>
      <w:proofErr w:type="spellEnd"/>
    </w:p>
    <w:p w14:paraId="472E7488" w14:textId="64514A08" w:rsidR="00545D3A" w:rsidRDefault="00545D3A" w:rsidP="004E0F1B">
      <w:r>
        <w:t xml:space="preserve">Les objectifs et la démarche méthodologique ont été formulés à partir des directives </w:t>
      </w:r>
      <w:r w:rsidR="00BE5B33">
        <w:t xml:space="preserve">du bureau régional de l’OMS qui s’inscrit dans le cadre de l’appui de cette institution aux </w:t>
      </w:r>
      <w:proofErr w:type="spellStart"/>
      <w:r w:rsidR="00BE5B33">
        <w:t>Etats</w:t>
      </w:r>
      <w:proofErr w:type="spellEnd"/>
      <w:r w:rsidR="00BE5B33">
        <w:t xml:space="preserve"> membre.</w:t>
      </w:r>
    </w:p>
    <w:p w14:paraId="20044E82" w14:textId="5FE961C9" w:rsidR="00CE5355" w:rsidRPr="004E0F1B" w:rsidRDefault="00CE5355" w:rsidP="004E0F1B">
      <w:r>
        <w:t xml:space="preserve">Ces supports ont été </w:t>
      </w:r>
      <w:r w:rsidR="00323924">
        <w:t>adaptés au</w:t>
      </w:r>
      <w:r w:rsidR="009F5939">
        <w:t xml:space="preserve"> contexte</w:t>
      </w:r>
      <w:r w:rsidR="00323924">
        <w:t xml:space="preserve"> national</w:t>
      </w:r>
      <w:r>
        <w:t xml:space="preserve"> et ont servi d’outils de collecte</w:t>
      </w:r>
      <w:r w:rsidR="00323924">
        <w:t xml:space="preserve">s et de formation des enquêteurs. </w:t>
      </w:r>
    </w:p>
    <w:p w14:paraId="37761FF0" w14:textId="77777777" w:rsidR="006A44DA" w:rsidRPr="006A44DA" w:rsidRDefault="006A44DA" w:rsidP="00460F99">
      <w:pPr>
        <w:pStyle w:val="Paragraphedeliste"/>
        <w:numPr>
          <w:ilvl w:val="0"/>
          <w:numId w:val="29"/>
        </w:numPr>
        <w:contextualSpacing w:val="0"/>
        <w:outlineLvl w:val="1"/>
        <w:rPr>
          <w:rFonts w:eastAsiaTheme="majorEastAsia" w:cstheme="majorBidi"/>
          <w:b/>
          <w:vanish/>
          <w:color w:val="002060"/>
          <w:szCs w:val="26"/>
        </w:rPr>
      </w:pPr>
      <w:bookmarkStart w:id="138" w:name="_Toc58670471"/>
      <w:bookmarkStart w:id="139" w:name="_Toc58670545"/>
      <w:bookmarkStart w:id="140" w:name="_Toc58670625"/>
      <w:bookmarkStart w:id="141" w:name="_Toc58671693"/>
      <w:bookmarkStart w:id="142" w:name="_Toc58672159"/>
      <w:bookmarkStart w:id="143" w:name="_Toc58674239"/>
      <w:bookmarkStart w:id="144" w:name="_Toc58674975"/>
      <w:bookmarkStart w:id="145" w:name="_Toc58675863"/>
      <w:bookmarkStart w:id="146" w:name="_Toc63232604"/>
      <w:bookmarkStart w:id="147" w:name="_Toc63233198"/>
      <w:bookmarkEnd w:id="138"/>
      <w:bookmarkEnd w:id="139"/>
      <w:bookmarkEnd w:id="140"/>
      <w:bookmarkEnd w:id="141"/>
      <w:bookmarkEnd w:id="142"/>
      <w:bookmarkEnd w:id="143"/>
      <w:bookmarkEnd w:id="144"/>
      <w:bookmarkEnd w:id="145"/>
      <w:bookmarkEnd w:id="146"/>
      <w:bookmarkEnd w:id="147"/>
    </w:p>
    <w:p w14:paraId="568D0704" w14:textId="613132C8" w:rsidR="00CB4D5C" w:rsidRDefault="00CB4D5C" w:rsidP="00460F99">
      <w:pPr>
        <w:pStyle w:val="Titre2"/>
        <w:numPr>
          <w:ilvl w:val="1"/>
          <w:numId w:val="29"/>
        </w:numPr>
      </w:pPr>
      <w:bookmarkStart w:id="148" w:name="_Toc63233199"/>
      <w:r w:rsidRPr="001C54AC">
        <w:t>Objectifs</w:t>
      </w:r>
      <w:bookmarkEnd w:id="148"/>
      <w:r w:rsidRPr="001C54AC">
        <w:t> </w:t>
      </w:r>
    </w:p>
    <w:p w14:paraId="7B530C73" w14:textId="77777777" w:rsidR="00CB4D5C" w:rsidRPr="00AF5A1F" w:rsidRDefault="00CB4D5C" w:rsidP="00460F99">
      <w:pPr>
        <w:pStyle w:val="Paragraphedeliste"/>
        <w:numPr>
          <w:ilvl w:val="0"/>
          <w:numId w:val="22"/>
        </w:numPr>
        <w:ind w:left="709" w:hanging="283"/>
        <w:rPr>
          <w:bCs/>
        </w:rPr>
      </w:pPr>
      <w:r w:rsidRPr="00AF5A1F">
        <w:rPr>
          <w:bCs/>
        </w:rPr>
        <w:t>Identifier les forces et les faiblesses dans les structures organisationnelles, les processus managériaux, la prestation des services, la participation communautaire, la responsabilisation, la gestion des ressources dans le district ;</w:t>
      </w:r>
    </w:p>
    <w:p w14:paraId="3C119C7A" w14:textId="77777777" w:rsidR="00CB4D5C" w:rsidRPr="00AF5A1F" w:rsidRDefault="00CB4D5C" w:rsidP="00460F99">
      <w:pPr>
        <w:pStyle w:val="Paragraphedeliste"/>
        <w:numPr>
          <w:ilvl w:val="0"/>
          <w:numId w:val="22"/>
        </w:numPr>
        <w:ind w:left="709" w:hanging="283"/>
        <w:rPr>
          <w:bCs/>
        </w:rPr>
      </w:pPr>
      <w:r w:rsidRPr="00AF5A1F">
        <w:rPr>
          <w:bCs/>
        </w:rPr>
        <w:t>Développer un programme d’action pour améliorer l’opérationnalité du système de santé sur la base des résultats de l’évaluation et dans la collaboration de toutes les parties impliquées dans le développement du secteur de la santé ;</w:t>
      </w:r>
    </w:p>
    <w:p w14:paraId="20A1E143" w14:textId="234F6EF9" w:rsidR="00CB4D5C" w:rsidRPr="006A44DA" w:rsidRDefault="00CB4D5C" w:rsidP="00460F99">
      <w:pPr>
        <w:pStyle w:val="Paragraphedeliste"/>
        <w:numPr>
          <w:ilvl w:val="0"/>
          <w:numId w:val="22"/>
        </w:numPr>
        <w:ind w:left="709" w:hanging="283"/>
        <w:rPr>
          <w:bCs/>
        </w:rPr>
      </w:pPr>
      <w:r w:rsidRPr="00AF5A1F">
        <w:rPr>
          <w:bCs/>
        </w:rPr>
        <w:t>Renforcer l’équipe cadre du district (en termes d’effectifs, de compétences et d’organisation).</w:t>
      </w:r>
    </w:p>
    <w:p w14:paraId="7D4B818E" w14:textId="5A5820DD" w:rsidR="00CB4D5C" w:rsidRPr="001C54AC" w:rsidRDefault="00CB4D5C" w:rsidP="00460F99">
      <w:pPr>
        <w:pStyle w:val="Titre2"/>
        <w:numPr>
          <w:ilvl w:val="1"/>
          <w:numId w:val="29"/>
        </w:numPr>
        <w:rPr>
          <w:rFonts w:cs="Arial"/>
          <w:szCs w:val="24"/>
        </w:rPr>
      </w:pPr>
      <w:r w:rsidRPr="001C54AC">
        <w:rPr>
          <w:rFonts w:cs="Arial"/>
          <w:szCs w:val="24"/>
        </w:rPr>
        <w:t xml:space="preserve"> </w:t>
      </w:r>
      <w:bookmarkStart w:id="149" w:name="_Toc63233200"/>
      <w:r w:rsidR="006A44DA" w:rsidRPr="001C54AC">
        <w:t>Méthodologie</w:t>
      </w:r>
      <w:bookmarkEnd w:id="149"/>
    </w:p>
    <w:p w14:paraId="54B629F5" w14:textId="77777777" w:rsidR="00CB4D5C" w:rsidRPr="003511F9" w:rsidRDefault="00CB4D5C" w:rsidP="00CB4D5C">
      <w:pPr>
        <w:rPr>
          <w:bCs/>
        </w:rPr>
      </w:pPr>
      <w:r w:rsidRPr="003511F9">
        <w:rPr>
          <w:bCs/>
        </w:rPr>
        <w:t xml:space="preserve">L’évaluation de l’opérationnalité est définie comme une revue de l’organisation et de la gestion du système de santé en termes de structures, de processus managérial, de priorités, de participation communautaire, de disponibilité et de gestion des ressources. </w:t>
      </w:r>
    </w:p>
    <w:p w14:paraId="6B748221" w14:textId="77777777" w:rsidR="00CB4D5C" w:rsidRPr="003511F9" w:rsidRDefault="00CB4D5C" w:rsidP="00CB4D5C">
      <w:pPr>
        <w:rPr>
          <w:bCs/>
        </w:rPr>
      </w:pPr>
      <w:r w:rsidRPr="003511F9">
        <w:rPr>
          <w:bCs/>
        </w:rPr>
        <w:t>La démarche méthodologique adoptée pour répondre aux besoins de l’étude a impliqué un choix judicieux des critères d’évaluation, de l’échantillon, la définition claire des sources de données, la méthode de collecte des données, un traitement approprié de celles-ci, et le choix des méthodes d’analyse.</w:t>
      </w:r>
    </w:p>
    <w:p w14:paraId="6FB11BEE" w14:textId="77777777" w:rsidR="00CB4D5C" w:rsidRPr="007F76A8" w:rsidRDefault="00CB4D5C" w:rsidP="006A44DA">
      <w:pPr>
        <w:pStyle w:val="Titre3"/>
      </w:pPr>
      <w:bookmarkStart w:id="150" w:name="_Toc63233201"/>
      <w:r w:rsidRPr="007F76A8">
        <w:t>Critères d’évaluation :</w:t>
      </w:r>
      <w:bookmarkEnd w:id="150"/>
    </w:p>
    <w:p w14:paraId="788961AF" w14:textId="77777777" w:rsidR="00CB4D5C" w:rsidRPr="003511F9" w:rsidRDefault="00CB4D5C" w:rsidP="00460F99">
      <w:pPr>
        <w:numPr>
          <w:ilvl w:val="0"/>
          <w:numId w:val="31"/>
        </w:numPr>
        <w:tabs>
          <w:tab w:val="clear" w:pos="720"/>
        </w:tabs>
        <w:spacing w:line="240" w:lineRule="auto"/>
        <w:ind w:left="426" w:hanging="426"/>
        <w:rPr>
          <w:b/>
          <w:bCs/>
        </w:rPr>
      </w:pPr>
      <w:r w:rsidRPr="003511F9">
        <w:rPr>
          <w:b/>
          <w:bCs/>
        </w:rPr>
        <w:t>Structures de fonctionnement de la gestion de la santé du district</w:t>
      </w:r>
    </w:p>
    <w:p w14:paraId="497569E3" w14:textId="77777777" w:rsidR="00CB4D5C" w:rsidRPr="003511F9" w:rsidRDefault="00CB4D5C" w:rsidP="00460F99">
      <w:pPr>
        <w:numPr>
          <w:ilvl w:val="0"/>
          <w:numId w:val="23"/>
        </w:numPr>
        <w:spacing w:line="240" w:lineRule="auto"/>
        <w:rPr>
          <w:bCs/>
        </w:rPr>
      </w:pPr>
      <w:r w:rsidRPr="003511F9">
        <w:rPr>
          <w:bCs/>
        </w:rPr>
        <w:t>Comité de développement du district</w:t>
      </w:r>
    </w:p>
    <w:p w14:paraId="386C1849" w14:textId="77777777" w:rsidR="00CB4D5C" w:rsidRPr="003511F9" w:rsidRDefault="00CB4D5C" w:rsidP="00460F99">
      <w:pPr>
        <w:numPr>
          <w:ilvl w:val="0"/>
          <w:numId w:val="23"/>
        </w:numPr>
        <w:spacing w:line="240" w:lineRule="auto"/>
        <w:rPr>
          <w:bCs/>
        </w:rPr>
      </w:pPr>
      <w:r w:rsidRPr="003511F9">
        <w:rPr>
          <w:bCs/>
        </w:rPr>
        <w:t>Comité de santé du district </w:t>
      </w:r>
    </w:p>
    <w:p w14:paraId="25EC74CC" w14:textId="77777777" w:rsidR="00CB4D5C" w:rsidRPr="003511F9" w:rsidRDefault="00CB4D5C" w:rsidP="00460F99">
      <w:pPr>
        <w:numPr>
          <w:ilvl w:val="0"/>
          <w:numId w:val="23"/>
        </w:numPr>
        <w:spacing w:line="240" w:lineRule="auto"/>
        <w:rPr>
          <w:bCs/>
        </w:rPr>
      </w:pPr>
      <w:proofErr w:type="spellStart"/>
      <w:r w:rsidRPr="003511F9">
        <w:rPr>
          <w:bCs/>
        </w:rPr>
        <w:t>Equipe</w:t>
      </w:r>
      <w:proofErr w:type="spellEnd"/>
      <w:r w:rsidRPr="003511F9">
        <w:rPr>
          <w:bCs/>
        </w:rPr>
        <w:t xml:space="preserve"> de gestion de la santé du district</w:t>
      </w:r>
    </w:p>
    <w:p w14:paraId="7B498C80" w14:textId="77777777" w:rsidR="00CB4D5C" w:rsidRPr="003511F9" w:rsidRDefault="00CB4D5C" w:rsidP="00460F99">
      <w:pPr>
        <w:numPr>
          <w:ilvl w:val="0"/>
          <w:numId w:val="31"/>
        </w:numPr>
        <w:tabs>
          <w:tab w:val="clear" w:pos="720"/>
        </w:tabs>
        <w:spacing w:line="240" w:lineRule="auto"/>
        <w:ind w:left="426" w:hanging="426"/>
        <w:rPr>
          <w:b/>
          <w:bCs/>
        </w:rPr>
      </w:pPr>
      <w:r w:rsidRPr="003511F9">
        <w:rPr>
          <w:b/>
          <w:bCs/>
        </w:rPr>
        <w:t>Processus managérial</w:t>
      </w:r>
    </w:p>
    <w:p w14:paraId="4F9FF4E6" w14:textId="77777777" w:rsidR="00CB4D5C" w:rsidRPr="003511F9" w:rsidRDefault="00CB4D5C" w:rsidP="003511F9">
      <w:pPr>
        <w:numPr>
          <w:ilvl w:val="0"/>
          <w:numId w:val="23"/>
        </w:numPr>
        <w:spacing w:line="240" w:lineRule="auto"/>
        <w:rPr>
          <w:bCs/>
        </w:rPr>
      </w:pPr>
      <w:r w:rsidRPr="003511F9">
        <w:rPr>
          <w:bCs/>
        </w:rPr>
        <w:t>Plans opérationnels</w:t>
      </w:r>
    </w:p>
    <w:p w14:paraId="4682F2B2" w14:textId="77777777" w:rsidR="00CB4D5C" w:rsidRPr="003511F9" w:rsidRDefault="00CB4D5C" w:rsidP="003511F9">
      <w:pPr>
        <w:numPr>
          <w:ilvl w:val="0"/>
          <w:numId w:val="23"/>
        </w:numPr>
        <w:spacing w:line="240" w:lineRule="auto"/>
        <w:rPr>
          <w:bCs/>
        </w:rPr>
      </w:pPr>
      <w:r w:rsidRPr="003511F9">
        <w:rPr>
          <w:bCs/>
        </w:rPr>
        <w:t>Lignes directrices, standards et normes</w:t>
      </w:r>
    </w:p>
    <w:p w14:paraId="28A57A05" w14:textId="77777777" w:rsidR="00CB4D5C" w:rsidRPr="003511F9" w:rsidRDefault="00CB4D5C" w:rsidP="003511F9">
      <w:pPr>
        <w:numPr>
          <w:ilvl w:val="0"/>
          <w:numId w:val="23"/>
        </w:numPr>
        <w:spacing w:line="240" w:lineRule="auto"/>
        <w:rPr>
          <w:bCs/>
        </w:rPr>
      </w:pPr>
      <w:r w:rsidRPr="003511F9">
        <w:rPr>
          <w:bCs/>
        </w:rPr>
        <w:t>Activités de supervision et de contrôle du progrès</w:t>
      </w:r>
    </w:p>
    <w:p w14:paraId="6F46E61C" w14:textId="77777777" w:rsidR="00CB4D5C" w:rsidRPr="003511F9" w:rsidRDefault="00CB4D5C" w:rsidP="00460F99">
      <w:pPr>
        <w:numPr>
          <w:ilvl w:val="0"/>
          <w:numId w:val="31"/>
        </w:numPr>
        <w:tabs>
          <w:tab w:val="clear" w:pos="720"/>
        </w:tabs>
        <w:spacing w:line="240" w:lineRule="auto"/>
        <w:ind w:left="426" w:hanging="426"/>
        <w:rPr>
          <w:b/>
          <w:bCs/>
        </w:rPr>
      </w:pPr>
      <w:r w:rsidRPr="003511F9">
        <w:rPr>
          <w:b/>
          <w:bCs/>
        </w:rPr>
        <w:t>Activités des services de santé</w:t>
      </w:r>
    </w:p>
    <w:p w14:paraId="0DF6A747" w14:textId="77777777" w:rsidR="00CB4D5C" w:rsidRPr="003511F9" w:rsidRDefault="00CB4D5C" w:rsidP="003511F9">
      <w:pPr>
        <w:numPr>
          <w:ilvl w:val="0"/>
          <w:numId w:val="23"/>
        </w:numPr>
        <w:spacing w:line="240" w:lineRule="auto"/>
        <w:rPr>
          <w:bCs/>
        </w:rPr>
      </w:pPr>
      <w:r w:rsidRPr="003511F9">
        <w:rPr>
          <w:bCs/>
        </w:rPr>
        <w:t>Interventions de santé publique</w:t>
      </w:r>
    </w:p>
    <w:p w14:paraId="4A7BFFDF" w14:textId="77777777" w:rsidR="00CB4D5C" w:rsidRPr="003511F9" w:rsidRDefault="00CB4D5C" w:rsidP="00460F99">
      <w:pPr>
        <w:numPr>
          <w:ilvl w:val="0"/>
          <w:numId w:val="23"/>
        </w:numPr>
        <w:tabs>
          <w:tab w:val="num" w:pos="720"/>
        </w:tabs>
        <w:spacing w:line="240" w:lineRule="auto"/>
        <w:rPr>
          <w:bCs/>
        </w:rPr>
      </w:pPr>
      <w:r w:rsidRPr="003511F9">
        <w:rPr>
          <w:bCs/>
        </w:rPr>
        <w:t>Soins de santé de base</w:t>
      </w:r>
    </w:p>
    <w:p w14:paraId="1213E6E1" w14:textId="77777777" w:rsidR="00CB4D5C" w:rsidRPr="003511F9" w:rsidRDefault="00CB4D5C" w:rsidP="00460F99">
      <w:pPr>
        <w:numPr>
          <w:ilvl w:val="0"/>
          <w:numId w:val="23"/>
        </w:numPr>
        <w:spacing w:line="240" w:lineRule="auto"/>
        <w:rPr>
          <w:bCs/>
        </w:rPr>
      </w:pPr>
      <w:r w:rsidRPr="003511F9">
        <w:rPr>
          <w:bCs/>
        </w:rPr>
        <w:t>Interventions reliées à la santé</w:t>
      </w:r>
    </w:p>
    <w:p w14:paraId="208D098D" w14:textId="77777777" w:rsidR="00CB4D5C" w:rsidRPr="003511F9" w:rsidRDefault="00CB4D5C" w:rsidP="00460F99">
      <w:pPr>
        <w:numPr>
          <w:ilvl w:val="0"/>
          <w:numId w:val="31"/>
        </w:numPr>
        <w:tabs>
          <w:tab w:val="clear" w:pos="720"/>
        </w:tabs>
        <w:spacing w:line="240" w:lineRule="auto"/>
        <w:ind w:left="426" w:hanging="426"/>
        <w:rPr>
          <w:b/>
          <w:bCs/>
        </w:rPr>
      </w:pPr>
      <w:r w:rsidRPr="003511F9">
        <w:rPr>
          <w:b/>
          <w:bCs/>
        </w:rPr>
        <w:t>Initiatives de la santé communautaire</w:t>
      </w:r>
    </w:p>
    <w:p w14:paraId="5DB42875" w14:textId="77777777" w:rsidR="00CB4D5C" w:rsidRPr="003511F9" w:rsidRDefault="00CB4D5C" w:rsidP="00460F99">
      <w:pPr>
        <w:numPr>
          <w:ilvl w:val="0"/>
          <w:numId w:val="23"/>
        </w:numPr>
        <w:tabs>
          <w:tab w:val="num" w:pos="720"/>
        </w:tabs>
        <w:spacing w:line="240" w:lineRule="auto"/>
        <w:rPr>
          <w:bCs/>
        </w:rPr>
      </w:pPr>
      <w:r w:rsidRPr="003511F9">
        <w:rPr>
          <w:bCs/>
        </w:rPr>
        <w:t>Structures communautaires fonctionnelles</w:t>
      </w:r>
    </w:p>
    <w:p w14:paraId="63810038" w14:textId="77777777" w:rsidR="00CB4D5C" w:rsidRPr="003511F9" w:rsidRDefault="00CB4D5C" w:rsidP="00460F99">
      <w:pPr>
        <w:numPr>
          <w:ilvl w:val="0"/>
          <w:numId w:val="23"/>
        </w:numPr>
        <w:tabs>
          <w:tab w:val="num" w:pos="720"/>
        </w:tabs>
        <w:spacing w:line="240" w:lineRule="auto"/>
        <w:rPr>
          <w:bCs/>
        </w:rPr>
      </w:pPr>
      <w:r w:rsidRPr="003511F9">
        <w:rPr>
          <w:bCs/>
        </w:rPr>
        <w:t>Activités communautaires</w:t>
      </w:r>
    </w:p>
    <w:p w14:paraId="66F25DE0" w14:textId="77777777" w:rsidR="00CB4D5C" w:rsidRPr="003511F9" w:rsidRDefault="00CB4D5C" w:rsidP="00460F99">
      <w:pPr>
        <w:numPr>
          <w:ilvl w:val="0"/>
          <w:numId w:val="23"/>
        </w:numPr>
        <w:tabs>
          <w:tab w:val="num" w:pos="720"/>
        </w:tabs>
        <w:spacing w:line="240" w:lineRule="auto"/>
        <w:rPr>
          <w:bCs/>
        </w:rPr>
      </w:pPr>
      <w:r w:rsidRPr="003511F9">
        <w:rPr>
          <w:bCs/>
        </w:rPr>
        <w:t>Fonds communautaires</w:t>
      </w:r>
    </w:p>
    <w:p w14:paraId="7B084C0A" w14:textId="77777777" w:rsidR="00CB4D5C" w:rsidRPr="003511F9" w:rsidRDefault="00CB4D5C" w:rsidP="00460F99">
      <w:pPr>
        <w:numPr>
          <w:ilvl w:val="0"/>
          <w:numId w:val="31"/>
        </w:numPr>
        <w:tabs>
          <w:tab w:val="clear" w:pos="720"/>
        </w:tabs>
        <w:spacing w:line="240" w:lineRule="auto"/>
        <w:ind w:left="426" w:hanging="426"/>
        <w:rPr>
          <w:b/>
          <w:bCs/>
        </w:rPr>
      </w:pPr>
      <w:r w:rsidRPr="003511F9">
        <w:rPr>
          <w:b/>
          <w:bCs/>
        </w:rPr>
        <w:t>Disponibilité des ressources de la santé</w:t>
      </w:r>
    </w:p>
    <w:p w14:paraId="085A0A88" w14:textId="77777777" w:rsidR="00CB4D5C" w:rsidRPr="003511F9" w:rsidRDefault="00CB4D5C" w:rsidP="00460F99">
      <w:pPr>
        <w:numPr>
          <w:ilvl w:val="0"/>
          <w:numId w:val="23"/>
        </w:numPr>
        <w:tabs>
          <w:tab w:val="num" w:pos="720"/>
        </w:tabs>
        <w:spacing w:line="240" w:lineRule="auto"/>
        <w:rPr>
          <w:bCs/>
        </w:rPr>
      </w:pPr>
      <w:r w:rsidRPr="003511F9">
        <w:rPr>
          <w:bCs/>
        </w:rPr>
        <w:t>Ressources financières</w:t>
      </w:r>
    </w:p>
    <w:p w14:paraId="0152B04B" w14:textId="77777777" w:rsidR="00CB4D5C" w:rsidRPr="003511F9" w:rsidRDefault="00CB4D5C" w:rsidP="00460F99">
      <w:pPr>
        <w:numPr>
          <w:ilvl w:val="0"/>
          <w:numId w:val="23"/>
        </w:numPr>
        <w:tabs>
          <w:tab w:val="num" w:pos="720"/>
        </w:tabs>
        <w:spacing w:line="240" w:lineRule="auto"/>
        <w:rPr>
          <w:bCs/>
        </w:rPr>
      </w:pPr>
      <w:r w:rsidRPr="003511F9">
        <w:rPr>
          <w:bCs/>
        </w:rPr>
        <w:t>Ressources humaines</w:t>
      </w:r>
    </w:p>
    <w:p w14:paraId="5C41D927" w14:textId="77777777" w:rsidR="00CB4D5C" w:rsidRPr="003511F9" w:rsidRDefault="00CB4D5C" w:rsidP="00460F99">
      <w:pPr>
        <w:numPr>
          <w:ilvl w:val="0"/>
          <w:numId w:val="23"/>
        </w:numPr>
        <w:tabs>
          <w:tab w:val="num" w:pos="720"/>
        </w:tabs>
        <w:spacing w:line="240" w:lineRule="auto"/>
        <w:rPr>
          <w:bCs/>
        </w:rPr>
      </w:pPr>
      <w:proofErr w:type="spellStart"/>
      <w:r w:rsidRPr="003511F9">
        <w:rPr>
          <w:bCs/>
        </w:rPr>
        <w:t>Equipements</w:t>
      </w:r>
      <w:proofErr w:type="spellEnd"/>
      <w:r w:rsidRPr="003511F9">
        <w:rPr>
          <w:bCs/>
        </w:rPr>
        <w:t>, médicaments et fournitures</w:t>
      </w:r>
    </w:p>
    <w:p w14:paraId="653497F1" w14:textId="77777777" w:rsidR="00CB4D5C" w:rsidRPr="001C54AC" w:rsidRDefault="00CB4D5C" w:rsidP="006A44DA">
      <w:pPr>
        <w:pStyle w:val="Titre3"/>
      </w:pPr>
      <w:r w:rsidRPr="001C54AC">
        <w:fldChar w:fldCharType="begin"/>
      </w:r>
      <w:r w:rsidRPr="001C54AC">
        <w:instrText xml:space="preserve"> TC"2.1   Taille et distribution de l’échantillon "\f m \l 2</w:instrText>
      </w:r>
      <w:r w:rsidRPr="001C54AC">
        <w:fldChar w:fldCharType="end"/>
      </w:r>
      <w:bookmarkStart w:id="151" w:name="_Toc63233202"/>
      <w:r w:rsidRPr="001C54AC">
        <w:t>Taille et distribution de l’échantillon</w:t>
      </w:r>
      <w:bookmarkEnd w:id="151"/>
    </w:p>
    <w:p w14:paraId="2DB5D7A3" w14:textId="77777777" w:rsidR="00CB4D5C" w:rsidRPr="003511F9" w:rsidRDefault="00CB4D5C" w:rsidP="00CB4D5C">
      <w:pPr>
        <w:rPr>
          <w:bCs/>
        </w:rPr>
      </w:pPr>
      <w:r w:rsidRPr="003511F9">
        <w:rPr>
          <w:bCs/>
        </w:rPr>
        <w:t>Les informations nécessaires pour une bonne appréciation des capacités techniques et managériales des districts de santé par apport aux besoins de développement sanitaire requièrent une taille suffisante de l’échantillon en termes de couverture géographique du territoire et de catégories de structures de santé à cibler.</w:t>
      </w:r>
    </w:p>
    <w:p w14:paraId="341E4EF3" w14:textId="420B5F70" w:rsidR="00CB4D5C" w:rsidRPr="003511F9" w:rsidRDefault="00CB4D5C" w:rsidP="00CB4D5C">
      <w:pPr>
        <w:rPr>
          <w:bCs/>
        </w:rPr>
      </w:pPr>
      <w:r w:rsidRPr="003511F9">
        <w:rPr>
          <w:bCs/>
        </w:rPr>
        <w:t xml:space="preserve">Ainsi, compte tenu des effectifs des districts dans le pays (38), la taille de l’échantillon a été fixée au minimum de 42% de l’ensemble des districts, tel que préconisé par l’OMS soit 16 districts. </w:t>
      </w:r>
    </w:p>
    <w:p w14:paraId="09C785BD" w14:textId="59529547" w:rsidR="00CB4D5C" w:rsidRPr="003511F9" w:rsidRDefault="00CB4D5C" w:rsidP="00CB4D5C">
      <w:pPr>
        <w:rPr>
          <w:bCs/>
        </w:rPr>
      </w:pPr>
      <w:r w:rsidRPr="003511F9">
        <w:rPr>
          <w:bCs/>
        </w:rPr>
        <w:t>La répartition de cet échantillon a tenu compte d'un certain nombre de critères de stratification du pays, dont notamment le découpage en régions administratives du pays. L’étude a couvert tout le territoire de façon stratifiée tenant compte des régions administratives. Ainsi pour chaque région il a été sélectionné de la préfecture du chef-lieu de la région et une autre préfecture.</w:t>
      </w:r>
    </w:p>
    <w:p w14:paraId="50359B8F" w14:textId="1E2DFA44" w:rsidR="006A44DA" w:rsidRPr="006A44DA" w:rsidRDefault="006A44DA" w:rsidP="006A44DA">
      <w:pPr>
        <w:pStyle w:val="Lgende"/>
        <w:spacing w:after="80"/>
        <w:rPr>
          <w:rFonts w:cs="Arial"/>
          <w:b/>
          <w:bCs/>
          <w:i w:val="0"/>
          <w:iCs w:val="0"/>
          <w:sz w:val="24"/>
          <w:szCs w:val="24"/>
        </w:rPr>
      </w:pPr>
      <w:bookmarkStart w:id="152" w:name="_Toc58674294"/>
      <w:r w:rsidRPr="006A44DA">
        <w:rPr>
          <w:b/>
          <w:bCs/>
          <w:i w:val="0"/>
          <w:iCs w:val="0"/>
          <w:sz w:val="22"/>
          <w:szCs w:val="22"/>
        </w:rPr>
        <w:t xml:space="preserve">Tableau </w:t>
      </w:r>
      <w:r w:rsidRPr="006A44DA">
        <w:rPr>
          <w:b/>
          <w:bCs/>
          <w:i w:val="0"/>
          <w:iCs w:val="0"/>
          <w:sz w:val="22"/>
          <w:szCs w:val="22"/>
        </w:rPr>
        <w:fldChar w:fldCharType="begin"/>
      </w:r>
      <w:r w:rsidRPr="006A44DA">
        <w:rPr>
          <w:b/>
          <w:bCs/>
          <w:i w:val="0"/>
          <w:iCs w:val="0"/>
          <w:sz w:val="22"/>
          <w:szCs w:val="22"/>
        </w:rPr>
        <w:instrText xml:space="preserve"> SEQ Tableau \* ARABIC </w:instrText>
      </w:r>
      <w:r w:rsidRPr="006A44DA">
        <w:rPr>
          <w:b/>
          <w:bCs/>
          <w:i w:val="0"/>
          <w:iCs w:val="0"/>
          <w:sz w:val="22"/>
          <w:szCs w:val="22"/>
        </w:rPr>
        <w:fldChar w:fldCharType="separate"/>
      </w:r>
      <w:r w:rsidR="004A7969">
        <w:rPr>
          <w:b/>
          <w:bCs/>
          <w:i w:val="0"/>
          <w:iCs w:val="0"/>
          <w:noProof/>
          <w:sz w:val="22"/>
          <w:szCs w:val="22"/>
        </w:rPr>
        <w:t>1</w:t>
      </w:r>
      <w:r w:rsidRPr="006A44DA">
        <w:rPr>
          <w:b/>
          <w:bCs/>
          <w:i w:val="0"/>
          <w:iCs w:val="0"/>
          <w:sz w:val="22"/>
          <w:szCs w:val="22"/>
        </w:rPr>
        <w:fldChar w:fldCharType="end"/>
      </w:r>
      <w:r w:rsidRPr="006A44DA">
        <w:rPr>
          <w:b/>
          <w:bCs/>
          <w:i w:val="0"/>
          <w:iCs w:val="0"/>
          <w:sz w:val="22"/>
          <w:szCs w:val="22"/>
        </w:rPr>
        <w:t xml:space="preserve"> : </w:t>
      </w:r>
      <w:proofErr w:type="spellStart"/>
      <w:r w:rsidRPr="006A44DA">
        <w:rPr>
          <w:b/>
          <w:bCs/>
          <w:i w:val="0"/>
          <w:iCs w:val="0"/>
          <w:sz w:val="22"/>
          <w:szCs w:val="22"/>
        </w:rPr>
        <w:t>Echantillon</w:t>
      </w:r>
      <w:proofErr w:type="spellEnd"/>
      <w:r w:rsidRPr="006A44DA">
        <w:rPr>
          <w:b/>
          <w:bCs/>
          <w:i w:val="0"/>
          <w:iCs w:val="0"/>
          <w:sz w:val="22"/>
          <w:szCs w:val="22"/>
        </w:rPr>
        <w:t xml:space="preserve"> de l’étude</w:t>
      </w:r>
      <w:bookmarkEnd w:id="152"/>
    </w:p>
    <w:tbl>
      <w:tblPr>
        <w:tblStyle w:val="Grilledutableau"/>
        <w:tblW w:w="9061" w:type="dxa"/>
        <w:tblLook w:val="04A0" w:firstRow="1" w:lastRow="0" w:firstColumn="1" w:lastColumn="0" w:noHBand="0" w:noVBand="1"/>
      </w:tblPr>
      <w:tblGrid>
        <w:gridCol w:w="3020"/>
        <w:gridCol w:w="3020"/>
        <w:gridCol w:w="3021"/>
      </w:tblGrid>
      <w:tr w:rsidR="007D4BA9" w:rsidRPr="006A44DA" w14:paraId="72109439" w14:textId="77777777" w:rsidTr="007D4BA9">
        <w:trPr>
          <w:trHeight w:val="338"/>
        </w:trPr>
        <w:tc>
          <w:tcPr>
            <w:tcW w:w="3020" w:type="dxa"/>
          </w:tcPr>
          <w:p w14:paraId="466265BF" w14:textId="77777777" w:rsidR="007D4BA9" w:rsidRPr="006A44DA" w:rsidRDefault="007D4BA9" w:rsidP="0014513D">
            <w:pPr>
              <w:spacing w:line="240" w:lineRule="auto"/>
              <w:rPr>
                <w:rFonts w:cs="Arial"/>
                <w:szCs w:val="24"/>
              </w:rPr>
            </w:pPr>
            <w:r w:rsidRPr="006A44DA">
              <w:rPr>
                <w:rFonts w:cs="Arial"/>
                <w:b/>
                <w:bCs/>
                <w:szCs w:val="24"/>
              </w:rPr>
              <w:t>Strate</w:t>
            </w:r>
          </w:p>
        </w:tc>
        <w:tc>
          <w:tcPr>
            <w:tcW w:w="3020" w:type="dxa"/>
          </w:tcPr>
          <w:p w14:paraId="47E6322B" w14:textId="77777777" w:rsidR="007D4BA9" w:rsidRPr="006A44DA" w:rsidRDefault="007D4BA9" w:rsidP="0014513D">
            <w:pPr>
              <w:spacing w:line="240" w:lineRule="auto"/>
              <w:rPr>
                <w:rFonts w:cs="Arial"/>
                <w:szCs w:val="24"/>
              </w:rPr>
            </w:pPr>
            <w:r w:rsidRPr="006A44DA">
              <w:rPr>
                <w:rFonts w:cs="Arial"/>
                <w:b/>
                <w:bCs/>
                <w:szCs w:val="24"/>
              </w:rPr>
              <w:t>Nombre retenu/total</w:t>
            </w:r>
          </w:p>
        </w:tc>
        <w:tc>
          <w:tcPr>
            <w:tcW w:w="3021" w:type="dxa"/>
          </w:tcPr>
          <w:p w14:paraId="651F7708" w14:textId="77777777" w:rsidR="007D4BA9" w:rsidRPr="006A44DA" w:rsidRDefault="007D4BA9" w:rsidP="0014513D">
            <w:pPr>
              <w:spacing w:line="240" w:lineRule="auto"/>
              <w:rPr>
                <w:rFonts w:cs="Arial"/>
                <w:szCs w:val="24"/>
              </w:rPr>
            </w:pPr>
            <w:r w:rsidRPr="006A44DA">
              <w:rPr>
                <w:rFonts w:cs="Arial"/>
                <w:b/>
                <w:bCs/>
                <w:szCs w:val="24"/>
              </w:rPr>
              <w:t>District retenu</w:t>
            </w:r>
          </w:p>
        </w:tc>
      </w:tr>
      <w:tr w:rsidR="006A44DA" w:rsidRPr="006A44DA" w14:paraId="565CCCAA" w14:textId="77777777" w:rsidTr="007D4BA9">
        <w:trPr>
          <w:trHeight w:val="338"/>
        </w:trPr>
        <w:tc>
          <w:tcPr>
            <w:tcW w:w="3020" w:type="dxa"/>
          </w:tcPr>
          <w:p w14:paraId="36E00AD7" w14:textId="6FC185AE" w:rsidR="006A44DA" w:rsidRPr="006A44DA" w:rsidRDefault="006A44DA" w:rsidP="006A44DA">
            <w:pPr>
              <w:spacing w:line="240" w:lineRule="auto"/>
              <w:rPr>
                <w:rFonts w:cs="Arial"/>
                <w:b/>
                <w:bCs/>
                <w:szCs w:val="24"/>
              </w:rPr>
            </w:pPr>
            <w:r w:rsidRPr="006A44DA">
              <w:rPr>
                <w:rFonts w:cs="Arial"/>
                <w:szCs w:val="24"/>
              </w:rPr>
              <w:t>Ville de Conakry</w:t>
            </w:r>
          </w:p>
        </w:tc>
        <w:tc>
          <w:tcPr>
            <w:tcW w:w="3020" w:type="dxa"/>
          </w:tcPr>
          <w:p w14:paraId="4C0CB8E4" w14:textId="6E32628A" w:rsidR="006A44DA" w:rsidRPr="006A44DA" w:rsidRDefault="006A44DA" w:rsidP="006A44DA">
            <w:pPr>
              <w:spacing w:line="240" w:lineRule="auto"/>
              <w:rPr>
                <w:rFonts w:cs="Arial"/>
                <w:b/>
                <w:bCs/>
                <w:szCs w:val="24"/>
              </w:rPr>
            </w:pPr>
            <w:r w:rsidRPr="006A44DA">
              <w:rPr>
                <w:rFonts w:cs="Arial"/>
                <w:szCs w:val="24"/>
              </w:rPr>
              <w:t>2/5</w:t>
            </w:r>
          </w:p>
        </w:tc>
        <w:tc>
          <w:tcPr>
            <w:tcW w:w="3021" w:type="dxa"/>
          </w:tcPr>
          <w:p w14:paraId="1F1DD40D" w14:textId="1DFB2B91" w:rsidR="006A44DA" w:rsidRPr="006A44DA" w:rsidRDefault="006A44DA" w:rsidP="006A44DA">
            <w:pPr>
              <w:spacing w:line="240" w:lineRule="auto"/>
              <w:rPr>
                <w:rFonts w:cs="Arial"/>
                <w:b/>
                <w:bCs/>
                <w:szCs w:val="24"/>
              </w:rPr>
            </w:pPr>
            <w:r w:rsidRPr="006A44DA">
              <w:rPr>
                <w:rFonts w:cs="Arial"/>
                <w:szCs w:val="24"/>
              </w:rPr>
              <w:t>Ratoma et Matam</w:t>
            </w:r>
          </w:p>
        </w:tc>
      </w:tr>
      <w:tr w:rsidR="006A44DA" w:rsidRPr="006A44DA" w14:paraId="1B3B2229" w14:textId="77777777" w:rsidTr="007D4BA9">
        <w:trPr>
          <w:trHeight w:val="338"/>
        </w:trPr>
        <w:tc>
          <w:tcPr>
            <w:tcW w:w="3020" w:type="dxa"/>
          </w:tcPr>
          <w:p w14:paraId="1842716A" w14:textId="100B049F" w:rsidR="006A44DA" w:rsidRPr="006A44DA" w:rsidRDefault="006A44DA" w:rsidP="006A44DA">
            <w:pPr>
              <w:spacing w:line="240" w:lineRule="auto"/>
              <w:rPr>
                <w:rFonts w:cs="Arial"/>
                <w:b/>
                <w:bCs/>
                <w:szCs w:val="24"/>
              </w:rPr>
            </w:pPr>
            <w:r w:rsidRPr="006A44DA">
              <w:rPr>
                <w:rFonts w:cs="Arial"/>
                <w:szCs w:val="24"/>
              </w:rPr>
              <w:t>Région de Boké</w:t>
            </w:r>
          </w:p>
        </w:tc>
        <w:tc>
          <w:tcPr>
            <w:tcW w:w="3020" w:type="dxa"/>
          </w:tcPr>
          <w:p w14:paraId="4805AB9A" w14:textId="5E005A8F" w:rsidR="006A44DA" w:rsidRPr="006A44DA" w:rsidRDefault="006A44DA" w:rsidP="006A44DA">
            <w:pPr>
              <w:spacing w:line="240" w:lineRule="auto"/>
              <w:rPr>
                <w:rFonts w:cs="Arial"/>
                <w:szCs w:val="24"/>
              </w:rPr>
            </w:pPr>
            <w:r w:rsidRPr="006A44DA">
              <w:rPr>
                <w:rFonts w:cs="Arial"/>
                <w:szCs w:val="24"/>
              </w:rPr>
              <w:t>2/5</w:t>
            </w:r>
          </w:p>
        </w:tc>
        <w:tc>
          <w:tcPr>
            <w:tcW w:w="3021" w:type="dxa"/>
          </w:tcPr>
          <w:p w14:paraId="1C950059" w14:textId="4E9F179C" w:rsidR="006A44DA" w:rsidRPr="006A44DA" w:rsidRDefault="006A44DA" w:rsidP="006A44DA">
            <w:pPr>
              <w:spacing w:line="240" w:lineRule="auto"/>
              <w:rPr>
                <w:rFonts w:cs="Arial"/>
                <w:szCs w:val="24"/>
              </w:rPr>
            </w:pPr>
            <w:r w:rsidRPr="006A44DA">
              <w:rPr>
                <w:rFonts w:cs="Arial"/>
                <w:szCs w:val="24"/>
              </w:rPr>
              <w:t>Boké et Gaoual</w:t>
            </w:r>
          </w:p>
        </w:tc>
      </w:tr>
      <w:tr w:rsidR="006A44DA" w:rsidRPr="006A44DA" w14:paraId="2F710425" w14:textId="77777777" w:rsidTr="007D4BA9">
        <w:trPr>
          <w:trHeight w:val="338"/>
        </w:trPr>
        <w:tc>
          <w:tcPr>
            <w:tcW w:w="3020" w:type="dxa"/>
          </w:tcPr>
          <w:p w14:paraId="0C5E396C" w14:textId="187CB045" w:rsidR="006A44DA" w:rsidRPr="006A44DA" w:rsidRDefault="006A44DA" w:rsidP="006A44DA">
            <w:pPr>
              <w:spacing w:line="240" w:lineRule="auto"/>
              <w:rPr>
                <w:rFonts w:cs="Arial"/>
                <w:szCs w:val="24"/>
              </w:rPr>
            </w:pPr>
            <w:r w:rsidRPr="006A44DA">
              <w:rPr>
                <w:rFonts w:cs="Arial"/>
                <w:szCs w:val="24"/>
              </w:rPr>
              <w:t>Région de Faranah</w:t>
            </w:r>
          </w:p>
        </w:tc>
        <w:tc>
          <w:tcPr>
            <w:tcW w:w="3020" w:type="dxa"/>
          </w:tcPr>
          <w:p w14:paraId="15CD8FEC" w14:textId="02830530" w:rsidR="006A44DA" w:rsidRPr="006A44DA" w:rsidRDefault="006A44DA" w:rsidP="006A44DA">
            <w:pPr>
              <w:spacing w:line="240" w:lineRule="auto"/>
              <w:rPr>
                <w:rFonts w:cs="Arial"/>
                <w:szCs w:val="24"/>
              </w:rPr>
            </w:pPr>
            <w:r w:rsidRPr="006A44DA">
              <w:rPr>
                <w:rFonts w:cs="Arial"/>
                <w:szCs w:val="24"/>
              </w:rPr>
              <w:t>2/4</w:t>
            </w:r>
          </w:p>
        </w:tc>
        <w:tc>
          <w:tcPr>
            <w:tcW w:w="3021" w:type="dxa"/>
          </w:tcPr>
          <w:p w14:paraId="0A17003E" w14:textId="776AA5CD" w:rsidR="006A44DA" w:rsidRPr="006A44DA" w:rsidRDefault="006A44DA" w:rsidP="006A44DA">
            <w:pPr>
              <w:spacing w:line="240" w:lineRule="auto"/>
              <w:rPr>
                <w:rFonts w:cs="Arial"/>
                <w:szCs w:val="24"/>
              </w:rPr>
            </w:pPr>
            <w:r w:rsidRPr="006A44DA">
              <w:rPr>
                <w:rFonts w:cs="Arial"/>
                <w:szCs w:val="24"/>
              </w:rPr>
              <w:t>Faranah et Kissidougou</w:t>
            </w:r>
          </w:p>
        </w:tc>
      </w:tr>
      <w:tr w:rsidR="006A44DA" w:rsidRPr="006A44DA" w14:paraId="4B4C517C" w14:textId="77777777" w:rsidTr="007D4BA9">
        <w:trPr>
          <w:trHeight w:val="338"/>
        </w:trPr>
        <w:tc>
          <w:tcPr>
            <w:tcW w:w="3020" w:type="dxa"/>
          </w:tcPr>
          <w:p w14:paraId="5D4014D6" w14:textId="3B2BFC5E" w:rsidR="006A44DA" w:rsidRPr="006A44DA" w:rsidRDefault="006A44DA" w:rsidP="006A44DA">
            <w:pPr>
              <w:spacing w:line="240" w:lineRule="auto"/>
              <w:rPr>
                <w:rFonts w:cs="Arial"/>
                <w:szCs w:val="24"/>
              </w:rPr>
            </w:pPr>
            <w:r w:rsidRPr="006A44DA">
              <w:rPr>
                <w:rFonts w:cs="Arial"/>
                <w:szCs w:val="24"/>
              </w:rPr>
              <w:t>Région de Kankan</w:t>
            </w:r>
          </w:p>
        </w:tc>
        <w:tc>
          <w:tcPr>
            <w:tcW w:w="3020" w:type="dxa"/>
          </w:tcPr>
          <w:p w14:paraId="7E6C3400" w14:textId="217D661C" w:rsidR="006A44DA" w:rsidRPr="006A44DA" w:rsidRDefault="006A44DA" w:rsidP="006A44DA">
            <w:pPr>
              <w:spacing w:line="240" w:lineRule="auto"/>
              <w:rPr>
                <w:rFonts w:cs="Arial"/>
                <w:szCs w:val="24"/>
              </w:rPr>
            </w:pPr>
            <w:r w:rsidRPr="006A44DA">
              <w:rPr>
                <w:rFonts w:cs="Arial"/>
                <w:szCs w:val="24"/>
              </w:rPr>
              <w:t>2/5</w:t>
            </w:r>
          </w:p>
        </w:tc>
        <w:tc>
          <w:tcPr>
            <w:tcW w:w="3021" w:type="dxa"/>
          </w:tcPr>
          <w:p w14:paraId="1813D12C" w14:textId="62C31058" w:rsidR="006A44DA" w:rsidRPr="006A44DA" w:rsidRDefault="006A44DA" w:rsidP="006A44DA">
            <w:pPr>
              <w:spacing w:line="240" w:lineRule="auto"/>
              <w:rPr>
                <w:rFonts w:cs="Arial"/>
                <w:szCs w:val="24"/>
              </w:rPr>
            </w:pPr>
            <w:r w:rsidRPr="006A44DA">
              <w:rPr>
                <w:rFonts w:cs="Arial"/>
                <w:szCs w:val="24"/>
              </w:rPr>
              <w:t>Kankan et Kérouané</w:t>
            </w:r>
          </w:p>
        </w:tc>
      </w:tr>
      <w:tr w:rsidR="006A44DA" w:rsidRPr="006A44DA" w14:paraId="1A4963F0" w14:textId="77777777" w:rsidTr="007D4BA9">
        <w:tc>
          <w:tcPr>
            <w:tcW w:w="3020" w:type="dxa"/>
          </w:tcPr>
          <w:p w14:paraId="01134B2B" w14:textId="77777777" w:rsidR="006A44DA" w:rsidRPr="006A44DA" w:rsidRDefault="006A44DA" w:rsidP="006A44DA">
            <w:pPr>
              <w:spacing w:line="240" w:lineRule="auto"/>
              <w:rPr>
                <w:rFonts w:cs="Arial"/>
                <w:szCs w:val="24"/>
              </w:rPr>
            </w:pPr>
            <w:r w:rsidRPr="006A44DA">
              <w:rPr>
                <w:rFonts w:cs="Arial"/>
                <w:szCs w:val="24"/>
              </w:rPr>
              <w:t>Région de Kindia</w:t>
            </w:r>
          </w:p>
        </w:tc>
        <w:tc>
          <w:tcPr>
            <w:tcW w:w="3020" w:type="dxa"/>
          </w:tcPr>
          <w:p w14:paraId="5C376FC9" w14:textId="77777777" w:rsidR="006A44DA" w:rsidRPr="006A44DA" w:rsidRDefault="006A44DA" w:rsidP="006A44DA">
            <w:pPr>
              <w:spacing w:line="240" w:lineRule="auto"/>
              <w:rPr>
                <w:rFonts w:cs="Arial"/>
                <w:szCs w:val="24"/>
              </w:rPr>
            </w:pPr>
            <w:r w:rsidRPr="006A44DA">
              <w:rPr>
                <w:rFonts w:cs="Arial"/>
                <w:szCs w:val="24"/>
              </w:rPr>
              <w:t>2/5</w:t>
            </w:r>
          </w:p>
        </w:tc>
        <w:tc>
          <w:tcPr>
            <w:tcW w:w="3021" w:type="dxa"/>
          </w:tcPr>
          <w:p w14:paraId="55C85094" w14:textId="77777777" w:rsidR="006A44DA" w:rsidRPr="006A44DA" w:rsidRDefault="006A44DA" w:rsidP="006A44DA">
            <w:pPr>
              <w:spacing w:line="240" w:lineRule="auto"/>
              <w:rPr>
                <w:rFonts w:cs="Arial"/>
                <w:szCs w:val="24"/>
              </w:rPr>
            </w:pPr>
            <w:r w:rsidRPr="006A44DA">
              <w:rPr>
                <w:rFonts w:cs="Arial"/>
                <w:szCs w:val="24"/>
              </w:rPr>
              <w:t xml:space="preserve">Kindia et </w:t>
            </w:r>
            <w:proofErr w:type="spellStart"/>
            <w:r w:rsidRPr="006A44DA">
              <w:rPr>
                <w:rFonts w:cs="Arial"/>
                <w:szCs w:val="24"/>
              </w:rPr>
              <w:t>Télimélé</w:t>
            </w:r>
            <w:proofErr w:type="spellEnd"/>
          </w:p>
        </w:tc>
      </w:tr>
      <w:tr w:rsidR="006A44DA" w:rsidRPr="006A44DA" w14:paraId="1F4A576F" w14:textId="77777777" w:rsidTr="007D4BA9">
        <w:tc>
          <w:tcPr>
            <w:tcW w:w="3020" w:type="dxa"/>
          </w:tcPr>
          <w:p w14:paraId="0C8B9CF3" w14:textId="77777777" w:rsidR="006A44DA" w:rsidRPr="006A44DA" w:rsidRDefault="006A44DA" w:rsidP="006A44DA">
            <w:pPr>
              <w:spacing w:line="240" w:lineRule="auto"/>
              <w:rPr>
                <w:rFonts w:cs="Arial"/>
                <w:szCs w:val="24"/>
              </w:rPr>
            </w:pPr>
            <w:r w:rsidRPr="006A44DA">
              <w:rPr>
                <w:rFonts w:cs="Arial"/>
                <w:szCs w:val="24"/>
              </w:rPr>
              <w:t>Région de Labé</w:t>
            </w:r>
          </w:p>
        </w:tc>
        <w:tc>
          <w:tcPr>
            <w:tcW w:w="3020" w:type="dxa"/>
          </w:tcPr>
          <w:p w14:paraId="6310BC14" w14:textId="77777777" w:rsidR="006A44DA" w:rsidRPr="006A44DA" w:rsidRDefault="006A44DA" w:rsidP="006A44DA">
            <w:pPr>
              <w:spacing w:line="240" w:lineRule="auto"/>
              <w:rPr>
                <w:rFonts w:cs="Arial"/>
                <w:szCs w:val="24"/>
              </w:rPr>
            </w:pPr>
            <w:r w:rsidRPr="006A44DA">
              <w:rPr>
                <w:rFonts w:cs="Arial"/>
                <w:szCs w:val="24"/>
              </w:rPr>
              <w:t>2/5</w:t>
            </w:r>
          </w:p>
        </w:tc>
        <w:tc>
          <w:tcPr>
            <w:tcW w:w="3021" w:type="dxa"/>
          </w:tcPr>
          <w:p w14:paraId="140C2A64" w14:textId="77777777" w:rsidR="006A44DA" w:rsidRPr="006A44DA" w:rsidRDefault="006A44DA" w:rsidP="006A44DA">
            <w:pPr>
              <w:spacing w:line="240" w:lineRule="auto"/>
              <w:rPr>
                <w:rFonts w:cs="Arial"/>
                <w:szCs w:val="24"/>
              </w:rPr>
            </w:pPr>
            <w:r w:rsidRPr="006A44DA">
              <w:rPr>
                <w:rFonts w:cs="Arial"/>
                <w:szCs w:val="24"/>
              </w:rPr>
              <w:t xml:space="preserve">Labé et </w:t>
            </w:r>
            <w:proofErr w:type="spellStart"/>
            <w:r w:rsidRPr="006A44DA">
              <w:rPr>
                <w:rFonts w:cs="Arial"/>
                <w:szCs w:val="24"/>
              </w:rPr>
              <w:t>Lélouma</w:t>
            </w:r>
            <w:proofErr w:type="spellEnd"/>
          </w:p>
        </w:tc>
      </w:tr>
      <w:tr w:rsidR="006A44DA" w:rsidRPr="006A44DA" w14:paraId="509BC4EB" w14:textId="77777777" w:rsidTr="007D4BA9">
        <w:tc>
          <w:tcPr>
            <w:tcW w:w="3020" w:type="dxa"/>
          </w:tcPr>
          <w:p w14:paraId="0208EE7B" w14:textId="77777777" w:rsidR="006A44DA" w:rsidRPr="006A44DA" w:rsidRDefault="006A44DA" w:rsidP="006A44DA">
            <w:pPr>
              <w:spacing w:line="240" w:lineRule="auto"/>
              <w:rPr>
                <w:rFonts w:cs="Arial"/>
                <w:szCs w:val="24"/>
              </w:rPr>
            </w:pPr>
            <w:r w:rsidRPr="006A44DA">
              <w:rPr>
                <w:rFonts w:cs="Arial"/>
                <w:szCs w:val="24"/>
              </w:rPr>
              <w:t>Région de Mamou</w:t>
            </w:r>
          </w:p>
        </w:tc>
        <w:tc>
          <w:tcPr>
            <w:tcW w:w="3020" w:type="dxa"/>
          </w:tcPr>
          <w:p w14:paraId="2BB19E28" w14:textId="77777777" w:rsidR="006A44DA" w:rsidRPr="006A44DA" w:rsidRDefault="006A44DA" w:rsidP="006A44DA">
            <w:pPr>
              <w:spacing w:line="240" w:lineRule="auto"/>
              <w:rPr>
                <w:rFonts w:cs="Arial"/>
                <w:szCs w:val="24"/>
              </w:rPr>
            </w:pPr>
            <w:r w:rsidRPr="006A44DA">
              <w:rPr>
                <w:rFonts w:cs="Arial"/>
                <w:szCs w:val="24"/>
              </w:rPr>
              <w:t>2/3</w:t>
            </w:r>
          </w:p>
        </w:tc>
        <w:tc>
          <w:tcPr>
            <w:tcW w:w="3021" w:type="dxa"/>
          </w:tcPr>
          <w:p w14:paraId="580D2439" w14:textId="77777777" w:rsidR="006A44DA" w:rsidRPr="006A44DA" w:rsidRDefault="006A44DA" w:rsidP="006A44DA">
            <w:pPr>
              <w:spacing w:line="240" w:lineRule="auto"/>
              <w:rPr>
                <w:rFonts w:cs="Arial"/>
                <w:szCs w:val="24"/>
              </w:rPr>
            </w:pPr>
            <w:r w:rsidRPr="006A44DA">
              <w:rPr>
                <w:rFonts w:cs="Arial"/>
                <w:szCs w:val="24"/>
              </w:rPr>
              <w:t xml:space="preserve">Mamou et </w:t>
            </w:r>
            <w:proofErr w:type="spellStart"/>
            <w:r w:rsidRPr="006A44DA">
              <w:rPr>
                <w:rFonts w:cs="Arial"/>
                <w:szCs w:val="24"/>
              </w:rPr>
              <w:t>Dalaba</w:t>
            </w:r>
            <w:proofErr w:type="spellEnd"/>
          </w:p>
        </w:tc>
      </w:tr>
      <w:tr w:rsidR="006A44DA" w:rsidRPr="006A44DA" w14:paraId="7CEEF8CA" w14:textId="77777777" w:rsidTr="007D4BA9">
        <w:tc>
          <w:tcPr>
            <w:tcW w:w="3020" w:type="dxa"/>
          </w:tcPr>
          <w:p w14:paraId="70CD7985" w14:textId="77777777" w:rsidR="006A44DA" w:rsidRPr="006A44DA" w:rsidRDefault="006A44DA" w:rsidP="006A44DA">
            <w:pPr>
              <w:spacing w:line="240" w:lineRule="auto"/>
              <w:rPr>
                <w:rFonts w:cs="Arial"/>
                <w:szCs w:val="24"/>
              </w:rPr>
            </w:pPr>
            <w:r w:rsidRPr="006A44DA">
              <w:rPr>
                <w:rFonts w:cs="Arial"/>
                <w:szCs w:val="24"/>
              </w:rPr>
              <w:t>Région de Nzérékoré</w:t>
            </w:r>
          </w:p>
        </w:tc>
        <w:tc>
          <w:tcPr>
            <w:tcW w:w="3020" w:type="dxa"/>
          </w:tcPr>
          <w:p w14:paraId="15BBD31D" w14:textId="77777777" w:rsidR="006A44DA" w:rsidRPr="006A44DA" w:rsidRDefault="006A44DA" w:rsidP="006A44DA">
            <w:pPr>
              <w:spacing w:line="240" w:lineRule="auto"/>
              <w:rPr>
                <w:rFonts w:cs="Arial"/>
                <w:szCs w:val="24"/>
              </w:rPr>
            </w:pPr>
            <w:r w:rsidRPr="006A44DA">
              <w:rPr>
                <w:rFonts w:cs="Arial"/>
                <w:szCs w:val="24"/>
              </w:rPr>
              <w:t>2/6</w:t>
            </w:r>
          </w:p>
        </w:tc>
        <w:tc>
          <w:tcPr>
            <w:tcW w:w="3021" w:type="dxa"/>
          </w:tcPr>
          <w:p w14:paraId="619EB34F" w14:textId="77777777" w:rsidR="006A44DA" w:rsidRPr="006A44DA" w:rsidRDefault="006A44DA" w:rsidP="006A44DA">
            <w:pPr>
              <w:spacing w:line="240" w:lineRule="auto"/>
              <w:rPr>
                <w:rFonts w:cs="Arial"/>
                <w:szCs w:val="24"/>
              </w:rPr>
            </w:pPr>
            <w:r w:rsidRPr="006A44DA">
              <w:rPr>
                <w:rFonts w:cs="Arial"/>
                <w:szCs w:val="24"/>
              </w:rPr>
              <w:t>Nzérékoré et Guéckédou</w:t>
            </w:r>
          </w:p>
        </w:tc>
      </w:tr>
    </w:tbl>
    <w:p w14:paraId="6534EFC3" w14:textId="7F3404AA" w:rsidR="00CB4D5C" w:rsidRPr="00BE48E0" w:rsidRDefault="006A44DA" w:rsidP="006A44DA">
      <w:pPr>
        <w:pStyle w:val="Titre3"/>
      </w:pPr>
      <w:r>
        <w:t xml:space="preserve"> </w:t>
      </w:r>
      <w:r w:rsidR="00CB4D5C" w:rsidRPr="001C54AC">
        <w:fldChar w:fldCharType="begin"/>
      </w:r>
      <w:r w:rsidR="00CB4D5C" w:rsidRPr="001C54AC">
        <w:instrText xml:space="preserve"> TC"2.2   Sources des données"\f m \l 2</w:instrText>
      </w:r>
      <w:r w:rsidR="00CB4D5C" w:rsidRPr="001C54AC">
        <w:fldChar w:fldCharType="end"/>
      </w:r>
      <w:bookmarkStart w:id="153" w:name="_Toc63233203"/>
      <w:r w:rsidR="00CB4D5C" w:rsidRPr="001C54AC">
        <w:t>Sources des données</w:t>
      </w:r>
      <w:bookmarkEnd w:id="153"/>
    </w:p>
    <w:p w14:paraId="3ADEEEE5" w14:textId="77777777" w:rsidR="00CB4D5C" w:rsidRPr="00BE48E0" w:rsidRDefault="00CB4D5C" w:rsidP="00CB4D5C">
      <w:pPr>
        <w:rPr>
          <w:sz w:val="25"/>
          <w:szCs w:val="25"/>
        </w:rPr>
      </w:pPr>
      <w:r>
        <w:rPr>
          <w:sz w:val="25"/>
          <w:szCs w:val="25"/>
        </w:rPr>
        <w:t>L’étude a utilisé des données d’enquête collectées auprès des différents acteurs du système de santé et des données secondaires fournis par des documents officiels du gouvernement.</w:t>
      </w:r>
    </w:p>
    <w:p w14:paraId="157FA5FB" w14:textId="77777777" w:rsidR="00CB4D5C" w:rsidRPr="00F22C32" w:rsidRDefault="00CB4D5C" w:rsidP="00460F99">
      <w:pPr>
        <w:pStyle w:val="Paragraphedeliste"/>
        <w:numPr>
          <w:ilvl w:val="0"/>
          <w:numId w:val="24"/>
        </w:numPr>
        <w:rPr>
          <w:rFonts w:cs="Arial"/>
          <w:szCs w:val="21"/>
        </w:rPr>
      </w:pPr>
      <w:r w:rsidRPr="00F22C32">
        <w:rPr>
          <w:rFonts w:cs="Arial"/>
          <w:szCs w:val="21"/>
        </w:rPr>
        <w:t xml:space="preserve">Les données d’enquête ont été collectées auprès des districts de santé de l’échantillon sur la base de deux  questionnaires (un pour l’équipe cadre de district et l’autre pour les formations sanitaires) élaborés par l’OMS et adaptés au contexte national par le ministère de la santé. </w:t>
      </w:r>
    </w:p>
    <w:p w14:paraId="5D0F390B" w14:textId="77777777" w:rsidR="00CB4D5C" w:rsidRPr="00F22C32" w:rsidRDefault="00CB4D5C" w:rsidP="00460F99">
      <w:pPr>
        <w:pStyle w:val="Paragraphedeliste"/>
        <w:numPr>
          <w:ilvl w:val="0"/>
          <w:numId w:val="24"/>
        </w:numPr>
        <w:rPr>
          <w:rFonts w:cs="Arial"/>
          <w:szCs w:val="21"/>
        </w:rPr>
      </w:pPr>
      <w:r w:rsidRPr="00F22C32">
        <w:rPr>
          <w:rFonts w:cs="Arial"/>
          <w:szCs w:val="21"/>
        </w:rPr>
        <w:t xml:space="preserve">Les données secondaires ont été collectées au niveau des Ministères du plan et de l’économie, de la santé, du budget et des finances à travers les documents </w:t>
      </w:r>
      <w:proofErr w:type="spellStart"/>
      <w:r w:rsidRPr="00F22C32">
        <w:rPr>
          <w:rFonts w:cs="Arial"/>
          <w:szCs w:val="21"/>
        </w:rPr>
        <w:t>RGPH</w:t>
      </w:r>
      <w:proofErr w:type="spellEnd"/>
      <w:r w:rsidRPr="00F22C32">
        <w:rPr>
          <w:rFonts w:cs="Arial"/>
          <w:szCs w:val="21"/>
        </w:rPr>
        <w:t>, l’</w:t>
      </w:r>
      <w:proofErr w:type="spellStart"/>
      <w:r w:rsidRPr="00F22C32">
        <w:rPr>
          <w:rFonts w:cs="Arial"/>
          <w:szCs w:val="21"/>
        </w:rPr>
        <w:t>EDS</w:t>
      </w:r>
      <w:proofErr w:type="spellEnd"/>
      <w:r w:rsidRPr="00F22C32">
        <w:rPr>
          <w:rFonts w:cs="Arial"/>
          <w:szCs w:val="21"/>
        </w:rPr>
        <w:t xml:space="preserve"> 2018, le </w:t>
      </w:r>
      <w:proofErr w:type="spellStart"/>
      <w:r w:rsidRPr="00F22C32">
        <w:rPr>
          <w:rFonts w:cs="Arial"/>
          <w:szCs w:val="21"/>
        </w:rPr>
        <w:t>MICS</w:t>
      </w:r>
      <w:proofErr w:type="spellEnd"/>
      <w:r w:rsidRPr="00F22C32">
        <w:rPr>
          <w:rFonts w:cs="Arial"/>
          <w:szCs w:val="21"/>
        </w:rPr>
        <w:t xml:space="preserve"> 2016, l’annuaire des statistiques sanitaires, l’annuaire des gestion hospitalière et les différentes lois des finances .  </w:t>
      </w:r>
    </w:p>
    <w:p w14:paraId="2C0C30F1" w14:textId="01F19F65" w:rsidR="00CB4D5C" w:rsidRPr="001C3774" w:rsidRDefault="006A44DA" w:rsidP="006A44DA">
      <w:pPr>
        <w:pStyle w:val="Titre3"/>
      </w:pPr>
      <w:r>
        <w:t xml:space="preserve"> </w:t>
      </w:r>
      <w:bookmarkStart w:id="154" w:name="_Toc63233204"/>
      <w:r w:rsidR="00CB4D5C" w:rsidRPr="001C3774">
        <w:t xml:space="preserve">Saisie et </w:t>
      </w:r>
      <w:r w:rsidR="00CB4D5C" w:rsidRPr="001C3774">
        <w:fldChar w:fldCharType="begin"/>
      </w:r>
      <w:r w:rsidR="00CB4D5C" w:rsidRPr="001C3774">
        <w:instrText xml:space="preserve"> TC"2.3   Traitement et mode d’analyse des données "\f m \l 2</w:instrText>
      </w:r>
      <w:r w:rsidR="00CB4D5C" w:rsidRPr="001C3774">
        <w:fldChar w:fldCharType="end"/>
      </w:r>
      <w:r w:rsidR="00CB4D5C" w:rsidRPr="001C3774">
        <w:t>traitement des données</w:t>
      </w:r>
      <w:bookmarkEnd w:id="154"/>
    </w:p>
    <w:p w14:paraId="6ABE4E23" w14:textId="77777777" w:rsidR="00CB4D5C" w:rsidRPr="003511F9" w:rsidRDefault="00CB4D5C" w:rsidP="00CB4D5C">
      <w:pPr>
        <w:rPr>
          <w:rFonts w:cs="Arial"/>
          <w:szCs w:val="21"/>
        </w:rPr>
      </w:pPr>
      <w:r w:rsidRPr="003511F9">
        <w:rPr>
          <w:rFonts w:cs="Arial"/>
          <w:szCs w:val="21"/>
        </w:rPr>
        <w:t>Les données collectées ont été saisie sur la maquette de saisie préparée par l’OMS à cet effet. Cette maquette a été bâtie sur le logiciel Excel.</w:t>
      </w:r>
    </w:p>
    <w:p w14:paraId="21C88496" w14:textId="77777777" w:rsidR="00CB4D5C" w:rsidRPr="003511F9" w:rsidRDefault="00CB4D5C" w:rsidP="00CB4D5C">
      <w:pPr>
        <w:rPr>
          <w:rFonts w:cs="Arial"/>
          <w:szCs w:val="21"/>
        </w:rPr>
      </w:pPr>
      <w:r w:rsidRPr="003511F9">
        <w:rPr>
          <w:rFonts w:cs="Arial"/>
          <w:szCs w:val="21"/>
        </w:rPr>
        <w:t>Les données saisies ont été apurées des valeurs aberrantes éventuelles. Leur saisie a également fait l’objet de quelques ajustements.</w:t>
      </w:r>
    </w:p>
    <w:p w14:paraId="2493293D" w14:textId="77777777" w:rsidR="00CB4D5C" w:rsidRPr="003511F9" w:rsidRDefault="00CB4D5C" w:rsidP="00CB4D5C">
      <w:pPr>
        <w:rPr>
          <w:rFonts w:cs="Arial"/>
          <w:szCs w:val="21"/>
        </w:rPr>
      </w:pPr>
      <w:r w:rsidRPr="003511F9">
        <w:rPr>
          <w:rFonts w:cs="Arial"/>
          <w:szCs w:val="21"/>
        </w:rPr>
        <w:t xml:space="preserve">En effet, à l’examen de la maquette de saisie et de calcul fournie par les évaluateurs, quelques erreurs ont été relevées. Les formules de calcul du nombre de sages-femmes par millier d’habitants, du total des recettes des districts de santé, du total des centres de santé intégrés (dans Formations sanitaires) sont, par exemple, de cette catégorie. Les nombres entiers obligatoires (dans la Feuille des résultats) et des listes déroulantes (pour le cas des chirurgiens et des infirmiers des centres de santé intégrés (Feuille « Personnel ») ont été préconisés de façon peu appropriée. </w:t>
      </w:r>
    </w:p>
    <w:p w14:paraId="3CA1CC39" w14:textId="2D7CA8C1" w:rsidR="00CB4D5C" w:rsidRPr="001C3774" w:rsidRDefault="006A44DA" w:rsidP="006A44DA">
      <w:pPr>
        <w:pStyle w:val="Titre3"/>
      </w:pPr>
      <w:r>
        <w:t xml:space="preserve"> </w:t>
      </w:r>
      <w:bookmarkStart w:id="155" w:name="_Toc63233205"/>
      <w:r w:rsidR="00CB4D5C">
        <w:t>A</w:t>
      </w:r>
      <w:r w:rsidR="00CB4D5C" w:rsidRPr="00F22C32">
        <w:t>nalyse des données</w:t>
      </w:r>
      <w:r w:rsidR="00CB4D5C">
        <w:t xml:space="preserve"> et rédaction du rapport</w:t>
      </w:r>
      <w:bookmarkEnd w:id="155"/>
    </w:p>
    <w:p w14:paraId="521C9C20" w14:textId="2E9E5FDA" w:rsidR="005C1C15" w:rsidRPr="006A44DA" w:rsidRDefault="005C1C15" w:rsidP="00460F99">
      <w:pPr>
        <w:pStyle w:val="Titre4"/>
        <w:numPr>
          <w:ilvl w:val="0"/>
          <w:numId w:val="30"/>
        </w:numPr>
        <w:ind w:left="426" w:hanging="284"/>
        <w:rPr>
          <w:rFonts w:cs="Arial"/>
          <w:b/>
          <w:bCs/>
          <w:i w:val="0"/>
          <w:iCs w:val="0"/>
          <w:color w:val="002060"/>
          <w:sz w:val="21"/>
          <w:szCs w:val="21"/>
        </w:rPr>
      </w:pPr>
      <w:r w:rsidRPr="006A44DA">
        <w:rPr>
          <w:b/>
          <w:bCs/>
          <w:i w:val="0"/>
          <w:iCs w:val="0"/>
          <w:color w:val="002060"/>
        </w:rPr>
        <w:t>Analyse des données</w:t>
      </w:r>
    </w:p>
    <w:p w14:paraId="26246FFD" w14:textId="77777777" w:rsidR="00CB4D5C" w:rsidRPr="003511F9" w:rsidRDefault="00CB4D5C" w:rsidP="00CB4D5C">
      <w:pPr>
        <w:spacing w:line="240" w:lineRule="auto"/>
        <w:rPr>
          <w:rFonts w:cs="Arial"/>
          <w:szCs w:val="21"/>
        </w:rPr>
      </w:pPr>
      <w:r w:rsidRPr="003511F9">
        <w:rPr>
          <w:rFonts w:cs="Arial"/>
          <w:szCs w:val="21"/>
        </w:rPr>
        <w:t>De la base des données, 24 tableaux ont été générés regroupant l’ensemble des domaines et des structures évaluées. Les indicateurs de ces tableaux ont été décrits en termes de dispersion ou d’indice  au cas où il s’agit d’un ratio.</w:t>
      </w:r>
    </w:p>
    <w:p w14:paraId="5EE9091C" w14:textId="77777777" w:rsidR="00CB4D5C" w:rsidRPr="003511F9" w:rsidRDefault="00CB4D5C" w:rsidP="00CB4D5C">
      <w:pPr>
        <w:spacing w:line="240" w:lineRule="auto"/>
        <w:rPr>
          <w:rFonts w:cs="Arial"/>
          <w:szCs w:val="21"/>
        </w:rPr>
      </w:pPr>
      <w:r w:rsidRPr="003511F9">
        <w:rPr>
          <w:rFonts w:cs="Arial"/>
          <w:szCs w:val="21"/>
        </w:rPr>
        <w:t>Une fois le questionnaire de district saisie, l'équipe d’évaluation doit identifier les forces et les faiblesses du système sur la base de critères définis dans les sections appropriées. Elle devrait également prendre le temps de déterminer et d’examiner les causes des faiblesses identifiées, et analyser les liens entre celles-ci.</w:t>
      </w:r>
    </w:p>
    <w:p w14:paraId="2D0F6CF6" w14:textId="77777777" w:rsidR="00CB4D5C" w:rsidRPr="003511F9" w:rsidRDefault="00CB4D5C" w:rsidP="00CB4D5C">
      <w:pPr>
        <w:spacing w:line="240" w:lineRule="auto"/>
        <w:rPr>
          <w:rFonts w:cs="Arial"/>
          <w:szCs w:val="21"/>
        </w:rPr>
      </w:pPr>
      <w:r w:rsidRPr="003511F9">
        <w:rPr>
          <w:rFonts w:cs="Arial"/>
          <w:szCs w:val="21"/>
        </w:rPr>
        <w:t xml:space="preserve">Les forces, les faiblesses et leurs causes doivent être définies de façon aussi précise que possible, afin que des solutions appropriées y soient trouvées. </w:t>
      </w:r>
    </w:p>
    <w:p w14:paraId="43D3E186" w14:textId="77777777" w:rsidR="00CB4D5C" w:rsidRPr="006A44DA" w:rsidRDefault="00CB4D5C" w:rsidP="00460F99">
      <w:pPr>
        <w:pStyle w:val="Titre4"/>
        <w:numPr>
          <w:ilvl w:val="0"/>
          <w:numId w:val="30"/>
        </w:numPr>
        <w:ind w:left="426" w:hanging="284"/>
        <w:rPr>
          <w:b/>
          <w:bCs/>
          <w:i w:val="0"/>
          <w:iCs w:val="0"/>
          <w:color w:val="002060"/>
        </w:rPr>
      </w:pPr>
      <w:r w:rsidRPr="006A44DA">
        <w:rPr>
          <w:b/>
          <w:bCs/>
          <w:i w:val="0"/>
          <w:iCs w:val="0"/>
          <w:color w:val="002060"/>
        </w:rPr>
        <w:t>Rédaction du rapport</w:t>
      </w:r>
    </w:p>
    <w:p w14:paraId="327FA873" w14:textId="77777777" w:rsidR="00CB4D5C" w:rsidRPr="003511F9" w:rsidRDefault="00CB4D5C" w:rsidP="00CB4D5C">
      <w:pPr>
        <w:autoSpaceDE w:val="0"/>
        <w:autoSpaceDN w:val="0"/>
        <w:adjustRightInd w:val="0"/>
        <w:spacing w:before="0" w:after="0" w:line="240" w:lineRule="auto"/>
        <w:jc w:val="left"/>
        <w:rPr>
          <w:rFonts w:cs="Arial"/>
          <w:szCs w:val="21"/>
        </w:rPr>
      </w:pPr>
      <w:r w:rsidRPr="003511F9">
        <w:rPr>
          <w:rFonts w:cs="Arial"/>
          <w:szCs w:val="21"/>
        </w:rPr>
        <w:t>La rédaction du rapport d’évaluation peut être confiée à un sous-groupe. Ce rapport peut être structuré comme suit :</w:t>
      </w:r>
    </w:p>
    <w:p w14:paraId="666E044A" w14:textId="77777777" w:rsidR="00CB4D5C" w:rsidRPr="003511F9" w:rsidRDefault="00CB4D5C" w:rsidP="00460F99">
      <w:pPr>
        <w:pStyle w:val="Paragraphedeliste"/>
        <w:widowControl/>
        <w:numPr>
          <w:ilvl w:val="0"/>
          <w:numId w:val="25"/>
        </w:numPr>
        <w:autoSpaceDE w:val="0"/>
        <w:autoSpaceDN w:val="0"/>
        <w:adjustRightInd w:val="0"/>
        <w:spacing w:before="0" w:after="0" w:line="240" w:lineRule="auto"/>
        <w:jc w:val="left"/>
        <w:rPr>
          <w:rFonts w:cs="Arial"/>
          <w:szCs w:val="21"/>
        </w:rPr>
      </w:pPr>
      <w:r w:rsidRPr="003511F9">
        <w:rPr>
          <w:rFonts w:cs="Arial"/>
          <w:szCs w:val="21"/>
        </w:rPr>
        <w:t>Résumé</w:t>
      </w:r>
    </w:p>
    <w:p w14:paraId="25A773C9" w14:textId="77777777" w:rsidR="00CB4D5C" w:rsidRPr="003511F9" w:rsidRDefault="00CB4D5C" w:rsidP="00460F99">
      <w:pPr>
        <w:pStyle w:val="Paragraphedeliste"/>
        <w:widowControl/>
        <w:numPr>
          <w:ilvl w:val="0"/>
          <w:numId w:val="25"/>
        </w:numPr>
        <w:autoSpaceDE w:val="0"/>
        <w:autoSpaceDN w:val="0"/>
        <w:adjustRightInd w:val="0"/>
        <w:spacing w:before="0" w:after="0" w:line="240" w:lineRule="auto"/>
        <w:jc w:val="left"/>
        <w:rPr>
          <w:rFonts w:cs="Arial"/>
          <w:szCs w:val="21"/>
        </w:rPr>
      </w:pPr>
      <w:r w:rsidRPr="003511F9">
        <w:rPr>
          <w:rFonts w:cs="Arial"/>
          <w:szCs w:val="21"/>
        </w:rPr>
        <w:t xml:space="preserve">Introduction </w:t>
      </w:r>
    </w:p>
    <w:p w14:paraId="2411A4E3" w14:textId="77777777" w:rsidR="00CB4D5C" w:rsidRPr="003511F9" w:rsidRDefault="00CB4D5C" w:rsidP="00460F99">
      <w:pPr>
        <w:pStyle w:val="Paragraphedeliste"/>
        <w:widowControl/>
        <w:numPr>
          <w:ilvl w:val="0"/>
          <w:numId w:val="25"/>
        </w:numPr>
        <w:autoSpaceDE w:val="0"/>
        <w:autoSpaceDN w:val="0"/>
        <w:adjustRightInd w:val="0"/>
        <w:spacing w:before="0" w:after="0" w:line="240" w:lineRule="auto"/>
        <w:jc w:val="left"/>
        <w:rPr>
          <w:rFonts w:cs="Arial"/>
          <w:szCs w:val="21"/>
        </w:rPr>
      </w:pPr>
      <w:r w:rsidRPr="003511F9">
        <w:rPr>
          <w:rFonts w:cs="Arial"/>
          <w:szCs w:val="21"/>
        </w:rPr>
        <w:t>Contexte</w:t>
      </w:r>
    </w:p>
    <w:p w14:paraId="53EF5B26" w14:textId="77777777" w:rsidR="00CB4D5C" w:rsidRPr="003511F9" w:rsidRDefault="00CB4D5C" w:rsidP="00460F99">
      <w:pPr>
        <w:pStyle w:val="Paragraphedeliste"/>
        <w:widowControl/>
        <w:numPr>
          <w:ilvl w:val="0"/>
          <w:numId w:val="25"/>
        </w:numPr>
        <w:autoSpaceDE w:val="0"/>
        <w:autoSpaceDN w:val="0"/>
        <w:adjustRightInd w:val="0"/>
        <w:spacing w:before="0" w:after="0" w:line="240" w:lineRule="auto"/>
        <w:jc w:val="left"/>
        <w:rPr>
          <w:rFonts w:cs="Arial"/>
          <w:szCs w:val="21"/>
        </w:rPr>
      </w:pPr>
      <w:r w:rsidRPr="003511F9">
        <w:rPr>
          <w:rFonts w:cs="Arial"/>
          <w:szCs w:val="21"/>
        </w:rPr>
        <w:t>Objectifs</w:t>
      </w:r>
    </w:p>
    <w:p w14:paraId="2088B3F9" w14:textId="77777777" w:rsidR="00CB4D5C" w:rsidRPr="003511F9" w:rsidRDefault="00CB4D5C" w:rsidP="00460F99">
      <w:pPr>
        <w:pStyle w:val="Paragraphedeliste"/>
        <w:widowControl/>
        <w:numPr>
          <w:ilvl w:val="0"/>
          <w:numId w:val="25"/>
        </w:numPr>
        <w:autoSpaceDE w:val="0"/>
        <w:autoSpaceDN w:val="0"/>
        <w:adjustRightInd w:val="0"/>
        <w:spacing w:before="0" w:after="0" w:line="240" w:lineRule="auto"/>
        <w:jc w:val="left"/>
        <w:rPr>
          <w:rFonts w:cs="Arial"/>
          <w:szCs w:val="21"/>
        </w:rPr>
      </w:pPr>
      <w:r w:rsidRPr="003511F9">
        <w:rPr>
          <w:rFonts w:cs="Arial"/>
          <w:szCs w:val="21"/>
        </w:rPr>
        <w:t>Méthodologie (y compris la taille de l'échantillon et les sources d'information)</w:t>
      </w:r>
    </w:p>
    <w:p w14:paraId="376D11E7" w14:textId="77777777" w:rsidR="00CB4D5C" w:rsidRPr="003511F9" w:rsidRDefault="00CB4D5C" w:rsidP="00460F99">
      <w:pPr>
        <w:pStyle w:val="Paragraphedeliste"/>
        <w:widowControl/>
        <w:numPr>
          <w:ilvl w:val="0"/>
          <w:numId w:val="25"/>
        </w:numPr>
        <w:autoSpaceDE w:val="0"/>
        <w:autoSpaceDN w:val="0"/>
        <w:adjustRightInd w:val="0"/>
        <w:spacing w:before="0" w:after="0" w:line="240" w:lineRule="auto"/>
        <w:jc w:val="left"/>
        <w:rPr>
          <w:rFonts w:cs="Arial"/>
          <w:szCs w:val="21"/>
        </w:rPr>
      </w:pPr>
      <w:r w:rsidRPr="003511F9">
        <w:rPr>
          <w:rFonts w:cs="Arial"/>
          <w:szCs w:val="21"/>
        </w:rPr>
        <w:t>Résultats et analyse : cette partie doit mettre en exergue les forces et les faiblesses pour chacun des critères suivants :</w:t>
      </w:r>
    </w:p>
    <w:p w14:paraId="6E549877" w14:textId="77777777" w:rsidR="00CB4D5C" w:rsidRPr="003511F9" w:rsidRDefault="00CB4D5C" w:rsidP="00460F99">
      <w:pPr>
        <w:pStyle w:val="Paragraphedeliste"/>
        <w:widowControl/>
        <w:numPr>
          <w:ilvl w:val="0"/>
          <w:numId w:val="26"/>
        </w:numPr>
        <w:autoSpaceDE w:val="0"/>
        <w:autoSpaceDN w:val="0"/>
        <w:adjustRightInd w:val="0"/>
        <w:spacing w:before="0" w:after="0" w:line="240" w:lineRule="auto"/>
        <w:jc w:val="left"/>
        <w:rPr>
          <w:rFonts w:cs="Arial"/>
          <w:szCs w:val="21"/>
        </w:rPr>
      </w:pPr>
      <w:r w:rsidRPr="003511F9">
        <w:rPr>
          <w:rFonts w:cs="Arial"/>
          <w:szCs w:val="21"/>
        </w:rPr>
        <w:t>Structures de gestion</w:t>
      </w:r>
    </w:p>
    <w:p w14:paraId="3E6A0D5C" w14:textId="77777777" w:rsidR="00CB4D5C" w:rsidRPr="003511F9" w:rsidRDefault="00CB4D5C" w:rsidP="00460F99">
      <w:pPr>
        <w:pStyle w:val="Paragraphedeliste"/>
        <w:widowControl/>
        <w:numPr>
          <w:ilvl w:val="0"/>
          <w:numId w:val="26"/>
        </w:numPr>
        <w:autoSpaceDE w:val="0"/>
        <w:autoSpaceDN w:val="0"/>
        <w:adjustRightInd w:val="0"/>
        <w:spacing w:before="0" w:after="0" w:line="240" w:lineRule="auto"/>
        <w:jc w:val="left"/>
        <w:rPr>
          <w:rFonts w:cs="Arial"/>
          <w:szCs w:val="21"/>
        </w:rPr>
      </w:pPr>
      <w:r w:rsidRPr="003511F9">
        <w:rPr>
          <w:rFonts w:cs="Arial"/>
          <w:szCs w:val="21"/>
        </w:rPr>
        <w:t>Processus gestionnaire</w:t>
      </w:r>
    </w:p>
    <w:p w14:paraId="058F4D47" w14:textId="77777777" w:rsidR="00CB4D5C" w:rsidRPr="003511F9" w:rsidRDefault="00CB4D5C" w:rsidP="00460F99">
      <w:pPr>
        <w:pStyle w:val="Paragraphedeliste"/>
        <w:widowControl/>
        <w:numPr>
          <w:ilvl w:val="0"/>
          <w:numId w:val="26"/>
        </w:numPr>
        <w:autoSpaceDE w:val="0"/>
        <w:autoSpaceDN w:val="0"/>
        <w:adjustRightInd w:val="0"/>
        <w:spacing w:before="0" w:after="0" w:line="240" w:lineRule="auto"/>
        <w:jc w:val="left"/>
        <w:rPr>
          <w:rFonts w:cs="Arial"/>
          <w:szCs w:val="21"/>
        </w:rPr>
      </w:pPr>
      <w:r w:rsidRPr="003511F9">
        <w:rPr>
          <w:rFonts w:cs="Arial"/>
          <w:szCs w:val="21"/>
        </w:rPr>
        <w:t>Activités de santé et apparentées</w:t>
      </w:r>
    </w:p>
    <w:p w14:paraId="659461E0" w14:textId="77777777" w:rsidR="00CB4D5C" w:rsidRPr="003511F9" w:rsidRDefault="00CB4D5C" w:rsidP="00460F99">
      <w:pPr>
        <w:pStyle w:val="Paragraphedeliste"/>
        <w:widowControl/>
        <w:numPr>
          <w:ilvl w:val="0"/>
          <w:numId w:val="26"/>
        </w:numPr>
        <w:autoSpaceDE w:val="0"/>
        <w:autoSpaceDN w:val="0"/>
        <w:adjustRightInd w:val="0"/>
        <w:spacing w:before="0" w:after="0" w:line="240" w:lineRule="auto"/>
        <w:jc w:val="left"/>
        <w:rPr>
          <w:rFonts w:cs="Arial"/>
          <w:szCs w:val="21"/>
        </w:rPr>
      </w:pPr>
      <w:r w:rsidRPr="003511F9">
        <w:rPr>
          <w:rFonts w:cs="Arial"/>
          <w:szCs w:val="21"/>
        </w:rPr>
        <w:t>Participation communautaire</w:t>
      </w:r>
    </w:p>
    <w:p w14:paraId="087BBA5A" w14:textId="77777777" w:rsidR="00CB4D5C" w:rsidRPr="003511F9" w:rsidRDefault="00CB4D5C" w:rsidP="00460F99">
      <w:pPr>
        <w:pStyle w:val="Paragraphedeliste"/>
        <w:widowControl/>
        <w:numPr>
          <w:ilvl w:val="0"/>
          <w:numId w:val="26"/>
        </w:numPr>
        <w:autoSpaceDE w:val="0"/>
        <w:autoSpaceDN w:val="0"/>
        <w:adjustRightInd w:val="0"/>
        <w:spacing w:before="0" w:after="0" w:line="240" w:lineRule="auto"/>
        <w:jc w:val="left"/>
        <w:rPr>
          <w:rFonts w:cs="Arial"/>
          <w:szCs w:val="21"/>
        </w:rPr>
      </w:pPr>
      <w:r w:rsidRPr="003511F9">
        <w:rPr>
          <w:rFonts w:cs="Arial"/>
          <w:szCs w:val="21"/>
        </w:rPr>
        <w:t>Financement sanitaire de district et gestion des ressources</w:t>
      </w:r>
    </w:p>
    <w:p w14:paraId="0DA8B85C" w14:textId="77777777" w:rsidR="00CB4D5C" w:rsidRPr="003511F9" w:rsidRDefault="00CB4D5C" w:rsidP="00460F99">
      <w:pPr>
        <w:pStyle w:val="Paragraphedeliste"/>
        <w:widowControl/>
        <w:numPr>
          <w:ilvl w:val="0"/>
          <w:numId w:val="25"/>
        </w:numPr>
        <w:autoSpaceDE w:val="0"/>
        <w:autoSpaceDN w:val="0"/>
        <w:adjustRightInd w:val="0"/>
        <w:spacing w:before="0" w:after="0" w:line="240" w:lineRule="auto"/>
        <w:jc w:val="left"/>
        <w:rPr>
          <w:rFonts w:cs="Arial"/>
          <w:szCs w:val="21"/>
        </w:rPr>
      </w:pPr>
      <w:r w:rsidRPr="003511F9">
        <w:rPr>
          <w:rFonts w:cs="Arial"/>
          <w:szCs w:val="21"/>
        </w:rPr>
        <w:t>Conclusion</w:t>
      </w:r>
    </w:p>
    <w:p w14:paraId="1CB5549A" w14:textId="77777777" w:rsidR="00CB4D5C" w:rsidRPr="003511F9" w:rsidRDefault="00CB4D5C" w:rsidP="00460F99">
      <w:pPr>
        <w:pStyle w:val="Paragraphedeliste"/>
        <w:widowControl/>
        <w:numPr>
          <w:ilvl w:val="0"/>
          <w:numId w:val="25"/>
        </w:numPr>
        <w:autoSpaceDE w:val="0"/>
        <w:autoSpaceDN w:val="0"/>
        <w:adjustRightInd w:val="0"/>
        <w:spacing w:before="0" w:after="0" w:line="240" w:lineRule="auto"/>
        <w:jc w:val="left"/>
        <w:rPr>
          <w:rFonts w:cs="Arial"/>
          <w:szCs w:val="21"/>
        </w:rPr>
      </w:pPr>
      <w:r w:rsidRPr="003511F9">
        <w:rPr>
          <w:rFonts w:cs="Arial"/>
          <w:szCs w:val="21"/>
        </w:rPr>
        <w:t>Recommandations</w:t>
      </w:r>
    </w:p>
    <w:p w14:paraId="50DD54CF" w14:textId="560B794A" w:rsidR="00CB4D5C" w:rsidRDefault="00CB4D5C" w:rsidP="00CB4D5C"/>
    <w:p w14:paraId="71CA9771" w14:textId="77777777" w:rsidR="00D051E1" w:rsidRPr="0001795E" w:rsidRDefault="00D051E1" w:rsidP="006A44DA">
      <w:pPr>
        <w:pStyle w:val="Titre1"/>
        <w:sectPr w:rsidR="00D051E1" w:rsidRPr="0001795E" w:rsidSect="007127F6">
          <w:pgSz w:w="11906" w:h="16838" w:code="9"/>
          <w:pgMar w:top="1417" w:right="1417" w:bottom="1417" w:left="1417" w:header="709" w:footer="709" w:gutter="0"/>
          <w:pgBorders>
            <w:top w:val="single" w:sz="4" w:space="1" w:color="auto"/>
            <w:bottom w:val="single" w:sz="4" w:space="1" w:color="auto"/>
          </w:pgBorders>
          <w:cols w:space="708"/>
          <w:docGrid w:linePitch="360"/>
        </w:sectPr>
      </w:pPr>
    </w:p>
    <w:p w14:paraId="76452073" w14:textId="77777777" w:rsidR="00D051E1" w:rsidRPr="0001795E" w:rsidRDefault="00D051E1" w:rsidP="006A44DA">
      <w:pPr>
        <w:pStyle w:val="Titre1"/>
        <w:sectPr w:rsidR="00D051E1" w:rsidRPr="0001795E" w:rsidSect="007127F6">
          <w:type w:val="continuous"/>
          <w:pgSz w:w="11906" w:h="16838" w:code="9"/>
          <w:pgMar w:top="1417" w:right="1417" w:bottom="1417" w:left="1417" w:header="510" w:footer="567" w:gutter="0"/>
          <w:pgBorders>
            <w:top w:val="single" w:sz="4" w:space="1" w:color="auto"/>
            <w:bottom w:val="single" w:sz="4" w:space="1" w:color="auto"/>
          </w:pgBorders>
          <w:cols w:space="708"/>
          <w:docGrid w:linePitch="360"/>
        </w:sectPr>
      </w:pPr>
    </w:p>
    <w:p w14:paraId="0BCF8DA5" w14:textId="1F395A2D" w:rsidR="000A1C86" w:rsidRPr="0001795E" w:rsidRDefault="00300648" w:rsidP="006A44DA">
      <w:pPr>
        <w:pStyle w:val="Titre1"/>
      </w:pPr>
      <w:bookmarkStart w:id="156" w:name="_Toc63233206"/>
      <w:r w:rsidRPr="0001795E">
        <w:t xml:space="preserve">CHAPITRE III : </w:t>
      </w:r>
      <w:proofErr w:type="spellStart"/>
      <w:r w:rsidR="003936E7" w:rsidRPr="0001795E">
        <w:rPr>
          <w:iCs/>
        </w:rPr>
        <w:t>PRESENTATION</w:t>
      </w:r>
      <w:proofErr w:type="spellEnd"/>
      <w:r w:rsidR="003936E7" w:rsidRPr="0001795E">
        <w:t xml:space="preserve"> DES </w:t>
      </w:r>
      <w:proofErr w:type="spellStart"/>
      <w:r w:rsidR="00563A0F" w:rsidRPr="0001795E">
        <w:t>RESULTATS</w:t>
      </w:r>
      <w:proofErr w:type="spellEnd"/>
      <w:r w:rsidR="003936E7" w:rsidRPr="0001795E">
        <w:t xml:space="preserve"> DE L’</w:t>
      </w:r>
      <w:proofErr w:type="spellStart"/>
      <w:r w:rsidR="003936E7" w:rsidRPr="0001795E">
        <w:t>ETUDE</w:t>
      </w:r>
      <w:bookmarkEnd w:id="156"/>
      <w:proofErr w:type="spellEnd"/>
    </w:p>
    <w:p w14:paraId="48254D52" w14:textId="0E3075B1" w:rsidR="000A1C86" w:rsidRPr="003511F9" w:rsidRDefault="000A1C86" w:rsidP="0016106A">
      <w:pPr>
        <w:rPr>
          <w:rFonts w:cs="Arial"/>
          <w:szCs w:val="21"/>
        </w:rPr>
      </w:pPr>
      <w:r w:rsidRPr="00C33677">
        <w:rPr>
          <w:rFonts w:cs="Arial"/>
          <w:szCs w:val="21"/>
        </w:rPr>
        <w:t>Les résultats de l’étude sont présentés dans les différentes parties ci-après : les caractéristiques des districts sanitaires, l</w:t>
      </w:r>
      <w:r w:rsidR="00F41957" w:rsidRPr="003511F9">
        <w:rPr>
          <w:rFonts w:cs="Arial"/>
          <w:szCs w:val="21"/>
        </w:rPr>
        <w:t>a gestion du district (</w:t>
      </w:r>
      <w:r w:rsidRPr="003511F9">
        <w:rPr>
          <w:rFonts w:cs="Arial"/>
          <w:szCs w:val="21"/>
        </w:rPr>
        <w:t>processus gestionnaire, ressources et activités</w:t>
      </w:r>
      <w:r w:rsidR="00F41957" w:rsidRPr="003511F9">
        <w:rPr>
          <w:rFonts w:cs="Arial"/>
          <w:szCs w:val="21"/>
        </w:rPr>
        <w:t xml:space="preserve">, collaboration intersectorielle) les </w:t>
      </w:r>
      <w:r w:rsidRPr="003511F9">
        <w:rPr>
          <w:rFonts w:cs="Arial"/>
          <w:szCs w:val="21"/>
        </w:rPr>
        <w:t>formations sanitaires des districts comportant la couverture, les ressources, les PMA</w:t>
      </w:r>
      <w:r w:rsidR="00F41957" w:rsidRPr="003511F9">
        <w:rPr>
          <w:rFonts w:cs="Arial"/>
          <w:szCs w:val="21"/>
        </w:rPr>
        <w:t xml:space="preserve">, </w:t>
      </w:r>
      <w:r w:rsidRPr="003511F9">
        <w:rPr>
          <w:rFonts w:cs="Arial"/>
          <w:szCs w:val="21"/>
        </w:rPr>
        <w:t>le statut de la formation sanitaire</w:t>
      </w:r>
      <w:r w:rsidR="00F41957" w:rsidRPr="003511F9">
        <w:rPr>
          <w:rFonts w:cs="Arial"/>
          <w:szCs w:val="21"/>
        </w:rPr>
        <w:t xml:space="preserve"> et la capacité technique et gestionnaire de réaliser les interventions en rapport avec les </w:t>
      </w:r>
      <w:proofErr w:type="spellStart"/>
      <w:r w:rsidR="00F41957" w:rsidRPr="003511F9">
        <w:rPr>
          <w:rFonts w:cs="Arial"/>
          <w:szCs w:val="21"/>
        </w:rPr>
        <w:t>ODD</w:t>
      </w:r>
      <w:proofErr w:type="spellEnd"/>
      <w:r w:rsidRPr="003511F9">
        <w:rPr>
          <w:rFonts w:cs="Arial"/>
          <w:szCs w:val="21"/>
        </w:rPr>
        <w:t>.</w:t>
      </w:r>
    </w:p>
    <w:p w14:paraId="3517AD7A" w14:textId="031B4493" w:rsidR="008A79B6" w:rsidRPr="0001795E" w:rsidRDefault="00EC6337" w:rsidP="00460F99">
      <w:pPr>
        <w:pStyle w:val="Titre2"/>
        <w:numPr>
          <w:ilvl w:val="1"/>
          <w:numId w:val="20"/>
        </w:numPr>
        <w:tabs>
          <w:tab w:val="left" w:pos="284"/>
        </w:tabs>
        <w:rPr>
          <w:szCs w:val="24"/>
        </w:rPr>
      </w:pPr>
      <w:r>
        <w:rPr>
          <w:szCs w:val="24"/>
        </w:rPr>
        <w:t xml:space="preserve"> </w:t>
      </w:r>
      <w:bookmarkStart w:id="157" w:name="_Toc63233207"/>
      <w:r w:rsidR="008A79B6" w:rsidRPr="0001795E">
        <w:rPr>
          <w:szCs w:val="24"/>
        </w:rPr>
        <w:t>Caractéristiques des districts sanitaires</w:t>
      </w:r>
      <w:bookmarkEnd w:id="157"/>
    </w:p>
    <w:p w14:paraId="014B3F6C" w14:textId="4249D6D0" w:rsidR="000A1C86" w:rsidRPr="0001795E" w:rsidRDefault="000A1C86" w:rsidP="0016106A">
      <w:pPr>
        <w:tabs>
          <w:tab w:val="left" w:pos="2480"/>
        </w:tabs>
        <w:rPr>
          <w:rFonts w:cs="Arial"/>
          <w:szCs w:val="24"/>
        </w:rPr>
      </w:pPr>
      <w:r w:rsidRPr="0001795E">
        <w:rPr>
          <w:rFonts w:cs="Arial"/>
          <w:szCs w:val="24"/>
        </w:rPr>
        <w:t>Les caractéristiques des districts</w:t>
      </w:r>
      <w:r w:rsidR="00E91DEA">
        <w:rPr>
          <w:rFonts w:cs="Arial"/>
          <w:szCs w:val="24"/>
        </w:rPr>
        <w:t xml:space="preserve"> sanitaires</w:t>
      </w:r>
      <w:r w:rsidRPr="0001795E">
        <w:rPr>
          <w:rFonts w:cs="Arial"/>
          <w:szCs w:val="24"/>
        </w:rPr>
        <w:t xml:space="preserve"> ont été examinées selon les dimensions </w:t>
      </w:r>
      <w:r w:rsidR="00F96E5F" w:rsidRPr="0001795E">
        <w:rPr>
          <w:rFonts w:cs="Arial"/>
          <w:szCs w:val="24"/>
        </w:rPr>
        <w:t xml:space="preserve">population, </w:t>
      </w:r>
      <w:r w:rsidRPr="0001795E">
        <w:rPr>
          <w:rFonts w:cs="Arial"/>
          <w:szCs w:val="24"/>
        </w:rPr>
        <w:t xml:space="preserve">taille, aires de santé et ratio population/formations sanitaires. </w:t>
      </w:r>
    </w:p>
    <w:p w14:paraId="057776C7" w14:textId="195B8D0E" w:rsidR="00F96E5F" w:rsidRPr="0001795E" w:rsidRDefault="00793A34" w:rsidP="0016106A">
      <w:pPr>
        <w:tabs>
          <w:tab w:val="left" w:pos="2480"/>
        </w:tabs>
        <w:rPr>
          <w:rFonts w:eastAsia="Times New Roman" w:cs="Arial"/>
          <w:szCs w:val="24"/>
          <w:lang w:eastAsia="fr-FR"/>
        </w:rPr>
      </w:pPr>
      <w:r w:rsidRPr="0001795E">
        <w:rPr>
          <w:rFonts w:cs="Arial"/>
          <w:szCs w:val="24"/>
        </w:rPr>
        <w:t xml:space="preserve">L’évaluation a porté sur un échantillon de 16 districts sanitaires sur les 38 que compte le pays soit 42% repartis sur les 8 régions </w:t>
      </w:r>
      <w:r w:rsidR="00AD760B" w:rsidRPr="0001795E">
        <w:rPr>
          <w:rFonts w:cs="Arial"/>
          <w:szCs w:val="24"/>
        </w:rPr>
        <w:t>administratives</w:t>
      </w:r>
      <w:r w:rsidRPr="0001795E">
        <w:rPr>
          <w:rFonts w:cs="Arial"/>
          <w:szCs w:val="24"/>
        </w:rPr>
        <w:t xml:space="preserve"> pour une population de </w:t>
      </w:r>
      <w:r w:rsidRPr="0001795E">
        <w:rPr>
          <w:rFonts w:eastAsia="Times New Roman" w:cs="Arial"/>
          <w:szCs w:val="24"/>
          <w:lang w:eastAsia="fr-FR"/>
        </w:rPr>
        <w:t>5 735 667 habitants</w:t>
      </w:r>
      <w:r w:rsidRPr="0001795E">
        <w:rPr>
          <w:rFonts w:cs="Arial"/>
          <w:szCs w:val="24"/>
        </w:rPr>
        <w:t xml:space="preserve">. Elle couvre la </w:t>
      </w:r>
      <w:r w:rsidR="00EC6337" w:rsidRPr="0001795E">
        <w:rPr>
          <w:rFonts w:cs="Arial"/>
          <w:szCs w:val="24"/>
        </w:rPr>
        <w:t xml:space="preserve">presque </w:t>
      </w:r>
      <w:r w:rsidRPr="0001795E">
        <w:rPr>
          <w:rFonts w:cs="Arial"/>
          <w:szCs w:val="24"/>
        </w:rPr>
        <w:t xml:space="preserve">moitié de la superficie du pays et des aires de santé. La population moyenne par district sanitaire est de </w:t>
      </w:r>
      <w:r w:rsidRPr="0001795E">
        <w:rPr>
          <w:rFonts w:cs="Arial"/>
          <w:bCs/>
          <w:szCs w:val="24"/>
        </w:rPr>
        <w:t xml:space="preserve">358 479 habitants avec des extrêmes allant de </w:t>
      </w:r>
      <w:r w:rsidRPr="0001795E">
        <w:rPr>
          <w:rFonts w:eastAsia="Times New Roman" w:cs="Arial"/>
          <w:szCs w:val="24"/>
          <w:lang w:eastAsia="fr-FR"/>
        </w:rPr>
        <w:t xml:space="preserve">151 154 à </w:t>
      </w:r>
      <w:proofErr w:type="spellStart"/>
      <w:r w:rsidRPr="0001795E">
        <w:rPr>
          <w:rFonts w:eastAsia="Times New Roman" w:cs="Arial"/>
          <w:szCs w:val="24"/>
          <w:lang w:eastAsia="fr-FR"/>
        </w:rPr>
        <w:t>Dalaba</w:t>
      </w:r>
      <w:proofErr w:type="spellEnd"/>
      <w:r w:rsidRPr="0001795E">
        <w:rPr>
          <w:rFonts w:eastAsia="Times New Roman" w:cs="Arial"/>
          <w:szCs w:val="24"/>
          <w:lang w:eastAsia="fr-FR"/>
        </w:rPr>
        <w:t xml:space="preserve"> à 758 946 à Ratoma. </w:t>
      </w:r>
    </w:p>
    <w:p w14:paraId="6AEE636E" w14:textId="4E5DABB9" w:rsidR="00793A34" w:rsidRPr="0001795E" w:rsidRDefault="00793A34" w:rsidP="0016106A">
      <w:pPr>
        <w:tabs>
          <w:tab w:val="left" w:pos="2480"/>
        </w:tabs>
        <w:rPr>
          <w:rFonts w:cs="Arial"/>
          <w:bCs/>
          <w:szCs w:val="24"/>
        </w:rPr>
      </w:pPr>
      <w:r w:rsidRPr="0001795E">
        <w:rPr>
          <w:rFonts w:eastAsia="Times New Roman" w:cs="Arial"/>
          <w:szCs w:val="24"/>
          <w:lang w:eastAsia="fr-FR"/>
        </w:rPr>
        <w:t>La superficie totale couverte par l’échantillon est de 120 713 km</w:t>
      </w:r>
      <w:r w:rsidRPr="0001795E">
        <w:rPr>
          <w:rFonts w:eastAsia="Times New Roman" w:cs="Arial"/>
          <w:szCs w:val="24"/>
          <w:vertAlign w:val="superscript"/>
          <w:lang w:eastAsia="fr-FR"/>
        </w:rPr>
        <w:t xml:space="preserve">2 </w:t>
      </w:r>
      <w:r w:rsidRPr="0001795E">
        <w:rPr>
          <w:rFonts w:eastAsia="Times New Roman" w:cs="Arial"/>
          <w:szCs w:val="24"/>
          <w:lang w:eastAsia="fr-FR"/>
        </w:rPr>
        <w:t xml:space="preserve">soit une moyenne de </w:t>
      </w:r>
      <w:r w:rsidRPr="0001795E">
        <w:rPr>
          <w:rFonts w:cs="Arial"/>
          <w:bCs/>
          <w:szCs w:val="24"/>
        </w:rPr>
        <w:t xml:space="preserve">7 545 </w:t>
      </w:r>
      <w:r w:rsidR="0016106A" w:rsidRPr="0001795E">
        <w:rPr>
          <w:rFonts w:cs="Arial"/>
          <w:bCs/>
          <w:szCs w:val="24"/>
        </w:rPr>
        <w:t>k</w:t>
      </w:r>
      <w:r w:rsidRPr="0001795E">
        <w:rPr>
          <w:rFonts w:cs="Arial"/>
          <w:bCs/>
          <w:szCs w:val="24"/>
        </w:rPr>
        <w:t>m</w:t>
      </w:r>
      <w:r w:rsidRPr="0001795E">
        <w:rPr>
          <w:rFonts w:cs="Arial"/>
          <w:bCs/>
          <w:szCs w:val="24"/>
          <w:vertAlign w:val="superscript"/>
        </w:rPr>
        <w:t xml:space="preserve">2 </w:t>
      </w:r>
      <w:r w:rsidRPr="0001795E">
        <w:rPr>
          <w:rFonts w:cs="Arial"/>
          <w:bCs/>
          <w:szCs w:val="24"/>
        </w:rPr>
        <w:t>avec des extrêmes comprises entre 62 km</w:t>
      </w:r>
      <w:r w:rsidRPr="0001795E">
        <w:rPr>
          <w:rFonts w:cs="Arial"/>
          <w:bCs/>
          <w:szCs w:val="24"/>
          <w:vertAlign w:val="superscript"/>
        </w:rPr>
        <w:t xml:space="preserve">2 </w:t>
      </w:r>
      <w:r w:rsidRPr="0001795E">
        <w:rPr>
          <w:rFonts w:cs="Arial"/>
          <w:bCs/>
          <w:szCs w:val="24"/>
        </w:rPr>
        <w:t xml:space="preserve">à Ratoma et </w:t>
      </w:r>
      <w:r w:rsidRPr="0001795E">
        <w:rPr>
          <w:rFonts w:eastAsia="Times New Roman" w:cs="Arial"/>
          <w:szCs w:val="24"/>
          <w:lang w:eastAsia="fr-FR"/>
        </w:rPr>
        <w:t>19 750 km</w:t>
      </w:r>
      <w:r w:rsidRPr="0001795E">
        <w:rPr>
          <w:rFonts w:eastAsia="Times New Roman" w:cs="Arial"/>
          <w:szCs w:val="24"/>
          <w:vertAlign w:val="superscript"/>
          <w:lang w:eastAsia="fr-FR"/>
        </w:rPr>
        <w:t>2</w:t>
      </w:r>
      <w:r w:rsidRPr="0001795E">
        <w:rPr>
          <w:rFonts w:eastAsia="Times New Roman" w:cs="Arial"/>
          <w:szCs w:val="24"/>
          <w:lang w:eastAsia="fr-FR"/>
        </w:rPr>
        <w:t xml:space="preserve"> à Kankan.</w:t>
      </w:r>
      <w:r w:rsidRPr="0001795E">
        <w:rPr>
          <w:rFonts w:cs="Arial"/>
          <w:bCs/>
          <w:szCs w:val="24"/>
        </w:rPr>
        <w:t xml:space="preserve"> L’échantillon compte 208 aires de santé soit une moyenne de 13 aires de santé par district sanitaire avec des extrêmes allant de 3 à Matam et 18 à Kankan, Labé et Mamou.</w:t>
      </w:r>
    </w:p>
    <w:p w14:paraId="5669605B" w14:textId="3A0E5CEC" w:rsidR="00793A34" w:rsidRPr="0001795E" w:rsidRDefault="00793A34" w:rsidP="0016106A">
      <w:pPr>
        <w:tabs>
          <w:tab w:val="left" w:pos="2480"/>
        </w:tabs>
        <w:rPr>
          <w:rFonts w:cs="Arial"/>
          <w:bCs/>
          <w:szCs w:val="24"/>
        </w:rPr>
      </w:pPr>
      <w:r w:rsidRPr="0001795E">
        <w:rPr>
          <w:rFonts w:cs="Arial"/>
          <w:bCs/>
          <w:szCs w:val="24"/>
        </w:rPr>
        <w:t xml:space="preserve">Le ratio habitant par aire de santé est en moyenne de 27 843 avec des extrêmes allant de 15 115 à </w:t>
      </w:r>
      <w:proofErr w:type="spellStart"/>
      <w:r w:rsidRPr="0001795E">
        <w:rPr>
          <w:rFonts w:cs="Arial"/>
          <w:bCs/>
          <w:szCs w:val="24"/>
        </w:rPr>
        <w:t>Dalaba</w:t>
      </w:r>
      <w:proofErr w:type="spellEnd"/>
      <w:r w:rsidRPr="0001795E">
        <w:rPr>
          <w:rFonts w:cs="Arial"/>
          <w:bCs/>
          <w:szCs w:val="24"/>
        </w:rPr>
        <w:t xml:space="preserve"> à 94 868 à Ratoma.</w:t>
      </w:r>
      <w:r w:rsidR="00F41957" w:rsidRPr="0001795E">
        <w:rPr>
          <w:rFonts w:cs="Arial"/>
          <w:bCs/>
          <w:szCs w:val="24"/>
        </w:rPr>
        <w:t xml:space="preserve"> </w:t>
      </w:r>
    </w:p>
    <w:p w14:paraId="23A26464" w14:textId="1E74D3CA" w:rsidR="00793A34" w:rsidRPr="0001795E" w:rsidRDefault="00793A34" w:rsidP="0016106A">
      <w:pPr>
        <w:tabs>
          <w:tab w:val="left" w:pos="2480"/>
        </w:tabs>
        <w:rPr>
          <w:rFonts w:cs="Arial"/>
          <w:bCs/>
          <w:szCs w:val="24"/>
        </w:rPr>
      </w:pPr>
      <w:r w:rsidRPr="0001795E">
        <w:rPr>
          <w:rFonts w:cs="Arial"/>
          <w:bCs/>
          <w:szCs w:val="24"/>
        </w:rPr>
        <w:t>Il ressort de ce constat une disparité de l’offre entre les districts sanitaires qui s’expliquerait par la non mise à jour de la carte sanitaire depuis 2006</w:t>
      </w:r>
      <w:r w:rsidR="00F41957" w:rsidRPr="0001795E">
        <w:rPr>
          <w:rFonts w:cs="Arial"/>
          <w:bCs/>
          <w:szCs w:val="24"/>
        </w:rPr>
        <w:t xml:space="preserve"> et l’accroissement de la démographie</w:t>
      </w:r>
      <w:r w:rsidRPr="0001795E">
        <w:rPr>
          <w:rFonts w:cs="Arial"/>
          <w:bCs/>
          <w:szCs w:val="24"/>
        </w:rPr>
        <w:t xml:space="preserve">. Ceci a pour conséquence l’implantation anarchique des structures privées. Cette situation est aggravée par l’absence de partenariat public-privé et la faiblesse de la régulation du </w:t>
      </w:r>
      <w:r w:rsidR="00F41957" w:rsidRPr="0001795E">
        <w:rPr>
          <w:rFonts w:cs="Arial"/>
          <w:bCs/>
          <w:szCs w:val="24"/>
        </w:rPr>
        <w:t>marché des soins</w:t>
      </w:r>
      <w:r w:rsidRPr="0001795E">
        <w:rPr>
          <w:rFonts w:cs="Arial"/>
          <w:bCs/>
          <w:szCs w:val="24"/>
        </w:rPr>
        <w:t>.</w:t>
      </w:r>
    </w:p>
    <w:p w14:paraId="6866F803" w14:textId="0554E8F0" w:rsidR="00C8373B" w:rsidRPr="0001795E" w:rsidRDefault="00AC4C23" w:rsidP="00514550">
      <w:pPr>
        <w:pStyle w:val="Titre2"/>
        <w:numPr>
          <w:ilvl w:val="1"/>
          <w:numId w:val="8"/>
        </w:numPr>
        <w:tabs>
          <w:tab w:val="left" w:pos="284"/>
        </w:tabs>
        <w:rPr>
          <w:szCs w:val="24"/>
        </w:rPr>
      </w:pPr>
      <w:r w:rsidRPr="0001795E">
        <w:rPr>
          <w:szCs w:val="24"/>
        </w:rPr>
        <w:t xml:space="preserve"> </w:t>
      </w:r>
      <w:bookmarkStart w:id="158" w:name="_Toc63233208"/>
      <w:r w:rsidR="00C8373B" w:rsidRPr="0001795E">
        <w:rPr>
          <w:szCs w:val="24"/>
        </w:rPr>
        <w:t>G</w:t>
      </w:r>
      <w:r w:rsidR="00EB0257" w:rsidRPr="0001795E">
        <w:rPr>
          <w:szCs w:val="24"/>
        </w:rPr>
        <w:t>estion du district</w:t>
      </w:r>
      <w:bookmarkEnd w:id="158"/>
    </w:p>
    <w:p w14:paraId="00890202" w14:textId="598F1831" w:rsidR="00793A34" w:rsidRPr="0001795E" w:rsidRDefault="00793A34" w:rsidP="00EC6337">
      <w:pPr>
        <w:tabs>
          <w:tab w:val="left" w:pos="426"/>
        </w:tabs>
        <w:rPr>
          <w:rFonts w:cs="Arial"/>
          <w:bCs/>
          <w:szCs w:val="24"/>
        </w:rPr>
      </w:pPr>
      <w:r w:rsidRPr="0001795E">
        <w:rPr>
          <w:rFonts w:eastAsia="Times New Roman" w:cs="Arial"/>
          <w:bCs/>
          <w:szCs w:val="24"/>
          <w:lang w:eastAsia="fr-FR"/>
        </w:rPr>
        <w:t xml:space="preserve">L’évaluation de la fonctionnalité des districts est basée sur </w:t>
      </w:r>
      <w:r w:rsidR="0016106A" w:rsidRPr="0001795E">
        <w:rPr>
          <w:rFonts w:eastAsia="Times New Roman" w:cs="Arial"/>
          <w:bCs/>
          <w:szCs w:val="24"/>
          <w:lang w:eastAsia="fr-FR"/>
        </w:rPr>
        <w:t xml:space="preserve">les </w:t>
      </w:r>
      <w:r w:rsidRPr="0001795E">
        <w:rPr>
          <w:rFonts w:eastAsia="Times New Roman" w:cs="Arial"/>
          <w:bCs/>
          <w:szCs w:val="24"/>
          <w:lang w:eastAsia="fr-FR"/>
        </w:rPr>
        <w:t>cinq critères </w:t>
      </w:r>
      <w:r w:rsidR="0016106A" w:rsidRPr="0001795E">
        <w:rPr>
          <w:rFonts w:eastAsia="Times New Roman" w:cs="Arial"/>
          <w:bCs/>
          <w:szCs w:val="24"/>
          <w:lang w:eastAsia="fr-FR"/>
        </w:rPr>
        <w:t>définis à la conception de l’étude et porte sur l</w:t>
      </w:r>
      <w:r w:rsidRPr="0001795E">
        <w:rPr>
          <w:rFonts w:cs="Arial"/>
          <w:bCs/>
          <w:szCs w:val="24"/>
        </w:rPr>
        <w:t xml:space="preserve">es structures opérationnelles de gestion de santé de </w:t>
      </w:r>
      <w:r w:rsidR="00EC6337">
        <w:rPr>
          <w:rFonts w:cs="Arial"/>
          <w:bCs/>
          <w:szCs w:val="24"/>
        </w:rPr>
        <w:t>d</w:t>
      </w:r>
      <w:r w:rsidRPr="0001795E">
        <w:rPr>
          <w:rFonts w:cs="Arial"/>
          <w:bCs/>
          <w:szCs w:val="24"/>
        </w:rPr>
        <w:t>istrict</w:t>
      </w:r>
      <w:r w:rsidR="0016106A" w:rsidRPr="0001795E">
        <w:rPr>
          <w:rFonts w:cs="Arial"/>
          <w:bCs/>
          <w:szCs w:val="24"/>
        </w:rPr>
        <w:t>, l</w:t>
      </w:r>
      <w:r w:rsidRPr="0001795E">
        <w:rPr>
          <w:rFonts w:cs="Arial"/>
          <w:bCs/>
          <w:szCs w:val="24"/>
        </w:rPr>
        <w:t>e processus gestionnaire</w:t>
      </w:r>
      <w:r w:rsidR="0016106A" w:rsidRPr="0001795E">
        <w:rPr>
          <w:rFonts w:cs="Arial"/>
          <w:bCs/>
          <w:szCs w:val="24"/>
        </w:rPr>
        <w:t>, l</w:t>
      </w:r>
      <w:r w:rsidRPr="0001795E">
        <w:rPr>
          <w:rFonts w:cs="Arial"/>
          <w:bCs/>
          <w:szCs w:val="24"/>
        </w:rPr>
        <w:t>es activités prioritaires de santé</w:t>
      </w:r>
      <w:r w:rsidR="0016106A" w:rsidRPr="0001795E">
        <w:rPr>
          <w:rFonts w:cs="Arial"/>
          <w:bCs/>
          <w:szCs w:val="24"/>
        </w:rPr>
        <w:t>, l</w:t>
      </w:r>
      <w:r w:rsidRPr="0001795E">
        <w:rPr>
          <w:rFonts w:cs="Arial"/>
          <w:bCs/>
          <w:szCs w:val="24"/>
        </w:rPr>
        <w:t>es initiatives de santé communautaire</w:t>
      </w:r>
      <w:r w:rsidR="0016106A" w:rsidRPr="0001795E">
        <w:rPr>
          <w:rFonts w:cs="Arial"/>
          <w:bCs/>
          <w:szCs w:val="24"/>
        </w:rPr>
        <w:t xml:space="preserve"> et l</w:t>
      </w:r>
      <w:r w:rsidRPr="0001795E">
        <w:rPr>
          <w:rFonts w:cs="Arial"/>
          <w:bCs/>
          <w:szCs w:val="24"/>
        </w:rPr>
        <w:t>a disponibilité de ressources sanitaires et apparentées gérées localement</w:t>
      </w:r>
      <w:r w:rsidR="0016106A" w:rsidRPr="0001795E">
        <w:rPr>
          <w:rFonts w:cs="Arial"/>
          <w:bCs/>
          <w:szCs w:val="24"/>
        </w:rPr>
        <w:t>.</w:t>
      </w:r>
    </w:p>
    <w:p w14:paraId="2D0C17AD" w14:textId="2A034689" w:rsidR="0016106A" w:rsidRPr="0001795E" w:rsidRDefault="00FC0655" w:rsidP="00A41318">
      <w:pPr>
        <w:pStyle w:val="Titre3"/>
        <w:numPr>
          <w:ilvl w:val="2"/>
          <w:numId w:val="8"/>
        </w:numPr>
      </w:pPr>
      <w:bookmarkStart w:id="159" w:name="_Toc63233209"/>
      <w:r w:rsidRPr="0001795E">
        <w:t>Structures de gestion</w:t>
      </w:r>
      <w:bookmarkEnd w:id="159"/>
    </w:p>
    <w:p w14:paraId="07574B1F" w14:textId="4B822F40" w:rsidR="00793A34" w:rsidRPr="0001795E" w:rsidRDefault="00793A34" w:rsidP="0016106A">
      <w:pPr>
        <w:rPr>
          <w:rFonts w:eastAsia="Times New Roman" w:cs="Arial"/>
          <w:bCs/>
          <w:szCs w:val="24"/>
          <w:lang w:eastAsia="fr-FR"/>
        </w:rPr>
      </w:pPr>
      <w:r w:rsidRPr="0001795E">
        <w:rPr>
          <w:rFonts w:eastAsia="Times New Roman" w:cs="Arial"/>
          <w:bCs/>
          <w:szCs w:val="24"/>
          <w:lang w:eastAsia="fr-FR"/>
        </w:rPr>
        <w:t xml:space="preserve">Les structures concernées par l’évaluation sont le </w:t>
      </w:r>
      <w:r w:rsidR="00305FA2" w:rsidRPr="0001795E">
        <w:rPr>
          <w:rFonts w:eastAsia="Times New Roman" w:cs="Arial"/>
          <w:bCs/>
          <w:szCs w:val="24"/>
          <w:lang w:eastAsia="fr-FR"/>
        </w:rPr>
        <w:t>comité préfectoral de développement, le comité préfectoral de coordination du secteu</w:t>
      </w:r>
      <w:r w:rsidRPr="0001795E">
        <w:rPr>
          <w:rFonts w:eastAsia="Times New Roman" w:cs="Arial"/>
          <w:bCs/>
          <w:szCs w:val="24"/>
          <w:lang w:eastAsia="fr-FR"/>
        </w:rPr>
        <w:t xml:space="preserve">r de la santé </w:t>
      </w:r>
      <w:r w:rsidR="00FB5797" w:rsidRPr="0001795E">
        <w:rPr>
          <w:rFonts w:eastAsia="Times New Roman" w:cs="Arial"/>
          <w:bCs/>
          <w:szCs w:val="24"/>
          <w:lang w:eastAsia="fr-FR"/>
        </w:rPr>
        <w:t>et l’équipe</w:t>
      </w:r>
      <w:r w:rsidRPr="0001795E">
        <w:rPr>
          <w:rFonts w:eastAsia="Times New Roman" w:cs="Arial"/>
          <w:bCs/>
          <w:szCs w:val="24"/>
          <w:lang w:eastAsia="fr-FR"/>
        </w:rPr>
        <w:t xml:space="preserve"> de gestion sanitaire de district. Ces trois structures ont été évaluées en termes d’existence physique, d’existence des directives régissant leur fonctionnement, de tenue des réunions statutaires et d’existence des cadres de prise de décisions.</w:t>
      </w:r>
    </w:p>
    <w:p w14:paraId="012D3DB4" w14:textId="77777777" w:rsidR="00205D2C" w:rsidRPr="0001795E" w:rsidRDefault="00205D2C" w:rsidP="00514550">
      <w:pPr>
        <w:pStyle w:val="Paragraphedeliste"/>
        <w:numPr>
          <w:ilvl w:val="0"/>
          <w:numId w:val="6"/>
        </w:numPr>
        <w:contextualSpacing w:val="0"/>
        <w:outlineLvl w:val="2"/>
        <w:rPr>
          <w:rFonts w:eastAsiaTheme="majorEastAsia" w:cstheme="majorBidi"/>
          <w:b/>
          <w:vanish/>
          <w:color w:val="002060"/>
          <w:szCs w:val="24"/>
        </w:rPr>
      </w:pPr>
      <w:bookmarkStart w:id="160" w:name="_Toc58406807"/>
      <w:bookmarkStart w:id="161" w:name="_Toc58406848"/>
      <w:bookmarkStart w:id="162" w:name="_Toc58413203"/>
      <w:bookmarkStart w:id="163" w:name="_Toc58417021"/>
      <w:bookmarkStart w:id="164" w:name="_Toc58419933"/>
      <w:bookmarkStart w:id="165" w:name="_Toc58419996"/>
      <w:bookmarkStart w:id="166" w:name="_Toc58420058"/>
      <w:bookmarkStart w:id="167" w:name="_Toc58445227"/>
      <w:bookmarkStart w:id="168" w:name="_Toc58445291"/>
      <w:bookmarkStart w:id="169" w:name="_Toc58445402"/>
      <w:bookmarkStart w:id="170" w:name="_Toc58447045"/>
      <w:bookmarkStart w:id="171" w:name="_Toc58667699"/>
      <w:bookmarkStart w:id="172" w:name="_Toc58669864"/>
      <w:bookmarkStart w:id="173" w:name="_Toc58670483"/>
      <w:bookmarkStart w:id="174" w:name="_Toc58670557"/>
      <w:bookmarkStart w:id="175" w:name="_Toc58670637"/>
      <w:bookmarkStart w:id="176" w:name="_Toc58671705"/>
      <w:bookmarkStart w:id="177" w:name="_Toc58672171"/>
      <w:bookmarkStart w:id="178" w:name="_Toc58674251"/>
      <w:bookmarkStart w:id="179" w:name="_Toc58674987"/>
      <w:bookmarkStart w:id="180" w:name="_Toc58675875"/>
      <w:bookmarkStart w:id="181" w:name="_Toc63232616"/>
      <w:bookmarkStart w:id="182" w:name="_Toc63233210"/>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322911C3" w14:textId="77777777" w:rsidR="00205D2C" w:rsidRPr="0001795E" w:rsidRDefault="00205D2C" w:rsidP="00514550">
      <w:pPr>
        <w:pStyle w:val="Paragraphedeliste"/>
        <w:numPr>
          <w:ilvl w:val="0"/>
          <w:numId w:val="6"/>
        </w:numPr>
        <w:contextualSpacing w:val="0"/>
        <w:outlineLvl w:val="2"/>
        <w:rPr>
          <w:rFonts w:eastAsiaTheme="majorEastAsia" w:cstheme="majorBidi"/>
          <w:b/>
          <w:vanish/>
          <w:color w:val="002060"/>
          <w:szCs w:val="24"/>
        </w:rPr>
      </w:pPr>
      <w:bookmarkStart w:id="183" w:name="_Toc58406808"/>
      <w:bookmarkStart w:id="184" w:name="_Toc58406849"/>
      <w:bookmarkStart w:id="185" w:name="_Toc58413204"/>
      <w:bookmarkStart w:id="186" w:name="_Toc58417022"/>
      <w:bookmarkStart w:id="187" w:name="_Toc58419934"/>
      <w:bookmarkStart w:id="188" w:name="_Toc58419997"/>
      <w:bookmarkStart w:id="189" w:name="_Toc58420059"/>
      <w:bookmarkStart w:id="190" w:name="_Toc58445228"/>
      <w:bookmarkStart w:id="191" w:name="_Toc58445292"/>
      <w:bookmarkStart w:id="192" w:name="_Toc58445403"/>
      <w:bookmarkStart w:id="193" w:name="_Toc58447046"/>
      <w:bookmarkStart w:id="194" w:name="_Toc58667700"/>
      <w:bookmarkStart w:id="195" w:name="_Toc58669865"/>
      <w:bookmarkStart w:id="196" w:name="_Toc58670484"/>
      <w:bookmarkStart w:id="197" w:name="_Toc58670558"/>
      <w:bookmarkStart w:id="198" w:name="_Toc58670638"/>
      <w:bookmarkStart w:id="199" w:name="_Toc58671706"/>
      <w:bookmarkStart w:id="200" w:name="_Toc58672172"/>
      <w:bookmarkStart w:id="201" w:name="_Toc58674252"/>
      <w:bookmarkStart w:id="202" w:name="_Toc58674988"/>
      <w:bookmarkStart w:id="203" w:name="_Toc58675876"/>
      <w:bookmarkStart w:id="204" w:name="_Toc63232617"/>
      <w:bookmarkStart w:id="205" w:name="_Toc6323321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8FE1DDF" w14:textId="77777777" w:rsidR="00205D2C" w:rsidRPr="0001795E" w:rsidRDefault="00205D2C" w:rsidP="00514550">
      <w:pPr>
        <w:pStyle w:val="Paragraphedeliste"/>
        <w:numPr>
          <w:ilvl w:val="1"/>
          <w:numId w:val="6"/>
        </w:numPr>
        <w:contextualSpacing w:val="0"/>
        <w:outlineLvl w:val="2"/>
        <w:rPr>
          <w:rFonts w:eastAsiaTheme="majorEastAsia" w:cstheme="majorBidi"/>
          <w:b/>
          <w:vanish/>
          <w:color w:val="002060"/>
          <w:szCs w:val="24"/>
        </w:rPr>
      </w:pPr>
      <w:bookmarkStart w:id="206" w:name="_Toc58406809"/>
      <w:bookmarkStart w:id="207" w:name="_Toc58406850"/>
      <w:bookmarkStart w:id="208" w:name="_Toc58413205"/>
      <w:bookmarkStart w:id="209" w:name="_Toc58417023"/>
      <w:bookmarkStart w:id="210" w:name="_Toc58419935"/>
      <w:bookmarkStart w:id="211" w:name="_Toc58419998"/>
      <w:bookmarkStart w:id="212" w:name="_Toc58420060"/>
      <w:bookmarkStart w:id="213" w:name="_Toc58445229"/>
      <w:bookmarkStart w:id="214" w:name="_Toc58445293"/>
      <w:bookmarkStart w:id="215" w:name="_Toc58445404"/>
      <w:bookmarkStart w:id="216" w:name="_Toc58447047"/>
      <w:bookmarkStart w:id="217" w:name="_Toc58667701"/>
      <w:bookmarkStart w:id="218" w:name="_Toc58669866"/>
      <w:bookmarkStart w:id="219" w:name="_Toc58670485"/>
      <w:bookmarkStart w:id="220" w:name="_Toc58670559"/>
      <w:bookmarkStart w:id="221" w:name="_Toc58670639"/>
      <w:bookmarkStart w:id="222" w:name="_Toc58671707"/>
      <w:bookmarkStart w:id="223" w:name="_Toc58672173"/>
      <w:bookmarkStart w:id="224" w:name="_Toc58674253"/>
      <w:bookmarkStart w:id="225" w:name="_Toc58674989"/>
      <w:bookmarkStart w:id="226" w:name="_Toc58675877"/>
      <w:bookmarkStart w:id="227" w:name="_Toc63232618"/>
      <w:bookmarkStart w:id="228" w:name="_Toc63233212"/>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3AE99112" w14:textId="131A53B6" w:rsidR="00793A34" w:rsidRPr="00EC6337" w:rsidRDefault="00793A34" w:rsidP="00460F99">
      <w:pPr>
        <w:pStyle w:val="Titre4"/>
        <w:numPr>
          <w:ilvl w:val="0"/>
          <w:numId w:val="19"/>
        </w:numPr>
        <w:ind w:left="284" w:hanging="284"/>
        <w:rPr>
          <w:rFonts w:ascii="Maiandra GD" w:hAnsi="Maiandra GD"/>
          <w:b/>
          <w:bCs/>
          <w:i w:val="0"/>
          <w:iCs w:val="0"/>
          <w:color w:val="002060"/>
        </w:rPr>
      </w:pPr>
      <w:r w:rsidRPr="00EC6337">
        <w:rPr>
          <w:rFonts w:ascii="Maiandra GD" w:hAnsi="Maiandra GD"/>
          <w:b/>
          <w:bCs/>
          <w:i w:val="0"/>
          <w:iCs w:val="0"/>
          <w:color w:val="002060"/>
        </w:rPr>
        <w:t>Comité préfectoral de développement</w:t>
      </w:r>
    </w:p>
    <w:p w14:paraId="2D6F2AD8" w14:textId="1B599929" w:rsidR="00793A34" w:rsidRPr="0001795E" w:rsidRDefault="00793A34" w:rsidP="0016106A">
      <w:pPr>
        <w:rPr>
          <w:rFonts w:eastAsia="Times New Roman" w:cs="Arial"/>
          <w:bCs/>
          <w:szCs w:val="24"/>
          <w:lang w:eastAsia="fr-FR"/>
        </w:rPr>
      </w:pPr>
      <w:r w:rsidRPr="0001795E">
        <w:rPr>
          <w:rFonts w:eastAsia="Times New Roman" w:cs="Arial"/>
          <w:szCs w:val="24"/>
          <w:lang w:eastAsia="fr-FR"/>
        </w:rPr>
        <w:t xml:space="preserve">Sur un échantillon de 16 districts enquêtés, 56% ont un </w:t>
      </w:r>
      <w:r w:rsidR="00305FA2" w:rsidRPr="0001795E">
        <w:rPr>
          <w:rFonts w:eastAsia="Times New Roman" w:cs="Arial"/>
          <w:szCs w:val="24"/>
          <w:lang w:eastAsia="fr-FR"/>
        </w:rPr>
        <w:t xml:space="preserve">comité </w:t>
      </w:r>
      <w:r w:rsidRPr="0001795E">
        <w:rPr>
          <w:rFonts w:eastAsia="Times New Roman" w:cs="Arial"/>
          <w:szCs w:val="24"/>
          <w:lang w:eastAsia="fr-FR"/>
        </w:rPr>
        <w:t xml:space="preserve">préfectoral de développement ; 50% possèdent des directives régissant leur fonctionnement soit 89% des structures existantes ; 56% tiennent les réunions statutaires et 56% </w:t>
      </w:r>
      <w:r w:rsidR="00305FA2" w:rsidRPr="0001795E">
        <w:rPr>
          <w:rFonts w:eastAsia="Times New Roman" w:cs="Arial"/>
          <w:szCs w:val="24"/>
          <w:lang w:eastAsia="fr-FR"/>
        </w:rPr>
        <w:t>s</w:t>
      </w:r>
      <w:r w:rsidRPr="0001795E">
        <w:rPr>
          <w:rFonts w:eastAsia="Times New Roman" w:cs="Arial"/>
          <w:szCs w:val="24"/>
          <w:lang w:eastAsia="fr-FR"/>
        </w:rPr>
        <w:t xml:space="preserve">ont </w:t>
      </w:r>
      <w:r w:rsidRPr="0001795E">
        <w:rPr>
          <w:rFonts w:eastAsia="Times New Roman" w:cs="Arial"/>
          <w:bCs/>
          <w:szCs w:val="24"/>
          <w:lang w:eastAsia="fr-FR"/>
        </w:rPr>
        <w:t>des cadres de prise de décisions.</w:t>
      </w:r>
    </w:p>
    <w:p w14:paraId="1CCB6900" w14:textId="711028D9" w:rsidR="00793A34" w:rsidRPr="0001795E" w:rsidRDefault="00305FA2" w:rsidP="0016106A">
      <w:pPr>
        <w:rPr>
          <w:rFonts w:eastAsia="Times New Roman" w:cs="Arial"/>
          <w:b/>
          <w:bCs/>
          <w:szCs w:val="24"/>
          <w:lang w:eastAsia="fr-FR"/>
        </w:rPr>
      </w:pPr>
      <w:r w:rsidRPr="0001795E">
        <w:rPr>
          <w:rFonts w:eastAsia="Times New Roman" w:cs="Arial"/>
          <w:szCs w:val="24"/>
          <w:lang w:eastAsia="fr-FR"/>
        </w:rPr>
        <w:t>Selon les réponses fournies par les personnes enquêtées, l</w:t>
      </w:r>
      <w:r w:rsidR="00793A34" w:rsidRPr="0001795E">
        <w:rPr>
          <w:rFonts w:eastAsia="Times New Roman" w:cs="Arial"/>
          <w:bCs/>
          <w:szCs w:val="24"/>
          <w:lang w:eastAsia="fr-FR"/>
        </w:rPr>
        <w:t xml:space="preserve">es </w:t>
      </w:r>
      <w:r w:rsidRPr="0001795E">
        <w:rPr>
          <w:rFonts w:eastAsia="Times New Roman" w:cs="Arial"/>
          <w:bCs/>
          <w:szCs w:val="24"/>
          <w:lang w:eastAsia="fr-FR"/>
        </w:rPr>
        <w:t xml:space="preserve">administrations des </w:t>
      </w:r>
      <w:r w:rsidR="00793A34" w:rsidRPr="0001795E">
        <w:rPr>
          <w:rFonts w:eastAsia="Times New Roman" w:cs="Arial"/>
          <w:bCs/>
          <w:szCs w:val="24"/>
          <w:lang w:eastAsia="fr-FR"/>
        </w:rPr>
        <w:t xml:space="preserve">districts de </w:t>
      </w:r>
      <w:r w:rsidR="00793A34" w:rsidRPr="0001795E">
        <w:rPr>
          <w:rFonts w:eastAsia="Times New Roman" w:cs="Arial"/>
          <w:szCs w:val="24"/>
          <w:lang w:eastAsia="fr-FR"/>
        </w:rPr>
        <w:t xml:space="preserve">Ratoma, Matam, Kérouané, Mamou, </w:t>
      </w:r>
      <w:proofErr w:type="spellStart"/>
      <w:r w:rsidR="00793A34" w:rsidRPr="0001795E">
        <w:rPr>
          <w:rFonts w:eastAsia="Times New Roman" w:cs="Arial"/>
          <w:szCs w:val="24"/>
          <w:lang w:eastAsia="fr-FR"/>
        </w:rPr>
        <w:t>Dalaba</w:t>
      </w:r>
      <w:proofErr w:type="spellEnd"/>
      <w:r w:rsidR="00793A34" w:rsidRPr="0001795E">
        <w:rPr>
          <w:rFonts w:eastAsia="Times New Roman" w:cs="Arial"/>
          <w:szCs w:val="24"/>
          <w:lang w:eastAsia="fr-FR"/>
        </w:rPr>
        <w:t xml:space="preserve"> et </w:t>
      </w:r>
      <w:proofErr w:type="spellStart"/>
      <w:r w:rsidR="00793A34" w:rsidRPr="0001795E">
        <w:rPr>
          <w:rFonts w:eastAsia="Times New Roman" w:cs="Arial"/>
          <w:szCs w:val="24"/>
          <w:lang w:eastAsia="fr-FR"/>
        </w:rPr>
        <w:t>Gu</w:t>
      </w:r>
      <w:r w:rsidRPr="0001795E">
        <w:rPr>
          <w:rFonts w:eastAsia="Times New Roman" w:cs="Arial"/>
          <w:szCs w:val="24"/>
          <w:lang w:eastAsia="fr-FR"/>
        </w:rPr>
        <w:t>e</w:t>
      </w:r>
      <w:r w:rsidR="00793A34" w:rsidRPr="0001795E">
        <w:rPr>
          <w:rFonts w:eastAsia="Times New Roman" w:cs="Arial"/>
          <w:szCs w:val="24"/>
          <w:lang w:eastAsia="fr-FR"/>
        </w:rPr>
        <w:t>ckédou</w:t>
      </w:r>
      <w:proofErr w:type="spellEnd"/>
      <w:r w:rsidR="00793A34" w:rsidRPr="0001795E">
        <w:rPr>
          <w:rFonts w:eastAsia="Times New Roman" w:cs="Arial"/>
          <w:bCs/>
          <w:szCs w:val="24"/>
          <w:lang w:eastAsia="fr-FR"/>
        </w:rPr>
        <w:t xml:space="preserve"> ne dispos</w:t>
      </w:r>
      <w:r w:rsidRPr="0001795E">
        <w:rPr>
          <w:rFonts w:eastAsia="Times New Roman" w:cs="Arial"/>
          <w:bCs/>
          <w:szCs w:val="24"/>
          <w:lang w:eastAsia="fr-FR"/>
        </w:rPr>
        <w:t>eraie</w:t>
      </w:r>
      <w:r w:rsidR="00793A34" w:rsidRPr="0001795E">
        <w:rPr>
          <w:rFonts w:eastAsia="Times New Roman" w:cs="Arial"/>
          <w:bCs/>
          <w:szCs w:val="24"/>
          <w:lang w:eastAsia="fr-FR"/>
        </w:rPr>
        <w:t xml:space="preserve">nt pas de </w:t>
      </w:r>
      <w:r w:rsidR="00793A34" w:rsidRPr="0001795E">
        <w:rPr>
          <w:rFonts w:eastAsia="Times New Roman" w:cs="Arial"/>
          <w:szCs w:val="24"/>
          <w:lang w:eastAsia="fr-FR"/>
        </w:rPr>
        <w:t>Comité préfectoral de développement</w:t>
      </w:r>
      <w:r w:rsidR="006D104E" w:rsidRPr="0001795E">
        <w:rPr>
          <w:rFonts w:eastAsia="Times New Roman" w:cs="Arial"/>
          <w:szCs w:val="24"/>
          <w:lang w:eastAsia="fr-FR"/>
        </w:rPr>
        <w:t>.</w:t>
      </w:r>
    </w:p>
    <w:p w14:paraId="4287F83F" w14:textId="1583B644" w:rsidR="00793A34" w:rsidRPr="00094069" w:rsidRDefault="00793A34" w:rsidP="00460F99">
      <w:pPr>
        <w:pStyle w:val="Titre4"/>
        <w:numPr>
          <w:ilvl w:val="0"/>
          <w:numId w:val="19"/>
        </w:numPr>
        <w:ind w:left="284" w:hanging="284"/>
        <w:rPr>
          <w:rFonts w:ascii="Maiandra GD" w:hAnsi="Maiandra GD"/>
          <w:b/>
          <w:bCs/>
          <w:i w:val="0"/>
          <w:iCs w:val="0"/>
          <w:color w:val="002060"/>
        </w:rPr>
      </w:pPr>
      <w:r w:rsidRPr="00094069">
        <w:rPr>
          <w:rFonts w:ascii="Maiandra GD" w:hAnsi="Maiandra GD"/>
          <w:b/>
          <w:bCs/>
          <w:i w:val="0"/>
          <w:iCs w:val="0"/>
          <w:color w:val="002060"/>
        </w:rPr>
        <w:t xml:space="preserve">Comité préfectoral de coordination du secteur de la santé </w:t>
      </w:r>
    </w:p>
    <w:p w14:paraId="754B5B28" w14:textId="5BB0F601" w:rsidR="00793A34" w:rsidRPr="0001795E" w:rsidRDefault="00793A34" w:rsidP="0016106A">
      <w:pPr>
        <w:rPr>
          <w:rFonts w:eastAsia="Times New Roman" w:cs="Arial"/>
          <w:bCs/>
          <w:szCs w:val="24"/>
          <w:lang w:eastAsia="fr-FR"/>
        </w:rPr>
      </w:pPr>
      <w:r w:rsidRPr="0001795E">
        <w:rPr>
          <w:rFonts w:eastAsia="Times New Roman" w:cs="Arial"/>
          <w:bCs/>
          <w:szCs w:val="24"/>
          <w:lang w:eastAsia="fr-FR"/>
        </w:rPr>
        <w:t>Cette structure de coordination du secteur de la santé existe dans 100% des districts enquêtés parmi lesquels 81% ont des directives régissant leur fonctionnement</w:t>
      </w:r>
      <w:r w:rsidR="002B79BF" w:rsidRPr="0001795E">
        <w:rPr>
          <w:rFonts w:eastAsia="Times New Roman" w:cs="Arial"/>
          <w:bCs/>
          <w:szCs w:val="24"/>
          <w:lang w:eastAsia="fr-FR"/>
        </w:rPr>
        <w:t xml:space="preserve"> et</w:t>
      </w:r>
      <w:r w:rsidRPr="0001795E">
        <w:rPr>
          <w:rFonts w:eastAsia="Times New Roman" w:cs="Arial"/>
          <w:bCs/>
          <w:szCs w:val="24"/>
          <w:lang w:eastAsia="fr-FR"/>
        </w:rPr>
        <w:t xml:space="preserve"> 75% tiennent des réunions statutaires.</w:t>
      </w:r>
      <w:r w:rsidRPr="0001795E">
        <w:rPr>
          <w:rFonts w:eastAsia="Times New Roman" w:cs="Arial"/>
          <w:bCs/>
          <w:szCs w:val="24"/>
          <w:lang w:eastAsia="fr-FR"/>
        </w:rPr>
        <w:tab/>
        <w:t xml:space="preserve">Le cadre de prise de décision existe dans 94% des districts selon les réponses fournies par les personnes enquêtées. </w:t>
      </w:r>
    </w:p>
    <w:p w14:paraId="66F4F84D" w14:textId="0E5EF466" w:rsidR="00793A34" w:rsidRPr="0001795E" w:rsidRDefault="00793A34" w:rsidP="0016106A">
      <w:pPr>
        <w:rPr>
          <w:rFonts w:eastAsia="Times New Roman" w:cs="Arial"/>
          <w:bCs/>
          <w:szCs w:val="24"/>
          <w:lang w:eastAsia="fr-FR"/>
        </w:rPr>
      </w:pPr>
      <w:r w:rsidRPr="0001795E">
        <w:rPr>
          <w:rFonts w:eastAsia="Times New Roman" w:cs="Arial"/>
          <w:bCs/>
          <w:szCs w:val="24"/>
          <w:lang w:eastAsia="fr-FR"/>
        </w:rPr>
        <w:t>Bien que le comité existe dans toutes les structures enquêtées, l’absence de directives régissant son fonctionnement a été notée par endroit</w:t>
      </w:r>
      <w:r w:rsidR="002B79BF" w:rsidRPr="0001795E">
        <w:rPr>
          <w:rFonts w:eastAsia="Times New Roman" w:cs="Arial"/>
          <w:bCs/>
          <w:szCs w:val="24"/>
          <w:lang w:eastAsia="fr-FR"/>
        </w:rPr>
        <w:t>s</w:t>
      </w:r>
      <w:r w:rsidRPr="0001795E">
        <w:rPr>
          <w:rFonts w:eastAsia="Times New Roman" w:cs="Arial"/>
          <w:bCs/>
          <w:szCs w:val="24"/>
          <w:lang w:eastAsia="fr-FR"/>
        </w:rPr>
        <w:t xml:space="preserve">. </w:t>
      </w:r>
    </w:p>
    <w:p w14:paraId="4FFCB4A0" w14:textId="729DC911" w:rsidR="00793A34" w:rsidRPr="0001795E" w:rsidRDefault="00793A34" w:rsidP="00460F99">
      <w:pPr>
        <w:pStyle w:val="Titre4"/>
        <w:numPr>
          <w:ilvl w:val="0"/>
          <w:numId w:val="19"/>
        </w:numPr>
        <w:ind w:left="284" w:hanging="284"/>
        <w:rPr>
          <w:rFonts w:ascii="Maiandra GD" w:hAnsi="Maiandra GD"/>
          <w:b/>
          <w:bCs/>
          <w:i w:val="0"/>
          <w:iCs w:val="0"/>
          <w:color w:val="002060"/>
        </w:rPr>
      </w:pPr>
      <w:proofErr w:type="spellStart"/>
      <w:r w:rsidRPr="0001795E">
        <w:rPr>
          <w:rFonts w:ascii="Maiandra GD" w:hAnsi="Maiandra GD"/>
          <w:b/>
          <w:bCs/>
          <w:i w:val="0"/>
          <w:iCs w:val="0"/>
          <w:color w:val="002060"/>
        </w:rPr>
        <w:t>Equipe</w:t>
      </w:r>
      <w:proofErr w:type="spellEnd"/>
      <w:r w:rsidRPr="0001795E">
        <w:rPr>
          <w:rFonts w:ascii="Maiandra GD" w:hAnsi="Maiandra GD"/>
          <w:b/>
          <w:bCs/>
          <w:i w:val="0"/>
          <w:iCs w:val="0"/>
          <w:color w:val="002060"/>
        </w:rPr>
        <w:t xml:space="preserve"> de gestion sanitaire de district</w:t>
      </w:r>
    </w:p>
    <w:p w14:paraId="3623769F" w14:textId="77777777" w:rsidR="00B678C5" w:rsidRPr="0001795E" w:rsidRDefault="00793A34" w:rsidP="0016106A">
      <w:pPr>
        <w:rPr>
          <w:rFonts w:eastAsia="Times New Roman" w:cs="Arial"/>
          <w:bCs/>
          <w:szCs w:val="24"/>
          <w:lang w:eastAsia="fr-FR"/>
        </w:rPr>
      </w:pPr>
      <w:r w:rsidRPr="0001795E">
        <w:rPr>
          <w:rFonts w:eastAsia="Times New Roman" w:cs="Arial"/>
          <w:bCs/>
          <w:szCs w:val="24"/>
          <w:lang w:eastAsia="fr-FR"/>
        </w:rPr>
        <w:t>La totalité des districts enquêtés (100%) dispose des équipes de gestion sanitaire de district dont 88% possèdent des directives régissant leur fonctionnement. La tenue des réunions statutaires a été notifiée dans 94% des structures et le cadre de prise de décision existe dans 94% des districts.</w:t>
      </w:r>
    </w:p>
    <w:p w14:paraId="6F26A5A8" w14:textId="0A794338" w:rsidR="003E5E52" w:rsidRPr="0001795E" w:rsidRDefault="00556BB3" w:rsidP="00A41318">
      <w:pPr>
        <w:pStyle w:val="Titre3"/>
        <w:numPr>
          <w:ilvl w:val="2"/>
          <w:numId w:val="8"/>
        </w:numPr>
      </w:pPr>
      <w:r>
        <w:t xml:space="preserve"> </w:t>
      </w:r>
      <w:bookmarkStart w:id="229" w:name="_Toc63233213"/>
      <w:r w:rsidR="00FC0655" w:rsidRPr="0001795E">
        <w:t>Processus gestionnaires</w:t>
      </w:r>
      <w:bookmarkEnd w:id="229"/>
    </w:p>
    <w:p w14:paraId="4AD8759B" w14:textId="77777777" w:rsidR="00332E05" w:rsidRPr="0001795E" w:rsidRDefault="00332E05" w:rsidP="00514550">
      <w:pPr>
        <w:pStyle w:val="Paragraphedeliste"/>
        <w:numPr>
          <w:ilvl w:val="1"/>
          <w:numId w:val="6"/>
        </w:numPr>
        <w:contextualSpacing w:val="0"/>
        <w:outlineLvl w:val="2"/>
        <w:rPr>
          <w:rFonts w:eastAsiaTheme="majorEastAsia" w:cstheme="majorBidi"/>
          <w:b/>
          <w:vanish/>
          <w:color w:val="002060"/>
          <w:szCs w:val="24"/>
        </w:rPr>
      </w:pPr>
      <w:bookmarkStart w:id="230" w:name="_Toc58406811"/>
      <w:bookmarkStart w:id="231" w:name="_Toc58406852"/>
      <w:bookmarkStart w:id="232" w:name="_Toc58413207"/>
      <w:bookmarkStart w:id="233" w:name="_Toc58417025"/>
      <w:bookmarkStart w:id="234" w:name="_Toc58419939"/>
      <w:bookmarkStart w:id="235" w:name="_Toc58420002"/>
      <w:bookmarkStart w:id="236" w:name="_Toc58420064"/>
      <w:bookmarkStart w:id="237" w:name="_Toc58445233"/>
      <w:bookmarkStart w:id="238" w:name="_Toc58445297"/>
      <w:bookmarkStart w:id="239" w:name="_Toc58445408"/>
      <w:bookmarkStart w:id="240" w:name="_Toc58447051"/>
      <w:bookmarkStart w:id="241" w:name="_Toc58667703"/>
      <w:bookmarkStart w:id="242" w:name="_Toc58669868"/>
      <w:bookmarkStart w:id="243" w:name="_Toc58670487"/>
      <w:bookmarkStart w:id="244" w:name="_Toc58670561"/>
      <w:bookmarkStart w:id="245" w:name="_Toc58670641"/>
      <w:bookmarkStart w:id="246" w:name="_Toc58671709"/>
      <w:bookmarkStart w:id="247" w:name="_Toc58672175"/>
      <w:bookmarkStart w:id="248" w:name="_Toc58674255"/>
      <w:bookmarkStart w:id="249" w:name="_Toc58674991"/>
      <w:bookmarkStart w:id="250" w:name="_Toc58675879"/>
      <w:bookmarkStart w:id="251" w:name="_Toc63232620"/>
      <w:bookmarkStart w:id="252" w:name="_Toc63233214"/>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09B2D29" w14:textId="0E32D942" w:rsidR="00180ACE" w:rsidRPr="0001795E" w:rsidRDefault="00180ACE" w:rsidP="00CC0D7E">
      <w:pPr>
        <w:rPr>
          <w:rFonts w:eastAsia="Times New Roman" w:cs="Arial"/>
          <w:bCs/>
          <w:lang w:eastAsia="fr-FR"/>
        </w:rPr>
      </w:pPr>
      <w:r w:rsidRPr="0001795E">
        <w:rPr>
          <w:rFonts w:eastAsia="Times New Roman" w:cs="Arial"/>
          <w:bCs/>
          <w:lang w:eastAsia="fr-FR"/>
        </w:rPr>
        <w:t xml:space="preserve">La totalité des districts sanitaires enquêtés disposent </w:t>
      </w:r>
      <w:r w:rsidR="00150261" w:rsidRPr="0001795E">
        <w:rPr>
          <w:rFonts w:eastAsia="Times New Roman" w:cs="Arial"/>
          <w:bCs/>
          <w:lang w:eastAsia="fr-FR"/>
        </w:rPr>
        <w:t xml:space="preserve">chacun </w:t>
      </w:r>
      <w:r w:rsidRPr="0001795E">
        <w:rPr>
          <w:rFonts w:eastAsia="Times New Roman" w:cs="Arial"/>
          <w:bCs/>
          <w:lang w:eastAsia="fr-FR"/>
        </w:rPr>
        <w:t>d</w:t>
      </w:r>
      <w:r w:rsidR="00150261" w:rsidRPr="0001795E">
        <w:rPr>
          <w:rFonts w:eastAsia="Times New Roman" w:cs="Arial"/>
          <w:bCs/>
          <w:lang w:eastAsia="fr-FR"/>
        </w:rPr>
        <w:t>’un plan</w:t>
      </w:r>
      <w:r w:rsidRPr="0001795E">
        <w:rPr>
          <w:rFonts w:eastAsia="Times New Roman" w:cs="Arial"/>
          <w:bCs/>
          <w:lang w:eastAsia="fr-FR"/>
        </w:rPr>
        <w:t xml:space="preserve"> d’action opérationnel qui </w:t>
      </w:r>
      <w:r w:rsidR="00150261" w:rsidRPr="0001795E">
        <w:rPr>
          <w:rFonts w:eastAsia="Times New Roman" w:cs="Arial"/>
          <w:bCs/>
          <w:lang w:eastAsia="fr-FR"/>
        </w:rPr>
        <w:t>e</w:t>
      </w:r>
      <w:r w:rsidRPr="0001795E">
        <w:rPr>
          <w:rFonts w:eastAsia="Times New Roman" w:cs="Arial"/>
          <w:bCs/>
          <w:lang w:eastAsia="fr-FR"/>
        </w:rPr>
        <w:t>st mis en œuvre.</w:t>
      </w:r>
    </w:p>
    <w:p w14:paraId="5C203E1B" w14:textId="7443F7B7" w:rsidR="00180ACE" w:rsidRPr="0001795E" w:rsidRDefault="00180ACE" w:rsidP="00CC0D7E">
      <w:pPr>
        <w:rPr>
          <w:rFonts w:eastAsia="Times New Roman" w:cs="Arial"/>
          <w:bCs/>
          <w:lang w:eastAsia="fr-FR"/>
        </w:rPr>
      </w:pPr>
      <w:r w:rsidRPr="0001795E">
        <w:rPr>
          <w:rFonts w:eastAsia="Times New Roman" w:cs="Arial"/>
          <w:bCs/>
          <w:lang w:eastAsia="fr-FR"/>
        </w:rPr>
        <w:t xml:space="preserve">Si les agents de santé ont été impliqués à 100%, la participation du comité préfectoral </w:t>
      </w:r>
      <w:r w:rsidR="00150261" w:rsidRPr="0001795E">
        <w:rPr>
          <w:rFonts w:eastAsia="Times New Roman" w:cs="Arial"/>
          <w:bCs/>
          <w:lang w:eastAsia="fr-FR"/>
        </w:rPr>
        <w:t xml:space="preserve">de </w:t>
      </w:r>
      <w:r w:rsidRPr="0001795E">
        <w:rPr>
          <w:rFonts w:eastAsia="Times New Roman" w:cs="Arial"/>
          <w:bCs/>
          <w:lang w:eastAsia="fr-FR"/>
        </w:rPr>
        <w:t>C</w:t>
      </w:r>
      <w:r w:rsidR="00150261" w:rsidRPr="0001795E">
        <w:rPr>
          <w:rFonts w:eastAsia="Times New Roman" w:cs="Arial"/>
          <w:bCs/>
          <w:lang w:eastAsia="fr-FR"/>
        </w:rPr>
        <w:t xml:space="preserve">oordination du </w:t>
      </w:r>
      <w:r w:rsidRPr="0001795E">
        <w:rPr>
          <w:rFonts w:eastAsia="Times New Roman" w:cs="Arial"/>
          <w:bCs/>
          <w:lang w:eastAsia="fr-FR"/>
        </w:rPr>
        <w:t>S</w:t>
      </w:r>
      <w:r w:rsidR="00150261" w:rsidRPr="0001795E">
        <w:rPr>
          <w:rFonts w:eastAsia="Times New Roman" w:cs="Arial"/>
          <w:bCs/>
          <w:lang w:eastAsia="fr-FR"/>
        </w:rPr>
        <w:t xml:space="preserve">ecteur de la santé </w:t>
      </w:r>
      <w:r w:rsidRPr="0001795E">
        <w:rPr>
          <w:rFonts w:eastAsia="Times New Roman" w:cs="Arial"/>
          <w:bCs/>
          <w:lang w:eastAsia="fr-FR"/>
        </w:rPr>
        <w:t xml:space="preserve">et les ONG n’a été que de 75% </w:t>
      </w:r>
      <w:r w:rsidRPr="003511F9">
        <w:rPr>
          <w:rFonts w:eastAsia="Times New Roman" w:cs="Arial"/>
          <w:bCs/>
          <w:lang w:eastAsia="fr-FR"/>
        </w:rPr>
        <w:t>respectivement</w:t>
      </w:r>
      <w:r w:rsidRPr="0001795E">
        <w:rPr>
          <w:rFonts w:eastAsia="Times New Roman" w:cs="Arial"/>
          <w:bCs/>
          <w:lang w:eastAsia="fr-FR"/>
        </w:rPr>
        <w:t xml:space="preserve">, celle du comité préfectoral de développement des collectivités locales et des </w:t>
      </w:r>
      <w:proofErr w:type="spellStart"/>
      <w:r w:rsidRPr="0001795E">
        <w:rPr>
          <w:rFonts w:eastAsia="Times New Roman" w:cs="Arial"/>
          <w:bCs/>
          <w:lang w:eastAsia="fr-FR"/>
        </w:rPr>
        <w:t>PTF</w:t>
      </w:r>
      <w:proofErr w:type="spellEnd"/>
      <w:r w:rsidRPr="0001795E">
        <w:rPr>
          <w:rFonts w:eastAsia="Times New Roman" w:cs="Arial"/>
          <w:bCs/>
          <w:lang w:eastAsia="fr-FR"/>
        </w:rPr>
        <w:t xml:space="preserve"> de 81% et les représentants des FOSA </w:t>
      </w:r>
      <w:r w:rsidR="00FF41D8" w:rsidRPr="0001795E">
        <w:rPr>
          <w:rFonts w:eastAsia="Times New Roman" w:cs="Arial"/>
          <w:bCs/>
          <w:lang w:eastAsia="fr-FR"/>
        </w:rPr>
        <w:t>non-</w:t>
      </w:r>
      <w:r w:rsidRPr="0001795E">
        <w:rPr>
          <w:rFonts w:eastAsia="Times New Roman" w:cs="Arial"/>
          <w:bCs/>
          <w:lang w:eastAsia="fr-FR"/>
        </w:rPr>
        <w:t>publique</w:t>
      </w:r>
      <w:r w:rsidR="00FF41D8" w:rsidRPr="0001795E">
        <w:rPr>
          <w:rFonts w:eastAsia="Times New Roman" w:cs="Arial"/>
          <w:bCs/>
          <w:lang w:eastAsia="fr-FR"/>
        </w:rPr>
        <w:t>s</w:t>
      </w:r>
      <w:r w:rsidRPr="0001795E">
        <w:rPr>
          <w:rFonts w:eastAsia="Times New Roman" w:cs="Arial"/>
          <w:bCs/>
          <w:lang w:eastAsia="fr-FR"/>
        </w:rPr>
        <w:t xml:space="preserve"> de 69%.</w:t>
      </w:r>
    </w:p>
    <w:p w14:paraId="5BFB8533" w14:textId="77777777" w:rsidR="00180ACE" w:rsidRPr="0001795E" w:rsidRDefault="00180ACE" w:rsidP="00CC0D7E">
      <w:pPr>
        <w:rPr>
          <w:rFonts w:eastAsia="Times New Roman" w:cs="Arial"/>
          <w:bCs/>
          <w:lang w:eastAsia="fr-FR"/>
        </w:rPr>
      </w:pPr>
      <w:r w:rsidRPr="0001795E">
        <w:rPr>
          <w:rFonts w:eastAsia="Times New Roman" w:cs="Arial"/>
          <w:bCs/>
          <w:lang w:eastAsia="fr-FR"/>
        </w:rPr>
        <w:t xml:space="preserve">Dans le processus d’élaboration et de mise en œuvre, le ministère de la santé a contribué par la mise à disposition des outils, la formation de l’équipe cadre sur l’élaboration des plans, l’allocation des budgets pour le processus d’élaboration et la validation des plans élaborés. L’implication des acteurs dans le processus n’a pas été totale à tous les niveaux. </w:t>
      </w:r>
    </w:p>
    <w:p w14:paraId="5B31D057" w14:textId="77777777" w:rsidR="00180ACE" w:rsidRPr="0001795E" w:rsidRDefault="00180ACE" w:rsidP="00514550">
      <w:pPr>
        <w:pStyle w:val="Paragraphedeliste"/>
        <w:numPr>
          <w:ilvl w:val="0"/>
          <w:numId w:val="1"/>
        </w:numPr>
        <w:shd w:val="clear" w:color="auto" w:fill="FFE599" w:themeFill="accent4" w:themeFillTint="66"/>
        <w:spacing w:before="0" w:after="0" w:line="240" w:lineRule="auto"/>
        <w:ind w:left="357" w:hanging="357"/>
        <w:rPr>
          <w:rFonts w:eastAsia="Times New Roman" w:cs="Arial"/>
          <w:bCs/>
          <w:lang w:eastAsia="fr-FR"/>
        </w:rPr>
      </w:pPr>
      <w:r w:rsidRPr="0001795E">
        <w:rPr>
          <w:rFonts w:eastAsia="Times New Roman" w:cs="Arial"/>
          <w:bCs/>
          <w:lang w:eastAsia="fr-FR"/>
        </w:rPr>
        <w:t>Réformes du secteur de la santé</w:t>
      </w:r>
      <w:r w:rsidRPr="0001795E">
        <w:rPr>
          <w:rFonts w:eastAsia="Times New Roman" w:cs="Arial"/>
          <w:bCs/>
          <w:lang w:eastAsia="fr-FR"/>
        </w:rPr>
        <w:tab/>
      </w:r>
    </w:p>
    <w:p w14:paraId="21127924" w14:textId="77777777" w:rsidR="00180ACE" w:rsidRPr="0001795E" w:rsidRDefault="00180ACE" w:rsidP="00514550">
      <w:pPr>
        <w:pStyle w:val="Paragraphedeliste"/>
        <w:numPr>
          <w:ilvl w:val="0"/>
          <w:numId w:val="1"/>
        </w:numPr>
        <w:shd w:val="clear" w:color="auto" w:fill="FFE599" w:themeFill="accent4" w:themeFillTint="66"/>
        <w:spacing w:before="0" w:after="0" w:line="240" w:lineRule="auto"/>
        <w:ind w:left="357" w:hanging="357"/>
        <w:rPr>
          <w:rFonts w:eastAsia="Times New Roman" w:cs="Arial"/>
          <w:bCs/>
          <w:lang w:eastAsia="fr-FR"/>
        </w:rPr>
      </w:pPr>
      <w:r w:rsidRPr="0001795E">
        <w:rPr>
          <w:rFonts w:eastAsia="Times New Roman" w:cs="Arial"/>
          <w:bCs/>
          <w:lang w:eastAsia="fr-FR"/>
        </w:rPr>
        <w:t>Collaboration avec d'autres acteurs du système de santé</w:t>
      </w:r>
      <w:r w:rsidRPr="0001795E">
        <w:rPr>
          <w:rFonts w:eastAsia="Times New Roman" w:cs="Arial"/>
          <w:bCs/>
          <w:lang w:eastAsia="fr-FR"/>
        </w:rPr>
        <w:tab/>
      </w:r>
    </w:p>
    <w:p w14:paraId="5CBE2441" w14:textId="77777777" w:rsidR="00180ACE" w:rsidRPr="0001795E" w:rsidRDefault="00180ACE" w:rsidP="00514550">
      <w:pPr>
        <w:pStyle w:val="Paragraphedeliste"/>
        <w:numPr>
          <w:ilvl w:val="0"/>
          <w:numId w:val="1"/>
        </w:numPr>
        <w:shd w:val="clear" w:color="auto" w:fill="FFE599" w:themeFill="accent4" w:themeFillTint="66"/>
        <w:spacing w:before="0" w:after="0" w:line="240" w:lineRule="auto"/>
        <w:ind w:left="357" w:hanging="357"/>
        <w:rPr>
          <w:rFonts w:eastAsia="Times New Roman" w:cs="Arial"/>
          <w:bCs/>
          <w:lang w:eastAsia="fr-FR"/>
        </w:rPr>
      </w:pPr>
      <w:r w:rsidRPr="0001795E">
        <w:rPr>
          <w:rFonts w:eastAsia="Times New Roman" w:cs="Arial"/>
          <w:bCs/>
          <w:lang w:eastAsia="fr-FR"/>
        </w:rPr>
        <w:t>Directives et normes</w:t>
      </w:r>
      <w:r w:rsidRPr="0001795E">
        <w:rPr>
          <w:rFonts w:eastAsia="Times New Roman" w:cs="Arial"/>
          <w:bCs/>
          <w:lang w:eastAsia="fr-FR"/>
        </w:rPr>
        <w:tab/>
      </w:r>
    </w:p>
    <w:p w14:paraId="0581CB13" w14:textId="77777777" w:rsidR="00180ACE" w:rsidRPr="0001795E" w:rsidRDefault="00180ACE" w:rsidP="00514550">
      <w:pPr>
        <w:pStyle w:val="Paragraphedeliste"/>
        <w:numPr>
          <w:ilvl w:val="0"/>
          <w:numId w:val="1"/>
        </w:numPr>
        <w:shd w:val="clear" w:color="auto" w:fill="FFE599" w:themeFill="accent4" w:themeFillTint="66"/>
        <w:spacing w:before="0" w:after="0" w:line="240" w:lineRule="auto"/>
        <w:ind w:left="357" w:hanging="357"/>
        <w:rPr>
          <w:rFonts w:eastAsia="Times New Roman" w:cs="Arial"/>
          <w:bCs/>
          <w:lang w:eastAsia="fr-FR"/>
        </w:rPr>
      </w:pPr>
      <w:r w:rsidRPr="0001795E">
        <w:rPr>
          <w:rFonts w:eastAsia="Times New Roman" w:cs="Arial"/>
          <w:bCs/>
          <w:lang w:eastAsia="fr-FR"/>
        </w:rPr>
        <w:t>Supervision et suivi</w:t>
      </w:r>
      <w:r w:rsidRPr="0001795E">
        <w:rPr>
          <w:rFonts w:eastAsia="Times New Roman" w:cs="Arial"/>
          <w:bCs/>
          <w:lang w:eastAsia="fr-FR"/>
        </w:rPr>
        <w:tab/>
      </w:r>
    </w:p>
    <w:p w14:paraId="5F585C3C" w14:textId="77777777" w:rsidR="00180ACE" w:rsidRPr="0001795E" w:rsidRDefault="00180ACE" w:rsidP="00514550">
      <w:pPr>
        <w:pStyle w:val="Paragraphedeliste"/>
        <w:numPr>
          <w:ilvl w:val="0"/>
          <w:numId w:val="1"/>
        </w:numPr>
        <w:shd w:val="clear" w:color="auto" w:fill="FFE599" w:themeFill="accent4" w:themeFillTint="66"/>
        <w:spacing w:before="0" w:after="0" w:line="240" w:lineRule="auto"/>
        <w:ind w:left="357" w:hanging="357"/>
        <w:rPr>
          <w:rFonts w:eastAsia="Times New Roman" w:cs="Arial"/>
          <w:bCs/>
          <w:lang w:eastAsia="fr-FR"/>
        </w:rPr>
      </w:pPr>
      <w:r w:rsidRPr="0001795E">
        <w:rPr>
          <w:rFonts w:eastAsia="Times New Roman" w:cs="Arial"/>
          <w:bCs/>
          <w:lang w:eastAsia="fr-FR"/>
        </w:rPr>
        <w:t>Gestion des médicaments</w:t>
      </w:r>
      <w:r w:rsidRPr="0001795E">
        <w:rPr>
          <w:rFonts w:eastAsia="Times New Roman" w:cs="Arial"/>
          <w:bCs/>
          <w:lang w:eastAsia="fr-FR"/>
        </w:rPr>
        <w:tab/>
      </w:r>
    </w:p>
    <w:p w14:paraId="5BD75CCF" w14:textId="77777777" w:rsidR="00180ACE" w:rsidRPr="0001795E" w:rsidRDefault="00180ACE" w:rsidP="00514550">
      <w:pPr>
        <w:pStyle w:val="Paragraphedeliste"/>
        <w:numPr>
          <w:ilvl w:val="0"/>
          <w:numId w:val="1"/>
        </w:numPr>
        <w:shd w:val="clear" w:color="auto" w:fill="FFE599" w:themeFill="accent4" w:themeFillTint="66"/>
        <w:spacing w:before="0" w:after="0" w:line="240" w:lineRule="auto"/>
        <w:ind w:left="357" w:hanging="357"/>
        <w:rPr>
          <w:rFonts w:eastAsia="Times New Roman" w:cs="Arial"/>
          <w:bCs/>
          <w:lang w:eastAsia="fr-FR"/>
        </w:rPr>
      </w:pPr>
      <w:r w:rsidRPr="0001795E">
        <w:rPr>
          <w:rFonts w:eastAsia="Times New Roman" w:cs="Arial"/>
          <w:bCs/>
          <w:lang w:eastAsia="fr-FR"/>
        </w:rPr>
        <w:t>Mécanismes de référence</w:t>
      </w:r>
      <w:r w:rsidRPr="0001795E">
        <w:rPr>
          <w:rFonts w:eastAsia="Times New Roman" w:cs="Arial"/>
          <w:bCs/>
          <w:lang w:eastAsia="fr-FR"/>
        </w:rPr>
        <w:tab/>
      </w:r>
    </w:p>
    <w:p w14:paraId="70106A6E" w14:textId="77777777" w:rsidR="00180ACE" w:rsidRPr="0001795E" w:rsidRDefault="00180ACE" w:rsidP="00514550">
      <w:pPr>
        <w:pStyle w:val="Paragraphedeliste"/>
        <w:numPr>
          <w:ilvl w:val="0"/>
          <w:numId w:val="1"/>
        </w:numPr>
        <w:shd w:val="clear" w:color="auto" w:fill="FFE599" w:themeFill="accent4" w:themeFillTint="66"/>
        <w:spacing w:before="0" w:after="0" w:line="240" w:lineRule="auto"/>
        <w:ind w:left="357" w:hanging="357"/>
        <w:rPr>
          <w:rFonts w:eastAsia="Times New Roman" w:cs="Arial"/>
          <w:b/>
          <w:bCs/>
          <w:lang w:eastAsia="fr-FR"/>
        </w:rPr>
      </w:pPr>
      <w:r w:rsidRPr="0001795E">
        <w:rPr>
          <w:rFonts w:eastAsia="Times New Roman" w:cs="Arial"/>
          <w:bCs/>
          <w:lang w:eastAsia="fr-FR"/>
        </w:rPr>
        <w:t>Système d'information pour la gestion sanitaire et la recherche</w:t>
      </w:r>
      <w:r w:rsidRPr="0001795E">
        <w:rPr>
          <w:rFonts w:eastAsia="Times New Roman" w:cs="Arial"/>
          <w:b/>
          <w:bCs/>
          <w:lang w:eastAsia="fr-FR"/>
        </w:rPr>
        <w:tab/>
      </w:r>
    </w:p>
    <w:p w14:paraId="1998105B" w14:textId="4DC8672E" w:rsidR="00180ACE" w:rsidRPr="0001795E" w:rsidRDefault="00406BAE" w:rsidP="00514550">
      <w:pPr>
        <w:pStyle w:val="Titre2"/>
        <w:numPr>
          <w:ilvl w:val="1"/>
          <w:numId w:val="8"/>
        </w:numPr>
        <w:tabs>
          <w:tab w:val="left" w:pos="284"/>
        </w:tabs>
        <w:rPr>
          <w:szCs w:val="24"/>
        </w:rPr>
      </w:pPr>
      <w:r w:rsidRPr="0001795E">
        <w:rPr>
          <w:szCs w:val="24"/>
        </w:rPr>
        <w:t xml:space="preserve"> </w:t>
      </w:r>
      <w:bookmarkStart w:id="253" w:name="_Toc63233215"/>
      <w:r w:rsidR="00180ACE" w:rsidRPr="0001795E">
        <w:rPr>
          <w:szCs w:val="24"/>
        </w:rPr>
        <w:t>Ressources et Activités de l’équipe cadre de district sanitaire</w:t>
      </w:r>
      <w:bookmarkEnd w:id="253"/>
    </w:p>
    <w:p w14:paraId="4F7E673B" w14:textId="6B350373" w:rsidR="00D0744D" w:rsidRPr="0001795E" w:rsidRDefault="00D0744D" w:rsidP="00D0744D">
      <w:r w:rsidRPr="0001795E">
        <w:t xml:space="preserve">Dans cette section, il a été évalué les capacités de l’équipe cadre de district en termes de disponibilité </w:t>
      </w:r>
      <w:r w:rsidR="0034495C" w:rsidRPr="0001795E">
        <w:t xml:space="preserve">de personnel, </w:t>
      </w:r>
      <w:r w:rsidRPr="0001795E">
        <w:t>d</w:t>
      </w:r>
      <w:r w:rsidR="005F7F37" w:rsidRPr="0001795E">
        <w:t>’i</w:t>
      </w:r>
      <w:r w:rsidRPr="0001795E">
        <w:t>nfrastructures, d’ordinateurs</w:t>
      </w:r>
      <w:r w:rsidR="005F7F37" w:rsidRPr="0001795E">
        <w:t>,</w:t>
      </w:r>
      <w:r w:rsidRPr="0001795E">
        <w:t xml:space="preserve"> de fournitures</w:t>
      </w:r>
      <w:r w:rsidR="005F7F37" w:rsidRPr="0001795E">
        <w:t>,</w:t>
      </w:r>
      <w:r w:rsidRPr="0001795E">
        <w:t xml:space="preserve"> etc.</w:t>
      </w:r>
    </w:p>
    <w:p w14:paraId="2C8D77D9" w14:textId="1CCF96FA" w:rsidR="00180ACE" w:rsidRPr="0001795E" w:rsidRDefault="00180ACE" w:rsidP="00A41318">
      <w:pPr>
        <w:pStyle w:val="Titre3"/>
        <w:numPr>
          <w:ilvl w:val="2"/>
          <w:numId w:val="8"/>
        </w:numPr>
        <w:rPr>
          <w:rFonts w:cs="Times New Roman"/>
        </w:rPr>
      </w:pPr>
      <w:bookmarkStart w:id="254" w:name="_Toc63233216"/>
      <w:r w:rsidRPr="0001795E">
        <w:t>Potentialités de l’équipe cadre de district sanitaire</w:t>
      </w:r>
      <w:bookmarkEnd w:id="254"/>
      <w:r w:rsidRPr="0001795E">
        <w:rPr>
          <w:rFonts w:cs="Times New Roman"/>
        </w:rPr>
        <w:t xml:space="preserve"> </w:t>
      </w:r>
    </w:p>
    <w:p w14:paraId="09211495" w14:textId="77777777" w:rsidR="00EC0693" w:rsidRPr="0001795E" w:rsidRDefault="00EC0693" w:rsidP="00514550">
      <w:pPr>
        <w:pStyle w:val="Titre4"/>
        <w:numPr>
          <w:ilvl w:val="0"/>
          <w:numId w:val="9"/>
        </w:numPr>
        <w:ind w:left="284" w:hanging="284"/>
        <w:rPr>
          <w:rFonts w:ascii="Maiandra GD" w:hAnsi="Maiandra GD"/>
          <w:color w:val="002060"/>
        </w:rPr>
      </w:pPr>
      <w:r w:rsidRPr="0001795E">
        <w:rPr>
          <w:rFonts w:ascii="Maiandra GD" w:hAnsi="Maiandra GD"/>
          <w:b/>
          <w:bCs/>
          <w:i w:val="0"/>
          <w:iCs w:val="0"/>
          <w:color w:val="002060"/>
        </w:rPr>
        <w:t>Personnel</w:t>
      </w:r>
      <w:r w:rsidRPr="0001795E">
        <w:rPr>
          <w:rFonts w:ascii="Maiandra GD" w:hAnsi="Maiandra GD"/>
          <w:color w:val="002060"/>
        </w:rPr>
        <w:tab/>
      </w:r>
    </w:p>
    <w:p w14:paraId="6383D86B" w14:textId="014733D7" w:rsidR="0050498B" w:rsidRPr="0001795E" w:rsidRDefault="00EC0693" w:rsidP="0016106A">
      <w:pPr>
        <w:rPr>
          <w:rFonts w:cs="Arial"/>
          <w:szCs w:val="24"/>
        </w:rPr>
      </w:pPr>
      <w:r w:rsidRPr="0001795E">
        <w:rPr>
          <w:rFonts w:cs="Arial"/>
          <w:szCs w:val="24"/>
        </w:rPr>
        <w:t>La totalité des districts enquêtés possèdent</w:t>
      </w:r>
      <w:r w:rsidR="0050498B" w:rsidRPr="0001795E">
        <w:rPr>
          <w:rFonts w:cs="Arial"/>
          <w:szCs w:val="24"/>
        </w:rPr>
        <w:t xml:space="preserve"> d’un nombre suffisant de personnel mais les</w:t>
      </w:r>
      <w:r w:rsidR="00AC4C23" w:rsidRPr="0001795E">
        <w:rPr>
          <w:rFonts w:cs="Arial"/>
          <w:szCs w:val="24"/>
        </w:rPr>
        <w:t xml:space="preserve"> </w:t>
      </w:r>
      <w:r w:rsidR="0050498B" w:rsidRPr="0001795E">
        <w:rPr>
          <w:rFonts w:cs="Arial"/>
          <w:szCs w:val="24"/>
        </w:rPr>
        <w:t xml:space="preserve">compétences sont mal équilibrées. </w:t>
      </w:r>
    </w:p>
    <w:p w14:paraId="551F4C6E" w14:textId="48ADAFA9" w:rsidR="00EC0693" w:rsidRPr="0001795E" w:rsidRDefault="0050498B" w:rsidP="0016106A">
      <w:pPr>
        <w:rPr>
          <w:rFonts w:cs="Arial"/>
          <w:szCs w:val="24"/>
        </w:rPr>
      </w:pPr>
      <w:r w:rsidRPr="0001795E">
        <w:rPr>
          <w:rFonts w:cs="Arial"/>
          <w:szCs w:val="24"/>
        </w:rPr>
        <w:t xml:space="preserve">En effet dans la plupart des districts la gestion financière est part le </w:t>
      </w:r>
      <w:proofErr w:type="spellStart"/>
      <w:r w:rsidRPr="0001795E">
        <w:rPr>
          <w:rFonts w:cs="Arial"/>
          <w:szCs w:val="24"/>
        </w:rPr>
        <w:t>SAF</w:t>
      </w:r>
      <w:proofErr w:type="spellEnd"/>
      <w:r w:rsidRPr="0001795E">
        <w:rPr>
          <w:rFonts w:cs="Arial"/>
          <w:szCs w:val="24"/>
        </w:rPr>
        <w:t xml:space="preserve"> de l’hôpital, les ressources humaines sont gérées par le Directeur et les approvisionnements par le pharmacien de l’hôpital. Aussi</w:t>
      </w:r>
      <w:r w:rsidR="006D104E" w:rsidRPr="0001795E">
        <w:rPr>
          <w:rFonts w:cs="Arial"/>
          <w:szCs w:val="24"/>
        </w:rPr>
        <w:t>,</w:t>
      </w:r>
      <w:r w:rsidRPr="0001795E">
        <w:rPr>
          <w:rFonts w:cs="Arial"/>
          <w:szCs w:val="24"/>
        </w:rPr>
        <w:t xml:space="preserve"> seulement 25% disposent d’</w:t>
      </w:r>
      <w:r w:rsidR="00EC0693" w:rsidRPr="0001795E">
        <w:rPr>
          <w:rFonts w:cs="Arial"/>
          <w:szCs w:val="24"/>
        </w:rPr>
        <w:t xml:space="preserve">un médecin de santé publique. </w:t>
      </w:r>
    </w:p>
    <w:p w14:paraId="2CC3E98F" w14:textId="77777777" w:rsidR="00EC0693" w:rsidRPr="0001795E" w:rsidRDefault="00EC0693" w:rsidP="00514550">
      <w:pPr>
        <w:pStyle w:val="Titre4"/>
        <w:numPr>
          <w:ilvl w:val="0"/>
          <w:numId w:val="9"/>
        </w:numPr>
        <w:ind w:left="284" w:hanging="284"/>
        <w:rPr>
          <w:rFonts w:ascii="Maiandra GD" w:hAnsi="Maiandra GD"/>
          <w:b/>
          <w:bCs/>
          <w:i w:val="0"/>
          <w:iCs w:val="0"/>
          <w:color w:val="002060"/>
        </w:rPr>
      </w:pPr>
      <w:r w:rsidRPr="0001795E">
        <w:rPr>
          <w:rFonts w:ascii="Maiandra GD" w:hAnsi="Maiandra GD"/>
          <w:b/>
          <w:bCs/>
          <w:i w:val="0"/>
          <w:iCs w:val="0"/>
          <w:color w:val="002060"/>
        </w:rPr>
        <w:t>Infrastructures</w:t>
      </w:r>
      <w:r w:rsidRPr="0001795E">
        <w:rPr>
          <w:rFonts w:ascii="Maiandra GD" w:hAnsi="Maiandra GD"/>
          <w:b/>
          <w:bCs/>
          <w:i w:val="0"/>
          <w:iCs w:val="0"/>
          <w:color w:val="002060"/>
        </w:rPr>
        <w:tab/>
      </w:r>
    </w:p>
    <w:p w14:paraId="72E3E55E" w14:textId="6241CEEE" w:rsidR="00EC0693" w:rsidRPr="0001795E" w:rsidRDefault="00EC0693" w:rsidP="0016106A">
      <w:pPr>
        <w:rPr>
          <w:rFonts w:cs="Arial"/>
          <w:szCs w:val="24"/>
        </w:rPr>
      </w:pPr>
      <w:r w:rsidRPr="0001795E">
        <w:rPr>
          <w:rFonts w:cs="Arial"/>
          <w:szCs w:val="24"/>
        </w:rPr>
        <w:t>La totalité des districts sanitaires enquêtés dispose de bureaux et de salles de réunion adéquats.</w:t>
      </w:r>
      <w:r w:rsidRPr="0001795E">
        <w:rPr>
          <w:rFonts w:cs="Arial"/>
          <w:szCs w:val="24"/>
        </w:rPr>
        <w:tab/>
      </w:r>
    </w:p>
    <w:p w14:paraId="2BE33FDC" w14:textId="77777777" w:rsidR="00EC0693" w:rsidRPr="0001795E" w:rsidRDefault="00EC0693" w:rsidP="00514550">
      <w:pPr>
        <w:pStyle w:val="Titre4"/>
        <w:numPr>
          <w:ilvl w:val="0"/>
          <w:numId w:val="9"/>
        </w:numPr>
        <w:ind w:left="284" w:hanging="284"/>
        <w:rPr>
          <w:rFonts w:ascii="Maiandra GD" w:hAnsi="Maiandra GD"/>
          <w:b/>
          <w:bCs/>
          <w:i w:val="0"/>
          <w:iCs w:val="0"/>
          <w:color w:val="002060"/>
        </w:rPr>
      </w:pPr>
      <w:proofErr w:type="spellStart"/>
      <w:r w:rsidRPr="0001795E">
        <w:rPr>
          <w:rFonts w:ascii="Maiandra GD" w:hAnsi="Maiandra GD"/>
          <w:b/>
          <w:bCs/>
          <w:i w:val="0"/>
          <w:iCs w:val="0"/>
          <w:color w:val="002060"/>
        </w:rPr>
        <w:t>Equipement</w:t>
      </w:r>
      <w:proofErr w:type="spellEnd"/>
      <w:r w:rsidRPr="0001795E">
        <w:rPr>
          <w:rFonts w:ascii="Maiandra GD" w:hAnsi="Maiandra GD"/>
          <w:b/>
          <w:bCs/>
          <w:i w:val="0"/>
          <w:iCs w:val="0"/>
          <w:color w:val="002060"/>
        </w:rPr>
        <w:t xml:space="preserve"> et satisfaction</w:t>
      </w:r>
    </w:p>
    <w:p w14:paraId="6238D749" w14:textId="230780E6" w:rsidR="00EC0693" w:rsidRPr="0001795E" w:rsidRDefault="00EC0693" w:rsidP="0016106A">
      <w:pPr>
        <w:rPr>
          <w:rFonts w:cs="Arial"/>
          <w:szCs w:val="24"/>
        </w:rPr>
      </w:pPr>
      <w:r w:rsidRPr="0001795E">
        <w:rPr>
          <w:rFonts w:cs="Arial"/>
          <w:szCs w:val="24"/>
        </w:rPr>
        <w:t xml:space="preserve">Le niveau de satisfaction des répondants pour ce qui concerne les équipements en ordinateurs fonctionnels, les véhicules de supervision et le système de communication est de 94%. </w:t>
      </w:r>
    </w:p>
    <w:p w14:paraId="630E891E" w14:textId="69147111" w:rsidR="00EC0693" w:rsidRPr="0001795E" w:rsidRDefault="00556BB3" w:rsidP="00A41318">
      <w:pPr>
        <w:pStyle w:val="Titre3"/>
        <w:numPr>
          <w:ilvl w:val="2"/>
          <w:numId w:val="8"/>
        </w:numPr>
      </w:pPr>
      <w:r>
        <w:t xml:space="preserve"> </w:t>
      </w:r>
      <w:bookmarkStart w:id="255" w:name="_Toc63233217"/>
      <w:r w:rsidR="00EC0693" w:rsidRPr="0001795E">
        <w:t>Activités de l’équipe cadre de district</w:t>
      </w:r>
      <w:bookmarkEnd w:id="255"/>
    </w:p>
    <w:p w14:paraId="27BD65FA" w14:textId="463CB9C0" w:rsidR="00A62434" w:rsidRPr="0001795E" w:rsidRDefault="00A62434" w:rsidP="00514550">
      <w:pPr>
        <w:pStyle w:val="Paragraphedeliste"/>
        <w:numPr>
          <w:ilvl w:val="0"/>
          <w:numId w:val="1"/>
        </w:numPr>
        <w:rPr>
          <w:rFonts w:eastAsia="Times New Roman" w:cs="Arial"/>
          <w:b/>
          <w:color w:val="002060"/>
          <w:szCs w:val="24"/>
          <w:lang w:eastAsia="fr-FR"/>
        </w:rPr>
      </w:pPr>
      <w:r w:rsidRPr="0001795E">
        <w:rPr>
          <w:rFonts w:eastAsia="Times New Roman" w:cs="Arial"/>
          <w:b/>
          <w:color w:val="002060"/>
          <w:szCs w:val="24"/>
          <w:lang w:eastAsia="fr-FR"/>
        </w:rPr>
        <w:t xml:space="preserve">Programmation, production des rapports </w:t>
      </w:r>
      <w:proofErr w:type="spellStart"/>
      <w:r w:rsidRPr="0001795E">
        <w:rPr>
          <w:rFonts w:eastAsia="Times New Roman" w:cs="Arial"/>
          <w:b/>
          <w:color w:val="002060"/>
          <w:szCs w:val="24"/>
          <w:lang w:eastAsia="fr-FR"/>
        </w:rPr>
        <w:t>SNIS</w:t>
      </w:r>
      <w:proofErr w:type="spellEnd"/>
      <w:r w:rsidRPr="0001795E">
        <w:rPr>
          <w:rFonts w:eastAsia="Times New Roman" w:cs="Arial"/>
          <w:b/>
          <w:color w:val="002060"/>
          <w:szCs w:val="24"/>
          <w:lang w:eastAsia="fr-FR"/>
        </w:rPr>
        <w:t>, organisation des réunions de staff et des supervisions intégrées</w:t>
      </w:r>
    </w:p>
    <w:p w14:paraId="3FAF3AE3" w14:textId="21C447FF" w:rsidR="00EC0693" w:rsidRPr="0001795E" w:rsidRDefault="00EC0693" w:rsidP="00A62434">
      <w:pPr>
        <w:ind w:left="66"/>
        <w:rPr>
          <w:rFonts w:eastAsia="Times New Roman" w:cs="Arial"/>
          <w:bCs/>
          <w:szCs w:val="24"/>
          <w:lang w:eastAsia="fr-FR"/>
        </w:rPr>
      </w:pPr>
      <w:r w:rsidRPr="0001795E">
        <w:rPr>
          <w:rFonts w:eastAsia="Times New Roman" w:cs="Arial"/>
          <w:bCs/>
          <w:szCs w:val="24"/>
          <w:lang w:eastAsia="fr-FR"/>
        </w:rPr>
        <w:t>Dans les 16 districts enquêtés</w:t>
      </w:r>
      <w:r w:rsidR="00AC4C23" w:rsidRPr="0001795E">
        <w:rPr>
          <w:rFonts w:eastAsia="Times New Roman" w:cs="Arial"/>
          <w:bCs/>
          <w:szCs w:val="24"/>
          <w:lang w:eastAsia="fr-FR"/>
        </w:rPr>
        <w:t>,</w:t>
      </w:r>
      <w:r w:rsidRPr="0001795E">
        <w:rPr>
          <w:rFonts w:eastAsia="Times New Roman" w:cs="Arial"/>
          <w:bCs/>
          <w:szCs w:val="24"/>
          <w:lang w:eastAsia="fr-FR"/>
        </w:rPr>
        <w:t xml:space="preserve"> il a été noté une disponibilité entière des plans annuels assortis de chronogramme ainsi que la production des rapports </w:t>
      </w:r>
      <w:proofErr w:type="spellStart"/>
      <w:r w:rsidRPr="0001795E">
        <w:rPr>
          <w:rFonts w:eastAsia="Times New Roman" w:cs="Arial"/>
          <w:bCs/>
          <w:szCs w:val="24"/>
          <w:lang w:eastAsia="fr-FR"/>
        </w:rPr>
        <w:t>SNIS</w:t>
      </w:r>
      <w:proofErr w:type="spellEnd"/>
      <w:r w:rsidRPr="0001795E">
        <w:rPr>
          <w:rFonts w:eastAsia="Times New Roman" w:cs="Arial"/>
          <w:bCs/>
          <w:szCs w:val="24"/>
          <w:lang w:eastAsia="fr-FR"/>
        </w:rPr>
        <w:t>. De même</w:t>
      </w:r>
      <w:r w:rsidR="006D104E" w:rsidRPr="0001795E">
        <w:rPr>
          <w:rFonts w:eastAsia="Times New Roman" w:cs="Arial"/>
          <w:bCs/>
          <w:szCs w:val="24"/>
          <w:lang w:eastAsia="fr-FR"/>
        </w:rPr>
        <w:t>,</w:t>
      </w:r>
      <w:r w:rsidRPr="0001795E">
        <w:rPr>
          <w:rFonts w:eastAsia="Times New Roman" w:cs="Arial"/>
          <w:bCs/>
          <w:szCs w:val="24"/>
          <w:lang w:eastAsia="fr-FR"/>
        </w:rPr>
        <w:t xml:space="preserve"> la totalité des réunions de staff et des supervisions intégrées programmées </w:t>
      </w:r>
      <w:r w:rsidR="006D104E" w:rsidRPr="0001795E">
        <w:rPr>
          <w:rFonts w:eastAsia="Times New Roman" w:cs="Arial"/>
          <w:bCs/>
          <w:szCs w:val="24"/>
          <w:lang w:eastAsia="fr-FR"/>
        </w:rPr>
        <w:t xml:space="preserve">a </w:t>
      </w:r>
      <w:r w:rsidRPr="0001795E">
        <w:rPr>
          <w:rFonts w:eastAsia="Times New Roman" w:cs="Arial"/>
          <w:bCs/>
          <w:szCs w:val="24"/>
          <w:lang w:eastAsia="fr-FR"/>
        </w:rPr>
        <w:t>été exécutée</w:t>
      </w:r>
      <w:r w:rsidR="006D104E" w:rsidRPr="0001795E">
        <w:rPr>
          <w:rFonts w:eastAsia="Times New Roman" w:cs="Arial"/>
          <w:bCs/>
          <w:szCs w:val="24"/>
          <w:lang w:eastAsia="fr-FR"/>
        </w:rPr>
        <w:t>.</w:t>
      </w:r>
      <w:r w:rsidRPr="0001795E">
        <w:rPr>
          <w:rFonts w:eastAsia="Times New Roman" w:cs="Arial"/>
          <w:bCs/>
          <w:szCs w:val="24"/>
          <w:lang w:eastAsia="fr-FR"/>
        </w:rPr>
        <w:t xml:space="preserve"> </w:t>
      </w:r>
    </w:p>
    <w:p w14:paraId="115C9911" w14:textId="63C8922F" w:rsidR="005F7F37" w:rsidRPr="0001795E" w:rsidRDefault="005F7F37" w:rsidP="00514550">
      <w:pPr>
        <w:pStyle w:val="Paragraphedeliste"/>
        <w:numPr>
          <w:ilvl w:val="0"/>
          <w:numId w:val="1"/>
        </w:numPr>
        <w:rPr>
          <w:rFonts w:eastAsia="Times New Roman" w:cs="Arial"/>
          <w:b/>
          <w:bCs/>
          <w:szCs w:val="24"/>
          <w:lang w:eastAsia="fr-FR"/>
        </w:rPr>
      </w:pPr>
      <w:r w:rsidRPr="0001795E">
        <w:rPr>
          <w:rFonts w:eastAsia="Times New Roman" w:cs="Arial"/>
          <w:b/>
          <w:bCs/>
          <w:szCs w:val="24"/>
          <w:lang w:eastAsia="fr-FR"/>
        </w:rPr>
        <w:t>Niveau d’implication des équipes cadres dans les activités communautaires</w:t>
      </w:r>
    </w:p>
    <w:p w14:paraId="0F79C022" w14:textId="440CC490" w:rsidR="00C36AAA" w:rsidRPr="0001795E" w:rsidRDefault="00C36AAA" w:rsidP="0016106A">
      <w:pPr>
        <w:rPr>
          <w:rFonts w:eastAsia="Times New Roman" w:cs="Arial"/>
          <w:bCs/>
          <w:szCs w:val="24"/>
          <w:lang w:eastAsia="fr-FR"/>
        </w:rPr>
      </w:pPr>
      <w:r w:rsidRPr="0001795E">
        <w:rPr>
          <w:rFonts w:eastAsia="Times New Roman" w:cs="Arial"/>
          <w:bCs/>
          <w:szCs w:val="24"/>
          <w:lang w:eastAsia="fr-FR"/>
        </w:rPr>
        <w:t>La proportion des districts sanitaires dont les équipes cadre</w:t>
      </w:r>
      <w:r w:rsidR="005F7F37" w:rsidRPr="0001795E">
        <w:rPr>
          <w:rFonts w:eastAsia="Times New Roman" w:cs="Arial"/>
          <w:bCs/>
          <w:szCs w:val="24"/>
          <w:lang w:eastAsia="fr-FR"/>
        </w:rPr>
        <w:t>s</w:t>
      </w:r>
      <w:r w:rsidRPr="0001795E">
        <w:rPr>
          <w:rFonts w:eastAsia="Times New Roman" w:cs="Arial"/>
          <w:bCs/>
          <w:szCs w:val="24"/>
          <w:lang w:eastAsia="fr-FR"/>
        </w:rPr>
        <w:t xml:space="preserve"> sont impliqué</w:t>
      </w:r>
      <w:r w:rsidR="005F7F37" w:rsidRPr="0001795E">
        <w:rPr>
          <w:rFonts w:eastAsia="Times New Roman" w:cs="Arial"/>
          <w:bCs/>
          <w:szCs w:val="24"/>
          <w:lang w:eastAsia="fr-FR"/>
        </w:rPr>
        <w:t>e</w:t>
      </w:r>
      <w:r w:rsidRPr="0001795E">
        <w:rPr>
          <w:rFonts w:eastAsia="Times New Roman" w:cs="Arial"/>
          <w:bCs/>
          <w:szCs w:val="24"/>
          <w:lang w:eastAsia="fr-FR"/>
        </w:rPr>
        <w:t>s dans les activités communautaires se présente comme suit :</w:t>
      </w:r>
    </w:p>
    <w:p w14:paraId="4CCC9E69" w14:textId="463C22C7" w:rsidR="00C36AAA" w:rsidRPr="0001795E" w:rsidRDefault="002E3E37" w:rsidP="00460F99">
      <w:pPr>
        <w:pStyle w:val="Paragraphedeliste"/>
        <w:numPr>
          <w:ilvl w:val="0"/>
          <w:numId w:val="21"/>
        </w:numPr>
        <w:rPr>
          <w:rFonts w:eastAsia="Times New Roman" w:cs="Arial"/>
          <w:bCs/>
          <w:szCs w:val="24"/>
          <w:lang w:eastAsia="fr-FR"/>
        </w:rPr>
      </w:pPr>
      <w:r w:rsidRPr="0001795E">
        <w:rPr>
          <w:rFonts w:eastAsia="Times New Roman" w:cs="Arial"/>
          <w:bCs/>
          <w:szCs w:val="24"/>
          <w:lang w:eastAsia="fr-FR"/>
        </w:rPr>
        <w:t>Pour l’as</w:t>
      </w:r>
      <w:r w:rsidR="00C36AAA" w:rsidRPr="0001795E">
        <w:rPr>
          <w:rFonts w:eastAsia="Times New Roman" w:cs="Arial"/>
          <w:bCs/>
          <w:szCs w:val="24"/>
          <w:lang w:eastAsia="fr-FR"/>
        </w:rPr>
        <w:t>sainissement</w:t>
      </w:r>
      <w:r w:rsidRPr="0001795E">
        <w:rPr>
          <w:rFonts w:eastAsia="Times New Roman" w:cs="Arial"/>
          <w:bCs/>
          <w:szCs w:val="24"/>
          <w:lang w:eastAsia="fr-FR"/>
        </w:rPr>
        <w:t xml:space="preserve"> : </w:t>
      </w:r>
      <w:r w:rsidR="00C36AAA" w:rsidRPr="0001795E">
        <w:rPr>
          <w:rFonts w:eastAsia="Times New Roman" w:cs="Arial"/>
          <w:bCs/>
          <w:szCs w:val="24"/>
          <w:lang w:eastAsia="fr-FR"/>
        </w:rPr>
        <w:t>88%</w:t>
      </w:r>
    </w:p>
    <w:p w14:paraId="60E5F59D" w14:textId="52C60DAD" w:rsidR="00C36AAA" w:rsidRPr="0001795E" w:rsidRDefault="002E3E37" w:rsidP="00460F99">
      <w:pPr>
        <w:pStyle w:val="Paragraphedeliste"/>
        <w:numPr>
          <w:ilvl w:val="0"/>
          <w:numId w:val="21"/>
        </w:numPr>
        <w:rPr>
          <w:rFonts w:eastAsia="Times New Roman" w:cs="Arial"/>
          <w:bCs/>
          <w:szCs w:val="24"/>
          <w:lang w:eastAsia="fr-FR"/>
        </w:rPr>
      </w:pPr>
      <w:r w:rsidRPr="0001795E">
        <w:rPr>
          <w:rFonts w:eastAsia="Times New Roman" w:cs="Arial"/>
          <w:bCs/>
          <w:szCs w:val="24"/>
          <w:lang w:eastAsia="fr-FR"/>
        </w:rPr>
        <w:t>Pour la p</w:t>
      </w:r>
      <w:r w:rsidR="00C36AAA" w:rsidRPr="0001795E">
        <w:rPr>
          <w:rFonts w:eastAsia="Times New Roman" w:cs="Arial"/>
          <w:bCs/>
          <w:szCs w:val="24"/>
          <w:lang w:eastAsia="fr-FR"/>
        </w:rPr>
        <w:t>réparation aux situations de catastrophe</w:t>
      </w:r>
      <w:r w:rsidRPr="0001795E">
        <w:rPr>
          <w:rFonts w:eastAsia="Times New Roman" w:cs="Arial"/>
          <w:bCs/>
          <w:szCs w:val="24"/>
          <w:lang w:eastAsia="fr-FR"/>
        </w:rPr>
        <w:t xml:space="preserve"> : </w:t>
      </w:r>
      <w:r w:rsidR="00C36AAA" w:rsidRPr="0001795E">
        <w:rPr>
          <w:rFonts w:eastAsia="Times New Roman" w:cs="Arial"/>
          <w:bCs/>
          <w:szCs w:val="24"/>
          <w:lang w:eastAsia="fr-FR"/>
        </w:rPr>
        <w:t>81%</w:t>
      </w:r>
    </w:p>
    <w:p w14:paraId="710C6F35" w14:textId="15BCDA72" w:rsidR="00C36AAA" w:rsidRPr="0001795E" w:rsidRDefault="002E3E37" w:rsidP="00460F99">
      <w:pPr>
        <w:pStyle w:val="Paragraphedeliste"/>
        <w:numPr>
          <w:ilvl w:val="0"/>
          <w:numId w:val="21"/>
        </w:numPr>
        <w:rPr>
          <w:rFonts w:eastAsia="Times New Roman" w:cs="Arial"/>
          <w:bCs/>
          <w:szCs w:val="24"/>
          <w:lang w:eastAsia="fr-FR"/>
        </w:rPr>
      </w:pPr>
      <w:r w:rsidRPr="0001795E">
        <w:rPr>
          <w:rFonts w:eastAsia="Times New Roman" w:cs="Arial"/>
          <w:bCs/>
          <w:szCs w:val="24"/>
          <w:lang w:eastAsia="fr-FR"/>
        </w:rPr>
        <w:t>Pour l’a</w:t>
      </w:r>
      <w:r w:rsidR="00C36AAA" w:rsidRPr="0001795E">
        <w:rPr>
          <w:rFonts w:eastAsia="Times New Roman" w:cs="Arial"/>
          <w:bCs/>
          <w:szCs w:val="24"/>
          <w:lang w:eastAsia="fr-FR"/>
        </w:rPr>
        <w:t>pprovisionnement en eau potable</w:t>
      </w:r>
      <w:r w:rsidRPr="0001795E">
        <w:rPr>
          <w:rFonts w:eastAsia="Times New Roman" w:cs="Arial"/>
          <w:bCs/>
          <w:szCs w:val="24"/>
          <w:lang w:eastAsia="fr-FR"/>
        </w:rPr>
        <w:t xml:space="preserve"> : </w:t>
      </w:r>
      <w:r w:rsidR="00C36AAA" w:rsidRPr="0001795E">
        <w:rPr>
          <w:rFonts w:eastAsia="Times New Roman" w:cs="Arial"/>
          <w:bCs/>
          <w:szCs w:val="24"/>
          <w:lang w:eastAsia="fr-FR"/>
        </w:rPr>
        <w:t>69%</w:t>
      </w:r>
    </w:p>
    <w:p w14:paraId="05134908" w14:textId="3CFA394C" w:rsidR="00C36AAA" w:rsidRPr="0001795E" w:rsidRDefault="002E3E37" w:rsidP="00460F99">
      <w:pPr>
        <w:pStyle w:val="Paragraphedeliste"/>
        <w:numPr>
          <w:ilvl w:val="0"/>
          <w:numId w:val="21"/>
        </w:numPr>
        <w:rPr>
          <w:rFonts w:eastAsia="Times New Roman" w:cs="Arial"/>
          <w:bCs/>
          <w:szCs w:val="24"/>
          <w:lang w:eastAsia="fr-FR"/>
        </w:rPr>
      </w:pPr>
      <w:r w:rsidRPr="0001795E">
        <w:rPr>
          <w:rFonts w:eastAsia="Times New Roman" w:cs="Arial"/>
          <w:bCs/>
          <w:szCs w:val="24"/>
          <w:lang w:eastAsia="fr-FR"/>
        </w:rPr>
        <w:t>Pour la s</w:t>
      </w:r>
      <w:r w:rsidR="00C36AAA" w:rsidRPr="0001795E">
        <w:rPr>
          <w:rFonts w:eastAsia="Times New Roman" w:cs="Arial"/>
          <w:bCs/>
          <w:szCs w:val="24"/>
          <w:lang w:eastAsia="fr-FR"/>
        </w:rPr>
        <w:t>écurité alimentaire et des produits alimentaires dans les familles</w:t>
      </w:r>
      <w:r w:rsidRPr="0001795E">
        <w:rPr>
          <w:rFonts w:eastAsia="Times New Roman" w:cs="Arial"/>
          <w:bCs/>
          <w:szCs w:val="24"/>
          <w:lang w:eastAsia="fr-FR"/>
        </w:rPr>
        <w:t xml:space="preserve"> : </w:t>
      </w:r>
      <w:r w:rsidR="00C36AAA" w:rsidRPr="0001795E">
        <w:rPr>
          <w:rFonts w:eastAsia="Times New Roman" w:cs="Arial"/>
          <w:bCs/>
          <w:szCs w:val="24"/>
          <w:lang w:eastAsia="fr-FR"/>
        </w:rPr>
        <w:t>63%</w:t>
      </w:r>
    </w:p>
    <w:p w14:paraId="4FE56649" w14:textId="01D00BE3" w:rsidR="00C36AAA" w:rsidRPr="0001795E" w:rsidRDefault="002E3E37" w:rsidP="00460F99">
      <w:pPr>
        <w:pStyle w:val="Paragraphedeliste"/>
        <w:numPr>
          <w:ilvl w:val="0"/>
          <w:numId w:val="21"/>
        </w:numPr>
        <w:rPr>
          <w:rFonts w:eastAsia="Times New Roman" w:cs="Arial"/>
          <w:bCs/>
          <w:szCs w:val="24"/>
          <w:lang w:eastAsia="fr-FR"/>
        </w:rPr>
      </w:pPr>
      <w:r w:rsidRPr="0001795E">
        <w:rPr>
          <w:rFonts w:eastAsia="Times New Roman" w:cs="Arial"/>
          <w:bCs/>
          <w:szCs w:val="24"/>
          <w:lang w:eastAsia="fr-FR"/>
        </w:rPr>
        <w:t>Dans la p</w:t>
      </w:r>
      <w:r w:rsidR="00C36AAA" w:rsidRPr="0001795E">
        <w:rPr>
          <w:rFonts w:eastAsia="Times New Roman" w:cs="Arial"/>
          <w:bCs/>
          <w:szCs w:val="24"/>
          <w:lang w:eastAsia="fr-FR"/>
        </w:rPr>
        <w:t>révention des accidents au lieu de travail</w:t>
      </w:r>
      <w:r w:rsidRPr="0001795E">
        <w:rPr>
          <w:rFonts w:eastAsia="Times New Roman" w:cs="Arial"/>
          <w:bCs/>
          <w:szCs w:val="24"/>
          <w:lang w:eastAsia="fr-FR"/>
        </w:rPr>
        <w:t xml:space="preserve"> : </w:t>
      </w:r>
      <w:r w:rsidR="00C36AAA" w:rsidRPr="0001795E">
        <w:rPr>
          <w:rFonts w:eastAsia="Times New Roman" w:cs="Arial"/>
          <w:bCs/>
          <w:szCs w:val="24"/>
          <w:lang w:eastAsia="fr-FR"/>
        </w:rPr>
        <w:t>56%</w:t>
      </w:r>
    </w:p>
    <w:p w14:paraId="2E91E912" w14:textId="7C714FDB" w:rsidR="00C36AAA" w:rsidRPr="0001795E" w:rsidRDefault="002E3E37" w:rsidP="00460F99">
      <w:pPr>
        <w:pStyle w:val="Paragraphedeliste"/>
        <w:numPr>
          <w:ilvl w:val="0"/>
          <w:numId w:val="21"/>
        </w:numPr>
        <w:rPr>
          <w:rFonts w:eastAsia="Times New Roman" w:cs="Arial"/>
          <w:bCs/>
          <w:szCs w:val="24"/>
          <w:lang w:eastAsia="fr-FR"/>
        </w:rPr>
      </w:pPr>
      <w:r w:rsidRPr="0001795E">
        <w:rPr>
          <w:rFonts w:eastAsia="Times New Roman" w:cs="Arial"/>
          <w:bCs/>
          <w:szCs w:val="24"/>
          <w:lang w:eastAsia="fr-FR"/>
        </w:rPr>
        <w:t>Dans la l</w:t>
      </w:r>
      <w:r w:rsidR="00C36AAA" w:rsidRPr="0001795E">
        <w:rPr>
          <w:rFonts w:eastAsia="Times New Roman" w:cs="Arial"/>
          <w:bCs/>
          <w:szCs w:val="24"/>
          <w:lang w:eastAsia="fr-FR"/>
        </w:rPr>
        <w:t>utte contre la maltraitance des enfants</w:t>
      </w:r>
      <w:r w:rsidRPr="0001795E">
        <w:rPr>
          <w:rFonts w:eastAsia="Times New Roman" w:cs="Arial"/>
          <w:bCs/>
          <w:szCs w:val="24"/>
          <w:lang w:eastAsia="fr-FR"/>
        </w:rPr>
        <w:t xml:space="preserve"> : </w:t>
      </w:r>
      <w:r w:rsidR="00C36AAA" w:rsidRPr="0001795E">
        <w:rPr>
          <w:rFonts w:eastAsia="Times New Roman" w:cs="Arial"/>
          <w:bCs/>
          <w:szCs w:val="24"/>
          <w:lang w:eastAsia="fr-FR"/>
        </w:rPr>
        <w:t>44%</w:t>
      </w:r>
    </w:p>
    <w:p w14:paraId="2EA71641" w14:textId="1FC613EE" w:rsidR="00C36AAA" w:rsidRPr="0001795E" w:rsidRDefault="002E3E37" w:rsidP="00460F99">
      <w:pPr>
        <w:pStyle w:val="Paragraphedeliste"/>
        <w:numPr>
          <w:ilvl w:val="0"/>
          <w:numId w:val="21"/>
        </w:numPr>
        <w:rPr>
          <w:rFonts w:eastAsia="Times New Roman" w:cs="Arial"/>
          <w:bCs/>
          <w:szCs w:val="24"/>
          <w:lang w:eastAsia="fr-FR"/>
        </w:rPr>
      </w:pPr>
      <w:r w:rsidRPr="0001795E">
        <w:rPr>
          <w:rFonts w:eastAsia="Times New Roman" w:cs="Arial"/>
          <w:bCs/>
          <w:szCs w:val="24"/>
          <w:lang w:eastAsia="fr-FR"/>
        </w:rPr>
        <w:t xml:space="preserve">Dans la lutte </w:t>
      </w:r>
      <w:r w:rsidR="00C36AAA" w:rsidRPr="0001795E">
        <w:rPr>
          <w:rFonts w:eastAsia="Times New Roman" w:cs="Arial"/>
          <w:bCs/>
          <w:szCs w:val="24"/>
          <w:lang w:eastAsia="fr-FR"/>
        </w:rPr>
        <w:t>contre la violence domestique</w:t>
      </w:r>
      <w:r w:rsidRPr="0001795E">
        <w:rPr>
          <w:rFonts w:eastAsia="Times New Roman" w:cs="Arial"/>
          <w:bCs/>
          <w:szCs w:val="24"/>
          <w:lang w:eastAsia="fr-FR"/>
        </w:rPr>
        <w:t xml:space="preserve"> : </w:t>
      </w:r>
      <w:r w:rsidR="00C36AAA" w:rsidRPr="0001795E">
        <w:rPr>
          <w:rFonts w:eastAsia="Times New Roman" w:cs="Arial"/>
          <w:bCs/>
          <w:szCs w:val="24"/>
          <w:lang w:eastAsia="fr-FR"/>
        </w:rPr>
        <w:t>44%</w:t>
      </w:r>
    </w:p>
    <w:p w14:paraId="5B0D96BA" w14:textId="2F631870" w:rsidR="00C36AAA" w:rsidRPr="0001795E" w:rsidRDefault="002E3E37" w:rsidP="00460F99">
      <w:pPr>
        <w:pStyle w:val="Paragraphedeliste"/>
        <w:numPr>
          <w:ilvl w:val="0"/>
          <w:numId w:val="21"/>
        </w:numPr>
        <w:rPr>
          <w:rFonts w:eastAsia="Times New Roman" w:cs="Arial"/>
          <w:bCs/>
          <w:szCs w:val="24"/>
          <w:lang w:eastAsia="fr-FR"/>
        </w:rPr>
      </w:pPr>
      <w:r w:rsidRPr="0001795E">
        <w:rPr>
          <w:rFonts w:eastAsia="Times New Roman" w:cs="Arial"/>
          <w:bCs/>
          <w:szCs w:val="24"/>
          <w:lang w:eastAsia="fr-FR"/>
        </w:rPr>
        <w:t>Dans la p</w:t>
      </w:r>
      <w:r w:rsidR="00C36AAA" w:rsidRPr="0001795E">
        <w:rPr>
          <w:rFonts w:eastAsia="Times New Roman" w:cs="Arial"/>
          <w:bCs/>
          <w:szCs w:val="24"/>
          <w:lang w:eastAsia="fr-FR"/>
        </w:rPr>
        <w:t>révention des accidents au foyer</w:t>
      </w:r>
      <w:r w:rsidRPr="0001795E">
        <w:rPr>
          <w:rFonts w:eastAsia="Times New Roman" w:cs="Arial"/>
          <w:bCs/>
          <w:szCs w:val="24"/>
          <w:lang w:eastAsia="fr-FR"/>
        </w:rPr>
        <w:t xml:space="preserve"> : </w:t>
      </w:r>
      <w:r w:rsidR="00C36AAA" w:rsidRPr="0001795E">
        <w:rPr>
          <w:rFonts w:eastAsia="Times New Roman" w:cs="Arial"/>
          <w:bCs/>
          <w:szCs w:val="24"/>
          <w:lang w:eastAsia="fr-FR"/>
        </w:rPr>
        <w:t>25%</w:t>
      </w:r>
    </w:p>
    <w:p w14:paraId="335C329D" w14:textId="433486FD" w:rsidR="00C36AAA" w:rsidRPr="0001795E" w:rsidRDefault="002E3E37" w:rsidP="00460F99">
      <w:pPr>
        <w:pStyle w:val="Paragraphedeliste"/>
        <w:numPr>
          <w:ilvl w:val="0"/>
          <w:numId w:val="21"/>
        </w:numPr>
        <w:rPr>
          <w:rFonts w:eastAsia="Times New Roman" w:cs="Arial"/>
          <w:bCs/>
          <w:szCs w:val="24"/>
          <w:lang w:eastAsia="fr-FR"/>
        </w:rPr>
      </w:pPr>
      <w:r w:rsidRPr="0001795E">
        <w:rPr>
          <w:rFonts w:eastAsia="Times New Roman" w:cs="Arial"/>
          <w:bCs/>
          <w:szCs w:val="24"/>
          <w:lang w:eastAsia="fr-FR"/>
        </w:rPr>
        <w:t>Dans la p</w:t>
      </w:r>
      <w:r w:rsidR="00C36AAA" w:rsidRPr="0001795E">
        <w:rPr>
          <w:rFonts w:eastAsia="Times New Roman" w:cs="Arial"/>
          <w:bCs/>
          <w:szCs w:val="24"/>
          <w:lang w:eastAsia="fr-FR"/>
        </w:rPr>
        <w:t>révention des accidents de circulation</w:t>
      </w:r>
      <w:r w:rsidRPr="0001795E">
        <w:rPr>
          <w:rFonts w:eastAsia="Times New Roman" w:cs="Arial"/>
          <w:bCs/>
          <w:szCs w:val="24"/>
          <w:lang w:eastAsia="fr-FR"/>
        </w:rPr>
        <w:t xml:space="preserve"> : </w:t>
      </w:r>
      <w:r w:rsidR="00C36AAA" w:rsidRPr="0001795E">
        <w:rPr>
          <w:rFonts w:eastAsia="Times New Roman" w:cs="Arial"/>
          <w:bCs/>
          <w:szCs w:val="24"/>
          <w:lang w:eastAsia="fr-FR"/>
        </w:rPr>
        <w:t>25%</w:t>
      </w:r>
      <w:r w:rsidR="00AC4C23" w:rsidRPr="0001795E">
        <w:rPr>
          <w:rFonts w:eastAsia="Times New Roman" w:cs="Arial"/>
          <w:bCs/>
          <w:szCs w:val="24"/>
          <w:lang w:eastAsia="fr-FR"/>
        </w:rPr>
        <w:t>.</w:t>
      </w:r>
    </w:p>
    <w:p w14:paraId="16526C26" w14:textId="529C563E" w:rsidR="00C36AAA" w:rsidRPr="0001795E" w:rsidRDefault="00E831E9" w:rsidP="00A41318">
      <w:pPr>
        <w:pStyle w:val="Titre3"/>
        <w:numPr>
          <w:ilvl w:val="2"/>
          <w:numId w:val="8"/>
        </w:numPr>
      </w:pPr>
      <w:bookmarkStart w:id="256" w:name="_Toc63233218"/>
      <w:r w:rsidRPr="0001795E">
        <w:t xml:space="preserve">Ressources </w:t>
      </w:r>
      <w:r w:rsidR="00C36AAA" w:rsidRPr="0001795E">
        <w:t>financières</w:t>
      </w:r>
      <w:bookmarkEnd w:id="256"/>
    </w:p>
    <w:p w14:paraId="730BBB47" w14:textId="19B17F48" w:rsidR="00C36AAA" w:rsidRPr="0001795E" w:rsidRDefault="00C36AAA" w:rsidP="0016106A">
      <w:pPr>
        <w:rPr>
          <w:rFonts w:eastAsia="Times New Roman" w:cs="Arial"/>
          <w:szCs w:val="24"/>
          <w:lang w:eastAsia="fr-FR"/>
        </w:rPr>
      </w:pPr>
      <w:r w:rsidRPr="0001795E">
        <w:rPr>
          <w:rFonts w:eastAsia="Times New Roman" w:cs="Arial"/>
          <w:szCs w:val="24"/>
          <w:lang w:eastAsia="fr-FR"/>
        </w:rPr>
        <w:t xml:space="preserve">Seuls 44% (7/16) des districts sanitaires enquêtés disposent de documents de normes et procédures de gestion financière. </w:t>
      </w:r>
    </w:p>
    <w:p w14:paraId="241C8BF4" w14:textId="6F150B66" w:rsidR="00C36AAA" w:rsidRPr="0001795E" w:rsidRDefault="00C36AAA" w:rsidP="00514550">
      <w:pPr>
        <w:pStyle w:val="Paragraphedeliste"/>
        <w:numPr>
          <w:ilvl w:val="0"/>
          <w:numId w:val="7"/>
        </w:numPr>
        <w:tabs>
          <w:tab w:val="left" w:pos="284"/>
        </w:tabs>
        <w:ind w:left="142" w:hanging="142"/>
        <w:rPr>
          <w:rFonts w:eastAsia="Times New Roman" w:cs="Arial"/>
          <w:b/>
          <w:bCs/>
          <w:szCs w:val="24"/>
          <w:lang w:eastAsia="fr-FR"/>
        </w:rPr>
      </w:pPr>
      <w:r w:rsidRPr="0001795E">
        <w:rPr>
          <w:rFonts w:eastAsia="Times New Roman" w:cs="Arial"/>
          <w:b/>
          <w:bCs/>
          <w:szCs w:val="24"/>
          <w:lang w:eastAsia="fr-FR"/>
        </w:rPr>
        <w:t xml:space="preserve">Recettes </w:t>
      </w:r>
    </w:p>
    <w:p w14:paraId="7631DE8A" w14:textId="42A658E4" w:rsidR="00C36AAA" w:rsidRPr="0001795E" w:rsidRDefault="00C36AAA" w:rsidP="0016106A">
      <w:pPr>
        <w:rPr>
          <w:rFonts w:eastAsia="Times New Roman" w:cs="Arial"/>
          <w:color w:val="000000"/>
          <w:szCs w:val="24"/>
          <w:lang w:eastAsia="fr-FR"/>
        </w:rPr>
      </w:pPr>
      <w:r w:rsidRPr="0001795E">
        <w:rPr>
          <w:rFonts w:eastAsia="Times New Roman" w:cs="Arial"/>
          <w:szCs w:val="24"/>
          <w:lang w:eastAsia="fr-FR"/>
        </w:rPr>
        <w:t>Les principales sources de recette des districts sanitaires enquêtés sont :</w:t>
      </w:r>
      <w:r w:rsidRPr="0001795E">
        <w:rPr>
          <w:rFonts w:eastAsia="Times New Roman" w:cs="Arial"/>
          <w:b/>
          <w:bCs/>
          <w:szCs w:val="24"/>
          <w:lang w:eastAsia="fr-FR"/>
        </w:rPr>
        <w:t xml:space="preserve"> l’</w:t>
      </w:r>
      <w:proofErr w:type="spellStart"/>
      <w:r w:rsidRPr="0001795E">
        <w:rPr>
          <w:rFonts w:eastAsia="Times New Roman" w:cs="Arial"/>
          <w:bCs/>
          <w:szCs w:val="24"/>
          <w:lang w:eastAsia="fr-FR"/>
        </w:rPr>
        <w:t>Etat</w:t>
      </w:r>
      <w:proofErr w:type="spellEnd"/>
      <w:r w:rsidRPr="0001795E">
        <w:rPr>
          <w:rFonts w:eastAsia="Times New Roman" w:cs="Arial"/>
          <w:bCs/>
          <w:szCs w:val="24"/>
          <w:lang w:eastAsia="fr-FR"/>
        </w:rPr>
        <w:t>, les Partenaires Technique et Financiers, le recouvrement de couts et les collectivités décentralisées qui ont contribué durant l’année considérée à hauteur respectivement de 50 627 949 967 (</w:t>
      </w:r>
      <w:proofErr w:type="spellStart"/>
      <w:r w:rsidRPr="0001795E">
        <w:rPr>
          <w:rFonts w:eastAsia="Times New Roman" w:cs="Arial"/>
          <w:bCs/>
          <w:szCs w:val="24"/>
          <w:lang w:eastAsia="fr-FR"/>
        </w:rPr>
        <w:t>Etat</w:t>
      </w:r>
      <w:proofErr w:type="spellEnd"/>
      <w:r w:rsidRPr="0001795E">
        <w:rPr>
          <w:rFonts w:eastAsia="Times New Roman" w:cs="Arial"/>
          <w:bCs/>
          <w:szCs w:val="24"/>
          <w:lang w:eastAsia="fr-FR"/>
        </w:rPr>
        <w:t>)</w:t>
      </w:r>
      <w:r w:rsidR="00AC4C23" w:rsidRPr="0001795E">
        <w:rPr>
          <w:rFonts w:eastAsia="Times New Roman" w:cs="Arial"/>
          <w:bCs/>
          <w:szCs w:val="24"/>
          <w:lang w:eastAsia="fr-FR"/>
        </w:rPr>
        <w:t xml:space="preserve"> </w:t>
      </w:r>
      <w:r w:rsidRPr="0001795E">
        <w:rPr>
          <w:rFonts w:eastAsia="Times New Roman" w:cs="Arial"/>
          <w:bCs/>
          <w:szCs w:val="24"/>
          <w:lang w:eastAsia="fr-FR"/>
        </w:rPr>
        <w:t>; 25 535 372 904 (</w:t>
      </w:r>
      <w:proofErr w:type="spellStart"/>
      <w:r w:rsidRPr="0001795E">
        <w:rPr>
          <w:rFonts w:eastAsia="Times New Roman" w:cs="Arial"/>
          <w:bCs/>
          <w:szCs w:val="24"/>
          <w:lang w:eastAsia="fr-FR"/>
        </w:rPr>
        <w:t>PTF</w:t>
      </w:r>
      <w:proofErr w:type="spellEnd"/>
      <w:r w:rsidRPr="0001795E">
        <w:rPr>
          <w:rFonts w:eastAsia="Times New Roman" w:cs="Arial"/>
          <w:bCs/>
          <w:szCs w:val="24"/>
          <w:lang w:eastAsia="fr-FR"/>
        </w:rPr>
        <w:t>); 6 862 746 767 (recouvrement des couts); 4 235 650 (Collectivités) soit un total de  83 030 305 288 pour les 16 districts enquêtés. Ainsi</w:t>
      </w:r>
      <w:r w:rsidR="00EA6D90" w:rsidRPr="0001795E">
        <w:rPr>
          <w:rFonts w:eastAsia="Times New Roman" w:cs="Arial"/>
          <w:bCs/>
          <w:szCs w:val="24"/>
          <w:lang w:eastAsia="fr-FR"/>
        </w:rPr>
        <w:t>,</w:t>
      </w:r>
      <w:r w:rsidRPr="0001795E">
        <w:rPr>
          <w:rFonts w:eastAsia="Times New Roman" w:cs="Arial"/>
          <w:bCs/>
          <w:szCs w:val="24"/>
          <w:lang w:eastAsia="fr-FR"/>
        </w:rPr>
        <w:t xml:space="preserve"> les efforts de financement des districts enquêtés par source se présentent comme suit : </w:t>
      </w:r>
      <w:proofErr w:type="spellStart"/>
      <w:r w:rsidRPr="0001795E">
        <w:rPr>
          <w:rFonts w:eastAsia="Times New Roman" w:cs="Arial"/>
          <w:bCs/>
          <w:szCs w:val="24"/>
          <w:lang w:eastAsia="fr-FR"/>
        </w:rPr>
        <w:t>Etat</w:t>
      </w:r>
      <w:proofErr w:type="spellEnd"/>
      <w:r w:rsidRPr="0001795E">
        <w:rPr>
          <w:rFonts w:eastAsia="Times New Roman" w:cs="Arial"/>
          <w:bCs/>
          <w:szCs w:val="24"/>
          <w:lang w:eastAsia="fr-FR"/>
        </w:rPr>
        <w:t xml:space="preserve"> (61%), Partenaires Techniques et Financiers (</w:t>
      </w:r>
      <w:r w:rsidRPr="0001795E">
        <w:rPr>
          <w:rFonts w:eastAsia="Times New Roman" w:cs="Arial"/>
          <w:color w:val="000000"/>
          <w:szCs w:val="24"/>
          <w:lang w:eastAsia="fr-FR"/>
        </w:rPr>
        <w:t xml:space="preserve">31%), </w:t>
      </w:r>
      <w:r w:rsidRPr="0001795E">
        <w:rPr>
          <w:rFonts w:eastAsia="Times New Roman" w:cs="Arial"/>
          <w:bCs/>
          <w:szCs w:val="24"/>
          <w:lang w:eastAsia="fr-FR"/>
        </w:rPr>
        <w:t>Recouvrement de couts (</w:t>
      </w:r>
      <w:r w:rsidRPr="0001795E">
        <w:rPr>
          <w:rFonts w:eastAsia="Times New Roman" w:cs="Arial"/>
          <w:color w:val="000000"/>
          <w:szCs w:val="24"/>
          <w:lang w:eastAsia="fr-FR"/>
        </w:rPr>
        <w:t xml:space="preserve">8%) et </w:t>
      </w:r>
      <w:r w:rsidRPr="0001795E">
        <w:rPr>
          <w:rFonts w:eastAsia="Times New Roman" w:cs="Arial"/>
          <w:bCs/>
          <w:szCs w:val="24"/>
          <w:lang w:eastAsia="fr-FR"/>
        </w:rPr>
        <w:t>Collectivités décentralisées (</w:t>
      </w:r>
      <w:r w:rsidRPr="0001795E">
        <w:rPr>
          <w:rFonts w:eastAsia="Times New Roman" w:cs="Arial"/>
          <w:color w:val="000000"/>
          <w:szCs w:val="24"/>
          <w:lang w:eastAsia="fr-FR"/>
        </w:rPr>
        <w:t xml:space="preserve">0,01%). </w:t>
      </w:r>
    </w:p>
    <w:p w14:paraId="7233383C" w14:textId="20B38B15" w:rsidR="00C36AAA" w:rsidRPr="0001795E" w:rsidRDefault="00C36AAA" w:rsidP="0016106A">
      <w:pPr>
        <w:rPr>
          <w:rFonts w:eastAsia="Times New Roman" w:cs="Arial"/>
          <w:bCs/>
          <w:szCs w:val="24"/>
          <w:lang w:eastAsia="fr-FR"/>
        </w:rPr>
      </w:pPr>
      <w:r w:rsidRPr="0001795E">
        <w:rPr>
          <w:rFonts w:eastAsia="Times New Roman" w:cs="Arial"/>
          <w:color w:val="000000"/>
          <w:szCs w:val="24"/>
          <w:lang w:eastAsia="fr-FR"/>
        </w:rPr>
        <w:t xml:space="preserve">Cependant, il faut prendre </w:t>
      </w:r>
      <w:r w:rsidR="00EA6D90" w:rsidRPr="0001795E">
        <w:rPr>
          <w:rFonts w:eastAsia="Times New Roman" w:cs="Arial"/>
          <w:color w:val="000000"/>
          <w:szCs w:val="24"/>
          <w:lang w:eastAsia="fr-FR"/>
        </w:rPr>
        <w:t>c</w:t>
      </w:r>
      <w:r w:rsidRPr="0001795E">
        <w:rPr>
          <w:rFonts w:eastAsia="Times New Roman" w:cs="Arial"/>
          <w:color w:val="000000"/>
          <w:szCs w:val="24"/>
          <w:lang w:eastAsia="fr-FR"/>
        </w:rPr>
        <w:t>es résultats avec des réserves en raison de la faible disponibilité des données financières récoltées (de nombreux cas de données manquantes notamment en matière de recouvrement de couts).</w:t>
      </w:r>
    </w:p>
    <w:p w14:paraId="01299566" w14:textId="77777777" w:rsidR="00C36AAA" w:rsidRPr="0001795E" w:rsidRDefault="00C36AAA" w:rsidP="00514550">
      <w:pPr>
        <w:pStyle w:val="Paragraphedeliste"/>
        <w:numPr>
          <w:ilvl w:val="0"/>
          <w:numId w:val="7"/>
        </w:numPr>
        <w:tabs>
          <w:tab w:val="left" w:pos="284"/>
        </w:tabs>
        <w:ind w:left="142" w:hanging="142"/>
        <w:rPr>
          <w:rFonts w:eastAsia="Times New Roman" w:cs="Arial"/>
          <w:b/>
          <w:bCs/>
          <w:color w:val="0070C0"/>
          <w:szCs w:val="24"/>
          <w:lang w:eastAsia="fr-FR"/>
        </w:rPr>
      </w:pPr>
      <w:r w:rsidRPr="0001795E">
        <w:rPr>
          <w:rFonts w:eastAsia="Times New Roman" w:cs="Arial"/>
          <w:b/>
          <w:bCs/>
          <w:szCs w:val="24"/>
          <w:lang w:eastAsia="fr-FR"/>
        </w:rPr>
        <w:t>Dépenses</w:t>
      </w:r>
    </w:p>
    <w:p w14:paraId="636EDB2C" w14:textId="1C45443F" w:rsidR="00C36AAA" w:rsidRPr="0001795E" w:rsidRDefault="00C36AAA" w:rsidP="0016106A">
      <w:pPr>
        <w:rPr>
          <w:rFonts w:eastAsia="Times New Roman" w:cs="Arial"/>
          <w:bCs/>
          <w:szCs w:val="24"/>
          <w:lang w:eastAsia="fr-FR"/>
        </w:rPr>
      </w:pPr>
      <w:r w:rsidRPr="0001795E">
        <w:rPr>
          <w:rFonts w:eastAsia="Times New Roman" w:cs="Arial"/>
          <w:bCs/>
          <w:szCs w:val="24"/>
          <w:lang w:eastAsia="fr-FR"/>
        </w:rPr>
        <w:t>Sur les cinq postes de dépense ciblés à savoir : personnel</w:t>
      </w:r>
      <w:r w:rsidR="00EA6D90" w:rsidRPr="0001795E">
        <w:rPr>
          <w:rFonts w:eastAsia="Times New Roman" w:cs="Arial"/>
          <w:bCs/>
          <w:szCs w:val="24"/>
          <w:lang w:eastAsia="fr-FR"/>
        </w:rPr>
        <w:t xml:space="preserve">, </w:t>
      </w:r>
      <w:r w:rsidRPr="0001795E">
        <w:rPr>
          <w:rFonts w:eastAsia="Times New Roman" w:cs="Arial"/>
          <w:bCs/>
          <w:szCs w:val="24"/>
          <w:lang w:eastAsia="fr-FR"/>
        </w:rPr>
        <w:t>approvisionnement en</w:t>
      </w:r>
      <w:r w:rsidR="00EA6D90" w:rsidRPr="0001795E">
        <w:rPr>
          <w:rFonts w:eastAsia="Times New Roman" w:cs="Arial"/>
          <w:bCs/>
          <w:szCs w:val="24"/>
          <w:lang w:eastAsia="fr-FR"/>
        </w:rPr>
        <w:t xml:space="preserve"> </w:t>
      </w:r>
      <w:r w:rsidRPr="0001795E">
        <w:rPr>
          <w:rFonts w:eastAsia="Times New Roman" w:cs="Arial"/>
          <w:bCs/>
          <w:szCs w:val="24"/>
          <w:lang w:eastAsia="fr-FR"/>
        </w:rPr>
        <w:t>médicaments essentiels générique</w:t>
      </w:r>
      <w:r w:rsidR="00EA6D90" w:rsidRPr="0001795E">
        <w:rPr>
          <w:rFonts w:eastAsia="Times New Roman" w:cs="Arial"/>
          <w:bCs/>
          <w:szCs w:val="24"/>
          <w:lang w:eastAsia="fr-FR"/>
        </w:rPr>
        <w:t xml:space="preserve">s, </w:t>
      </w:r>
      <w:r w:rsidRPr="0001795E">
        <w:rPr>
          <w:rFonts w:eastAsia="Times New Roman" w:cs="Arial"/>
          <w:bCs/>
          <w:szCs w:val="24"/>
          <w:lang w:eastAsia="fr-FR"/>
        </w:rPr>
        <w:t>autre fonctionnement</w:t>
      </w:r>
      <w:r w:rsidR="00EA6D90" w:rsidRPr="0001795E">
        <w:rPr>
          <w:rFonts w:eastAsia="Times New Roman" w:cs="Arial"/>
          <w:bCs/>
          <w:szCs w:val="24"/>
          <w:lang w:eastAsia="fr-FR"/>
        </w:rPr>
        <w:t xml:space="preserve">, </w:t>
      </w:r>
      <w:r w:rsidRPr="0001795E">
        <w:rPr>
          <w:rFonts w:eastAsia="Times New Roman" w:cs="Arial"/>
          <w:bCs/>
          <w:szCs w:val="24"/>
          <w:lang w:eastAsia="fr-FR"/>
        </w:rPr>
        <w:t>fonds de solidarité et investissement, la disponibilité des données a été très partielle.</w:t>
      </w:r>
    </w:p>
    <w:p w14:paraId="2EDB1565" w14:textId="77777777" w:rsidR="00C36AAA" w:rsidRPr="0001795E" w:rsidRDefault="00C36AAA" w:rsidP="0016106A">
      <w:pPr>
        <w:rPr>
          <w:rFonts w:eastAsia="Times New Roman" w:cs="Arial"/>
          <w:bCs/>
          <w:szCs w:val="24"/>
          <w:lang w:eastAsia="fr-FR"/>
        </w:rPr>
      </w:pPr>
      <w:r w:rsidRPr="0001795E">
        <w:rPr>
          <w:rFonts w:eastAsia="Times New Roman" w:cs="Arial"/>
          <w:bCs/>
          <w:szCs w:val="24"/>
          <w:lang w:eastAsia="fr-FR"/>
        </w:rPr>
        <w:t xml:space="preserve">En raison de l’envergure des données manquantes, les données obtenues ne permettent pas une analyse susceptible de refléter la réalité des dépenses sur le terrain en termes de volume et de structure. </w:t>
      </w:r>
    </w:p>
    <w:p w14:paraId="25D07CCA" w14:textId="2857EA46" w:rsidR="00C36AAA" w:rsidRPr="0001795E" w:rsidRDefault="00C36AAA" w:rsidP="0016106A">
      <w:pPr>
        <w:rPr>
          <w:rFonts w:eastAsia="Times New Roman" w:cs="Arial"/>
          <w:bCs/>
          <w:szCs w:val="24"/>
          <w:lang w:eastAsia="fr-FR"/>
        </w:rPr>
      </w:pPr>
      <w:r w:rsidRPr="0001795E">
        <w:rPr>
          <w:rFonts w:eastAsia="Times New Roman" w:cs="Arial"/>
          <w:bCs/>
          <w:szCs w:val="24"/>
          <w:lang w:eastAsia="fr-FR"/>
        </w:rPr>
        <w:t xml:space="preserve">Il est notable de relever qu’il n’existe aucune donnée sur des dépenses sur l’approvisionnement en médicaments et le fonds de solidarité au niveau des districts sanitaires enquêtés. Un seul district (Faranah) a rapporté une dépense d’investissement. Il faut signaler que les dépenses de personnel avec 52 547 389 967 </w:t>
      </w:r>
      <w:proofErr w:type="spellStart"/>
      <w:r w:rsidRPr="0001795E">
        <w:rPr>
          <w:rFonts w:eastAsia="Times New Roman" w:cs="Arial"/>
          <w:bCs/>
          <w:szCs w:val="24"/>
          <w:lang w:eastAsia="fr-FR"/>
        </w:rPr>
        <w:t>GNF</w:t>
      </w:r>
      <w:proofErr w:type="spellEnd"/>
      <w:r w:rsidRPr="0001795E">
        <w:rPr>
          <w:rFonts w:eastAsia="Times New Roman" w:cs="Arial"/>
          <w:bCs/>
          <w:szCs w:val="24"/>
          <w:lang w:eastAsia="fr-FR"/>
        </w:rPr>
        <w:t xml:space="preserve"> ont été les plus notées suivies de celle</w:t>
      </w:r>
      <w:r w:rsidR="00EA6D90" w:rsidRPr="0001795E">
        <w:rPr>
          <w:rFonts w:eastAsia="Times New Roman" w:cs="Arial"/>
          <w:bCs/>
          <w:szCs w:val="24"/>
          <w:lang w:eastAsia="fr-FR"/>
        </w:rPr>
        <w:t>s</w:t>
      </w:r>
      <w:r w:rsidRPr="0001795E">
        <w:rPr>
          <w:rFonts w:eastAsia="Times New Roman" w:cs="Arial"/>
          <w:bCs/>
          <w:szCs w:val="24"/>
          <w:lang w:eastAsia="fr-FR"/>
        </w:rPr>
        <w:t xml:space="preserve"> du fonctionnement (2 113 266 926GNF) et d’investissemen</w:t>
      </w:r>
      <w:r w:rsidR="00A62434" w:rsidRPr="0001795E">
        <w:rPr>
          <w:rFonts w:eastAsia="Times New Roman" w:cs="Arial"/>
          <w:bCs/>
          <w:szCs w:val="24"/>
          <w:lang w:eastAsia="fr-FR"/>
        </w:rPr>
        <w:t>t</w:t>
      </w:r>
      <w:r w:rsidRPr="0001795E">
        <w:rPr>
          <w:rFonts w:eastAsia="Times New Roman" w:cs="Arial"/>
          <w:bCs/>
          <w:szCs w:val="24"/>
          <w:lang w:eastAsia="fr-FR"/>
        </w:rPr>
        <w:t xml:space="preserve"> (1 230 875GNF).</w:t>
      </w:r>
      <w:r w:rsidR="00A62434" w:rsidRPr="0001795E">
        <w:rPr>
          <w:rFonts w:eastAsia="Times New Roman" w:cs="Arial"/>
          <w:bCs/>
          <w:szCs w:val="24"/>
          <w:lang w:eastAsia="fr-FR"/>
        </w:rPr>
        <w:t xml:space="preserve"> </w:t>
      </w:r>
    </w:p>
    <w:p w14:paraId="40A84654" w14:textId="43411670" w:rsidR="00C36AAA" w:rsidRPr="0001795E" w:rsidRDefault="00C36AAA" w:rsidP="0016106A">
      <w:pPr>
        <w:rPr>
          <w:rFonts w:eastAsia="Times New Roman" w:cs="Arial"/>
          <w:bCs/>
          <w:szCs w:val="24"/>
          <w:lang w:eastAsia="fr-FR"/>
        </w:rPr>
      </w:pPr>
      <w:r w:rsidRPr="0001795E">
        <w:rPr>
          <w:rFonts w:eastAsia="Times New Roman" w:cs="Arial"/>
          <w:bCs/>
          <w:szCs w:val="24"/>
          <w:lang w:eastAsia="fr-FR"/>
        </w:rPr>
        <w:t xml:space="preserve">La cause probable de cet état de fait serait une mauvaise gestion des ressources </w:t>
      </w:r>
      <w:r w:rsidR="00A62434" w:rsidRPr="0001795E">
        <w:rPr>
          <w:rFonts w:eastAsia="Times New Roman" w:cs="Arial"/>
          <w:bCs/>
          <w:szCs w:val="24"/>
          <w:lang w:eastAsia="fr-FR"/>
        </w:rPr>
        <w:t>financières</w:t>
      </w:r>
      <w:r w:rsidRPr="0001795E">
        <w:rPr>
          <w:rFonts w:eastAsia="Times New Roman" w:cs="Arial"/>
          <w:bCs/>
          <w:szCs w:val="24"/>
          <w:lang w:eastAsia="fr-FR"/>
        </w:rPr>
        <w:t xml:space="preserve">, au manque de personnels qualifiés affectés à la </w:t>
      </w:r>
      <w:r w:rsidR="00DA3691" w:rsidRPr="0001795E">
        <w:rPr>
          <w:rFonts w:eastAsia="Times New Roman" w:cs="Arial"/>
          <w:bCs/>
          <w:szCs w:val="24"/>
          <w:lang w:eastAsia="fr-FR"/>
        </w:rPr>
        <w:t>fonction</w:t>
      </w:r>
      <w:r w:rsidRPr="0001795E">
        <w:rPr>
          <w:rFonts w:eastAsia="Times New Roman" w:cs="Arial"/>
          <w:bCs/>
          <w:szCs w:val="24"/>
          <w:lang w:eastAsia="fr-FR"/>
        </w:rPr>
        <w:t xml:space="preserve"> (</w:t>
      </w:r>
      <w:proofErr w:type="spellStart"/>
      <w:r w:rsidRPr="0001795E">
        <w:rPr>
          <w:rFonts w:eastAsia="Times New Roman" w:cs="Arial"/>
          <w:bCs/>
          <w:szCs w:val="24"/>
          <w:lang w:eastAsia="fr-FR"/>
        </w:rPr>
        <w:t>SAF</w:t>
      </w:r>
      <w:proofErr w:type="spellEnd"/>
      <w:r w:rsidRPr="0001795E">
        <w:rPr>
          <w:rFonts w:eastAsia="Times New Roman" w:cs="Arial"/>
          <w:bCs/>
          <w:szCs w:val="24"/>
          <w:lang w:eastAsia="fr-FR"/>
        </w:rPr>
        <w:t xml:space="preserve">, </w:t>
      </w:r>
      <w:r w:rsidR="006D104E" w:rsidRPr="0001795E">
        <w:rPr>
          <w:rFonts w:eastAsia="Times New Roman" w:cs="Arial"/>
          <w:bCs/>
          <w:szCs w:val="24"/>
          <w:lang w:eastAsia="fr-FR"/>
        </w:rPr>
        <w:t>c</w:t>
      </w:r>
      <w:r w:rsidRPr="0001795E">
        <w:rPr>
          <w:rFonts w:eastAsia="Times New Roman" w:cs="Arial"/>
          <w:bCs/>
          <w:szCs w:val="24"/>
          <w:lang w:eastAsia="fr-FR"/>
        </w:rPr>
        <w:t>omptable)</w:t>
      </w:r>
      <w:r w:rsidR="00DA3691" w:rsidRPr="0001795E">
        <w:rPr>
          <w:rFonts w:eastAsia="Times New Roman" w:cs="Arial"/>
          <w:bCs/>
          <w:szCs w:val="24"/>
          <w:lang w:eastAsia="fr-FR"/>
        </w:rPr>
        <w:t xml:space="preserve"> et</w:t>
      </w:r>
      <w:r w:rsidRPr="0001795E">
        <w:rPr>
          <w:rFonts w:eastAsia="Times New Roman" w:cs="Arial"/>
          <w:bCs/>
          <w:szCs w:val="24"/>
          <w:lang w:eastAsia="fr-FR"/>
        </w:rPr>
        <w:t xml:space="preserve"> </w:t>
      </w:r>
      <w:r w:rsidR="006D104E" w:rsidRPr="0001795E">
        <w:rPr>
          <w:rFonts w:eastAsia="Times New Roman" w:cs="Arial"/>
          <w:bCs/>
          <w:szCs w:val="24"/>
          <w:lang w:eastAsia="fr-FR"/>
        </w:rPr>
        <w:t xml:space="preserve">à </w:t>
      </w:r>
      <w:r w:rsidR="00DA3691" w:rsidRPr="0001795E">
        <w:rPr>
          <w:rFonts w:eastAsia="Times New Roman" w:cs="Arial"/>
          <w:bCs/>
          <w:szCs w:val="24"/>
          <w:lang w:eastAsia="fr-FR"/>
        </w:rPr>
        <w:t>l’insuffisan</w:t>
      </w:r>
      <w:r w:rsidR="006E5C64" w:rsidRPr="0001795E">
        <w:rPr>
          <w:rFonts w:eastAsia="Times New Roman" w:cs="Arial"/>
          <w:bCs/>
          <w:szCs w:val="24"/>
          <w:lang w:eastAsia="fr-FR"/>
        </w:rPr>
        <w:t>ce</w:t>
      </w:r>
      <w:r w:rsidR="00DA3691" w:rsidRPr="0001795E">
        <w:rPr>
          <w:rFonts w:eastAsia="Times New Roman" w:cs="Arial"/>
          <w:bCs/>
          <w:szCs w:val="24"/>
          <w:lang w:eastAsia="fr-FR"/>
        </w:rPr>
        <w:t xml:space="preserve"> d</w:t>
      </w:r>
      <w:r w:rsidRPr="0001795E">
        <w:rPr>
          <w:rFonts w:eastAsia="Times New Roman" w:cs="Arial"/>
          <w:bCs/>
          <w:szCs w:val="24"/>
          <w:lang w:eastAsia="fr-FR"/>
        </w:rPr>
        <w:t>e leadership d</w:t>
      </w:r>
      <w:r w:rsidR="006E5C64" w:rsidRPr="0001795E">
        <w:rPr>
          <w:rFonts w:eastAsia="Times New Roman" w:cs="Arial"/>
          <w:bCs/>
          <w:szCs w:val="24"/>
          <w:lang w:eastAsia="fr-FR"/>
        </w:rPr>
        <w:t xml:space="preserve">u </w:t>
      </w:r>
      <w:r w:rsidRPr="0001795E">
        <w:rPr>
          <w:rFonts w:eastAsia="Times New Roman" w:cs="Arial"/>
          <w:bCs/>
          <w:szCs w:val="24"/>
          <w:lang w:eastAsia="fr-FR"/>
        </w:rPr>
        <w:t xml:space="preserve">responsable de </w:t>
      </w:r>
      <w:r w:rsidR="006D104E" w:rsidRPr="0001795E">
        <w:rPr>
          <w:rFonts w:eastAsia="Times New Roman" w:cs="Arial"/>
          <w:bCs/>
          <w:szCs w:val="24"/>
          <w:lang w:eastAsia="fr-FR"/>
        </w:rPr>
        <w:t>d</w:t>
      </w:r>
      <w:r w:rsidRPr="0001795E">
        <w:rPr>
          <w:rFonts w:eastAsia="Times New Roman" w:cs="Arial"/>
          <w:bCs/>
          <w:szCs w:val="24"/>
          <w:lang w:eastAsia="fr-FR"/>
        </w:rPr>
        <w:t>istrict.</w:t>
      </w:r>
    </w:p>
    <w:p w14:paraId="5D652C8B" w14:textId="1F062441" w:rsidR="00F47B61" w:rsidRPr="0001795E" w:rsidRDefault="00CE4CF8" w:rsidP="00514550">
      <w:pPr>
        <w:pStyle w:val="Titre2"/>
        <w:numPr>
          <w:ilvl w:val="1"/>
          <w:numId w:val="8"/>
        </w:numPr>
        <w:tabs>
          <w:tab w:val="left" w:pos="284"/>
        </w:tabs>
        <w:rPr>
          <w:szCs w:val="24"/>
        </w:rPr>
      </w:pPr>
      <w:r w:rsidRPr="0001795E">
        <w:rPr>
          <w:szCs w:val="24"/>
        </w:rPr>
        <w:t xml:space="preserve"> </w:t>
      </w:r>
      <w:bookmarkStart w:id="257" w:name="_Toc63233219"/>
      <w:r w:rsidR="00DF6B35" w:rsidRPr="0001795E">
        <w:rPr>
          <w:szCs w:val="24"/>
        </w:rPr>
        <w:t>Formation</w:t>
      </w:r>
      <w:r w:rsidR="00CC0D7E" w:rsidRPr="0001795E">
        <w:rPr>
          <w:szCs w:val="24"/>
        </w:rPr>
        <w:t>s</w:t>
      </w:r>
      <w:r w:rsidR="00DF6B35" w:rsidRPr="0001795E">
        <w:rPr>
          <w:szCs w:val="24"/>
        </w:rPr>
        <w:t xml:space="preserve"> sanitaire</w:t>
      </w:r>
      <w:r w:rsidR="00CC0D7E" w:rsidRPr="0001795E">
        <w:rPr>
          <w:szCs w:val="24"/>
        </w:rPr>
        <w:t>s</w:t>
      </w:r>
      <w:r w:rsidR="00DF6B35" w:rsidRPr="0001795E">
        <w:rPr>
          <w:szCs w:val="24"/>
        </w:rPr>
        <w:t xml:space="preserve"> des districts</w:t>
      </w:r>
      <w:bookmarkEnd w:id="257"/>
    </w:p>
    <w:p w14:paraId="22151806" w14:textId="4D2B42BE" w:rsidR="006D104E" w:rsidRPr="0001795E" w:rsidRDefault="006D104E" w:rsidP="006D104E">
      <w:r w:rsidRPr="0001795E">
        <w:t>Les formations sanitaires objet de la présente évaluation concernent les hôpitaux de district</w:t>
      </w:r>
      <w:r w:rsidR="00CE4CF8" w:rsidRPr="0001795E">
        <w:t>, les hôpitaux spécialisés</w:t>
      </w:r>
      <w:r w:rsidRPr="0001795E">
        <w:t xml:space="preserve"> et les centres de santé intégrés.</w:t>
      </w:r>
      <w:r w:rsidR="0034495C" w:rsidRPr="0001795E">
        <w:t xml:space="preserve"> </w:t>
      </w:r>
    </w:p>
    <w:p w14:paraId="0D6AB068" w14:textId="0956EC86" w:rsidR="009824BF" w:rsidRPr="0001795E" w:rsidRDefault="009824BF" w:rsidP="00A41318">
      <w:pPr>
        <w:pStyle w:val="Titre3"/>
        <w:numPr>
          <w:ilvl w:val="2"/>
          <w:numId w:val="8"/>
        </w:numPr>
      </w:pPr>
      <w:bookmarkStart w:id="258" w:name="_Toc63233220"/>
      <w:r w:rsidRPr="0001795E">
        <w:t>Hôpitaux de district</w:t>
      </w:r>
      <w:bookmarkEnd w:id="258"/>
    </w:p>
    <w:p w14:paraId="60292756" w14:textId="77777777" w:rsidR="00CC0D7E" w:rsidRPr="0001795E" w:rsidRDefault="00CC0D7E" w:rsidP="0016106A">
      <w:pPr>
        <w:rPr>
          <w:rFonts w:eastAsia="Times New Roman" w:cs="Arial"/>
          <w:bCs/>
          <w:szCs w:val="24"/>
          <w:lang w:eastAsia="fr-FR"/>
        </w:rPr>
      </w:pPr>
      <w:r w:rsidRPr="0001795E">
        <w:rPr>
          <w:rFonts w:eastAsia="Times New Roman" w:cs="Arial"/>
          <w:bCs/>
          <w:szCs w:val="24"/>
          <w:lang w:eastAsia="fr-FR"/>
        </w:rPr>
        <w:t xml:space="preserve">Dans cette étude, sont considérés comme hôpital de district aussi bien l’hôpital préfectoral que le centre médical communal, le centre de santé amélioré et la clinique privée. </w:t>
      </w:r>
    </w:p>
    <w:p w14:paraId="25D7042E" w14:textId="0A7E1B29" w:rsidR="00CC0D7E" w:rsidRPr="0001795E" w:rsidRDefault="00900715" w:rsidP="0016106A">
      <w:pPr>
        <w:rPr>
          <w:rFonts w:eastAsia="Times New Roman" w:cs="Arial"/>
          <w:szCs w:val="24"/>
          <w:lang w:eastAsia="fr-FR"/>
        </w:rPr>
      </w:pPr>
      <w:r w:rsidRPr="0001795E">
        <w:rPr>
          <w:rFonts w:eastAsia="Times New Roman" w:cs="Arial"/>
          <w:szCs w:val="24"/>
          <w:lang w:eastAsia="fr-FR"/>
        </w:rPr>
        <w:t>Le n</w:t>
      </w:r>
      <w:r w:rsidR="00CC0D7E" w:rsidRPr="0001795E">
        <w:rPr>
          <w:rFonts w:eastAsia="Times New Roman" w:cs="Arial"/>
          <w:szCs w:val="24"/>
          <w:lang w:eastAsia="fr-FR"/>
        </w:rPr>
        <w:t xml:space="preserve">ombre total </w:t>
      </w:r>
      <w:r w:rsidRPr="0001795E">
        <w:rPr>
          <w:rFonts w:eastAsia="Times New Roman" w:cs="Arial"/>
          <w:szCs w:val="24"/>
          <w:lang w:eastAsia="fr-FR"/>
        </w:rPr>
        <w:t xml:space="preserve">d’hôpitaux de district enquêtés est de </w:t>
      </w:r>
      <w:r w:rsidR="00CC0D7E" w:rsidRPr="0001795E">
        <w:rPr>
          <w:rFonts w:eastAsia="Times New Roman" w:cs="Arial"/>
          <w:szCs w:val="24"/>
          <w:lang w:eastAsia="fr-FR"/>
        </w:rPr>
        <w:t xml:space="preserve">19 </w:t>
      </w:r>
      <w:r w:rsidRPr="0001795E">
        <w:rPr>
          <w:rFonts w:eastAsia="Times New Roman" w:cs="Arial"/>
          <w:szCs w:val="24"/>
          <w:lang w:eastAsia="fr-FR"/>
        </w:rPr>
        <w:t xml:space="preserve">soit 7 hôpitaux préfectoraux, 6 </w:t>
      </w:r>
      <w:proofErr w:type="spellStart"/>
      <w:r w:rsidR="00CC0D7E" w:rsidRPr="0001795E">
        <w:rPr>
          <w:rFonts w:eastAsia="Times New Roman" w:cs="Arial"/>
          <w:szCs w:val="24"/>
          <w:lang w:eastAsia="fr-FR"/>
        </w:rPr>
        <w:t>CMC</w:t>
      </w:r>
      <w:proofErr w:type="spellEnd"/>
      <w:r w:rsidRPr="0001795E">
        <w:rPr>
          <w:rFonts w:eastAsia="Times New Roman" w:cs="Arial"/>
          <w:szCs w:val="24"/>
          <w:lang w:eastAsia="fr-FR"/>
        </w:rPr>
        <w:t xml:space="preserve">, 5 </w:t>
      </w:r>
      <w:r w:rsidR="00CC0D7E" w:rsidRPr="0001795E">
        <w:rPr>
          <w:rFonts w:eastAsia="Times New Roman" w:cs="Arial"/>
          <w:szCs w:val="24"/>
          <w:lang w:eastAsia="fr-FR"/>
        </w:rPr>
        <w:t xml:space="preserve">CSA </w:t>
      </w:r>
      <w:r w:rsidRPr="0001795E">
        <w:rPr>
          <w:rFonts w:eastAsia="Times New Roman" w:cs="Arial"/>
          <w:szCs w:val="24"/>
          <w:lang w:eastAsia="fr-FR"/>
        </w:rPr>
        <w:t>et 1 c</w:t>
      </w:r>
      <w:r w:rsidR="00CC0D7E" w:rsidRPr="0001795E">
        <w:rPr>
          <w:rFonts w:eastAsia="Times New Roman" w:cs="Arial"/>
          <w:szCs w:val="24"/>
          <w:lang w:eastAsia="fr-FR"/>
        </w:rPr>
        <w:t>linique privée</w:t>
      </w:r>
      <w:r w:rsidRPr="00BC5BA1">
        <w:rPr>
          <w:rFonts w:eastAsia="Times New Roman" w:cs="Arial"/>
          <w:color w:val="000000" w:themeColor="text1"/>
          <w:szCs w:val="24"/>
          <w:lang w:eastAsia="fr-FR"/>
        </w:rPr>
        <w:t>.</w:t>
      </w:r>
    </w:p>
    <w:p w14:paraId="44C82ECE" w14:textId="4E630034" w:rsidR="00CC0D7E" w:rsidRPr="0001795E" w:rsidRDefault="00CC0D7E" w:rsidP="00514550">
      <w:pPr>
        <w:pStyle w:val="Paragraphedeliste"/>
        <w:numPr>
          <w:ilvl w:val="0"/>
          <w:numId w:val="7"/>
        </w:numPr>
        <w:ind w:left="426" w:hanging="426"/>
        <w:rPr>
          <w:rFonts w:cs="Arial"/>
          <w:b/>
          <w:szCs w:val="24"/>
        </w:rPr>
      </w:pPr>
      <w:r w:rsidRPr="0001795E">
        <w:rPr>
          <w:rFonts w:cs="Arial"/>
          <w:b/>
          <w:szCs w:val="24"/>
        </w:rPr>
        <w:t>Nombre avec activités de référence</w:t>
      </w:r>
    </w:p>
    <w:p w14:paraId="4EB8635C" w14:textId="77777777" w:rsidR="00CC0D7E" w:rsidRPr="0001795E" w:rsidRDefault="00CC0D7E" w:rsidP="0016106A">
      <w:pPr>
        <w:rPr>
          <w:rFonts w:cs="Arial"/>
          <w:szCs w:val="24"/>
        </w:rPr>
      </w:pPr>
      <w:r w:rsidRPr="0001795E">
        <w:rPr>
          <w:rFonts w:cs="Arial"/>
          <w:szCs w:val="24"/>
        </w:rPr>
        <w:t>Aucun hôpital de district ne développe exclusivement que des activités de référence. Ce qui reflète la réalité du système de santé Guinéen.</w:t>
      </w:r>
    </w:p>
    <w:p w14:paraId="12C8A80D" w14:textId="3EE99E9B" w:rsidR="00CC0D7E" w:rsidRPr="0001795E" w:rsidRDefault="00CC0D7E" w:rsidP="0016106A">
      <w:pPr>
        <w:rPr>
          <w:rFonts w:cs="Arial"/>
          <w:b/>
          <w:szCs w:val="24"/>
        </w:rPr>
      </w:pPr>
      <w:r w:rsidRPr="0001795E">
        <w:rPr>
          <w:rFonts w:cs="Arial"/>
          <w:szCs w:val="24"/>
        </w:rPr>
        <w:t>L’ensemble des hôpitaux des districts enquêtés développent chacun en ce qui le concerne, le PMA complet. Autrement dit, aucun des établissements hospitaliers de district n’offre un PMA incomplet.</w:t>
      </w:r>
    </w:p>
    <w:p w14:paraId="36E3B637" w14:textId="1E0BA9A2" w:rsidR="00CC0D7E" w:rsidRPr="0001795E" w:rsidRDefault="00CC0D7E" w:rsidP="00514550">
      <w:pPr>
        <w:pStyle w:val="Paragraphedeliste"/>
        <w:numPr>
          <w:ilvl w:val="0"/>
          <w:numId w:val="7"/>
        </w:numPr>
        <w:ind w:left="426" w:hanging="426"/>
        <w:rPr>
          <w:rFonts w:cs="Arial"/>
          <w:b/>
          <w:szCs w:val="24"/>
        </w:rPr>
      </w:pPr>
      <w:r w:rsidRPr="0001795E">
        <w:rPr>
          <w:rFonts w:cs="Arial"/>
          <w:b/>
          <w:szCs w:val="24"/>
        </w:rPr>
        <w:t xml:space="preserve">Statut gestionnaire </w:t>
      </w:r>
    </w:p>
    <w:p w14:paraId="58D23E5C" w14:textId="2376816B" w:rsidR="00CC0D7E" w:rsidRPr="0001795E" w:rsidRDefault="00CC0D7E" w:rsidP="0016106A">
      <w:pPr>
        <w:rPr>
          <w:rFonts w:cs="Arial"/>
          <w:szCs w:val="24"/>
        </w:rPr>
      </w:pPr>
      <w:r w:rsidRPr="0001795E">
        <w:rPr>
          <w:rFonts w:cs="Arial"/>
          <w:szCs w:val="24"/>
        </w:rPr>
        <w:t>Du point de vue statut gestionnaire, la situation des établissements hospitaliers enquêtés se présente comme suit :</w:t>
      </w:r>
    </w:p>
    <w:p w14:paraId="14AF3C39" w14:textId="535DFF84" w:rsidR="00CC0D7E" w:rsidRPr="0001795E" w:rsidRDefault="00CC0D7E" w:rsidP="00514550">
      <w:pPr>
        <w:pStyle w:val="Paragraphedeliste"/>
        <w:numPr>
          <w:ilvl w:val="0"/>
          <w:numId w:val="2"/>
        </w:numPr>
        <w:rPr>
          <w:rFonts w:cs="Arial"/>
          <w:szCs w:val="24"/>
        </w:rPr>
      </w:pPr>
      <w:proofErr w:type="spellStart"/>
      <w:r w:rsidRPr="0001795E">
        <w:rPr>
          <w:rFonts w:cs="Arial"/>
          <w:szCs w:val="24"/>
        </w:rPr>
        <w:t>Etablissements</w:t>
      </w:r>
      <w:proofErr w:type="spellEnd"/>
      <w:r w:rsidRPr="0001795E">
        <w:rPr>
          <w:rFonts w:cs="Arial"/>
          <w:szCs w:val="24"/>
        </w:rPr>
        <w:t xml:space="preserve"> publics</w:t>
      </w:r>
      <w:r w:rsidR="00935C50" w:rsidRPr="0001795E">
        <w:rPr>
          <w:rFonts w:cs="Arial"/>
          <w:szCs w:val="24"/>
        </w:rPr>
        <w:t xml:space="preserve"> ; </w:t>
      </w:r>
      <w:r w:rsidR="001E41D6">
        <w:rPr>
          <w:rFonts w:cs="Arial"/>
          <w:szCs w:val="24"/>
        </w:rPr>
        <w:t>88</w:t>
      </w:r>
      <w:r w:rsidRPr="0001795E">
        <w:rPr>
          <w:rFonts w:cs="Arial"/>
          <w:szCs w:val="24"/>
        </w:rPr>
        <w:t>%</w:t>
      </w:r>
    </w:p>
    <w:p w14:paraId="2E97A0B6" w14:textId="4EE94525" w:rsidR="00935C50" w:rsidRPr="00350EFF" w:rsidRDefault="00CC0D7E" w:rsidP="00514550">
      <w:pPr>
        <w:pStyle w:val="Paragraphedeliste"/>
        <w:numPr>
          <w:ilvl w:val="0"/>
          <w:numId w:val="2"/>
        </w:numPr>
        <w:rPr>
          <w:rFonts w:cs="Arial"/>
          <w:szCs w:val="24"/>
        </w:rPr>
      </w:pPr>
      <w:proofErr w:type="spellStart"/>
      <w:r w:rsidRPr="0001795E">
        <w:rPr>
          <w:rFonts w:cs="Arial"/>
          <w:szCs w:val="24"/>
        </w:rPr>
        <w:t>Etablissement</w:t>
      </w:r>
      <w:proofErr w:type="spellEnd"/>
      <w:r w:rsidRPr="0001795E">
        <w:rPr>
          <w:rFonts w:cs="Arial"/>
          <w:szCs w:val="24"/>
        </w:rPr>
        <w:t xml:space="preserve"> confessionnels</w:t>
      </w:r>
      <w:r w:rsidR="00935C50" w:rsidRPr="0001795E">
        <w:rPr>
          <w:rFonts w:cs="Arial"/>
          <w:szCs w:val="24"/>
        </w:rPr>
        <w:t> ;</w:t>
      </w:r>
      <w:r w:rsidRPr="0001795E">
        <w:rPr>
          <w:rFonts w:cs="Arial"/>
          <w:szCs w:val="24"/>
        </w:rPr>
        <w:t xml:space="preserve"> </w:t>
      </w:r>
      <w:r w:rsidR="001E41D6">
        <w:rPr>
          <w:rFonts w:cs="Arial"/>
          <w:szCs w:val="24"/>
        </w:rPr>
        <w:t>12</w:t>
      </w:r>
      <w:r w:rsidRPr="0001795E">
        <w:rPr>
          <w:rFonts w:cs="Arial"/>
          <w:szCs w:val="24"/>
        </w:rPr>
        <w:t>%</w:t>
      </w:r>
      <w:r w:rsidR="00350EFF">
        <w:rPr>
          <w:rFonts w:cs="Arial"/>
          <w:szCs w:val="24"/>
        </w:rPr>
        <w:t>.</w:t>
      </w:r>
    </w:p>
    <w:p w14:paraId="1BC3CBD5" w14:textId="7C4DB42B" w:rsidR="00CC0D7E" w:rsidRPr="0001795E" w:rsidRDefault="00CC0D7E" w:rsidP="00514550">
      <w:pPr>
        <w:pStyle w:val="Paragraphedeliste"/>
        <w:numPr>
          <w:ilvl w:val="0"/>
          <w:numId w:val="7"/>
        </w:numPr>
        <w:ind w:left="426" w:hanging="426"/>
        <w:rPr>
          <w:rFonts w:cs="Arial"/>
          <w:b/>
          <w:szCs w:val="24"/>
        </w:rPr>
      </w:pPr>
      <w:r w:rsidRPr="0001795E">
        <w:rPr>
          <w:rFonts w:cs="Arial"/>
          <w:b/>
          <w:szCs w:val="24"/>
        </w:rPr>
        <w:t>Fonctionn</w:t>
      </w:r>
      <w:r w:rsidR="00935C50" w:rsidRPr="0001795E">
        <w:rPr>
          <w:rFonts w:cs="Arial"/>
          <w:b/>
          <w:szCs w:val="24"/>
        </w:rPr>
        <w:t>alité</w:t>
      </w:r>
      <w:r w:rsidRPr="0001795E">
        <w:rPr>
          <w:rFonts w:cs="Arial"/>
          <w:b/>
          <w:szCs w:val="24"/>
        </w:rPr>
        <w:t xml:space="preserve"> </w:t>
      </w:r>
    </w:p>
    <w:p w14:paraId="7CF343BA" w14:textId="77777777" w:rsidR="00CC0D7E" w:rsidRPr="0001795E" w:rsidRDefault="00CC0D7E" w:rsidP="0016106A">
      <w:pPr>
        <w:rPr>
          <w:rFonts w:cs="Arial"/>
          <w:szCs w:val="24"/>
        </w:rPr>
      </w:pPr>
      <w:r w:rsidRPr="0001795E">
        <w:rPr>
          <w:rFonts w:cs="Arial"/>
          <w:szCs w:val="24"/>
        </w:rPr>
        <w:t xml:space="preserve">Tous les hôpitaux des districts enquêtés sont fonctionnels selon les réponses données par les personnes enquêtées. </w:t>
      </w:r>
    </w:p>
    <w:p w14:paraId="50FE4C70" w14:textId="4A549B97" w:rsidR="006400B5" w:rsidRPr="0001795E" w:rsidRDefault="006400B5" w:rsidP="00A41318">
      <w:pPr>
        <w:pStyle w:val="Titre3"/>
        <w:numPr>
          <w:ilvl w:val="2"/>
          <w:numId w:val="8"/>
        </w:numPr>
      </w:pPr>
      <w:bookmarkStart w:id="259" w:name="_Toc63233221"/>
      <w:r w:rsidRPr="0001795E">
        <w:t>Etablissements de soins spécialisés</w:t>
      </w:r>
      <w:bookmarkEnd w:id="259"/>
    </w:p>
    <w:p w14:paraId="0929E40C" w14:textId="77B89D4A" w:rsidR="00CC0D7E" w:rsidRPr="0001795E" w:rsidRDefault="00CC0D7E" w:rsidP="0016106A">
      <w:pPr>
        <w:rPr>
          <w:rFonts w:eastAsia="Times New Roman" w:cs="Arial"/>
          <w:bCs/>
          <w:szCs w:val="24"/>
          <w:lang w:eastAsia="fr-FR"/>
        </w:rPr>
      </w:pPr>
      <w:r w:rsidRPr="0001795E">
        <w:rPr>
          <w:rFonts w:eastAsia="Times New Roman" w:cs="Arial"/>
          <w:bCs/>
          <w:szCs w:val="24"/>
          <w:lang w:eastAsia="fr-FR"/>
        </w:rPr>
        <w:t>L’échantillon étudié compte au total 8 établissements de soins spécialisés correspondant aux sept h</w:t>
      </w:r>
      <w:r w:rsidR="00F5338C" w:rsidRPr="0001795E">
        <w:rPr>
          <w:rFonts w:eastAsia="Times New Roman" w:cs="Arial"/>
          <w:bCs/>
          <w:szCs w:val="24"/>
          <w:lang w:eastAsia="fr-FR"/>
        </w:rPr>
        <w:t>ô</w:t>
      </w:r>
      <w:r w:rsidRPr="0001795E">
        <w:rPr>
          <w:rFonts w:eastAsia="Times New Roman" w:cs="Arial"/>
          <w:bCs/>
          <w:szCs w:val="24"/>
          <w:lang w:eastAsia="fr-FR"/>
        </w:rPr>
        <w:t>pitaux régionaux et l’hôpital confessionnel « </w:t>
      </w:r>
      <w:r w:rsidR="00935C50" w:rsidRPr="0001795E">
        <w:rPr>
          <w:rFonts w:eastAsia="Times New Roman" w:cs="Arial"/>
          <w:bCs/>
          <w:szCs w:val="24"/>
          <w:lang w:eastAsia="fr-FR"/>
        </w:rPr>
        <w:t>C</w:t>
      </w:r>
      <w:r w:rsidRPr="0001795E">
        <w:rPr>
          <w:rFonts w:eastAsia="Times New Roman" w:cs="Arial"/>
          <w:bCs/>
          <w:szCs w:val="24"/>
          <w:lang w:eastAsia="fr-FR"/>
        </w:rPr>
        <w:t>ompassion » dans la préfecture de Mamou.</w:t>
      </w:r>
    </w:p>
    <w:p w14:paraId="271E6119" w14:textId="77777777" w:rsidR="00CC0D7E" w:rsidRPr="0001795E" w:rsidRDefault="00CC0D7E" w:rsidP="00514550">
      <w:pPr>
        <w:pStyle w:val="Paragraphedeliste"/>
        <w:numPr>
          <w:ilvl w:val="0"/>
          <w:numId w:val="7"/>
        </w:numPr>
        <w:ind w:left="284" w:hanging="284"/>
        <w:rPr>
          <w:rFonts w:cs="Arial"/>
          <w:b/>
          <w:szCs w:val="24"/>
        </w:rPr>
      </w:pPr>
      <w:r w:rsidRPr="0001795E">
        <w:rPr>
          <w:rFonts w:cs="Arial"/>
          <w:b/>
          <w:szCs w:val="24"/>
        </w:rPr>
        <w:t>Nombre avec activités de référence</w:t>
      </w:r>
    </w:p>
    <w:p w14:paraId="537FD386" w14:textId="7C211C8B" w:rsidR="00CC0D7E" w:rsidRPr="0001795E" w:rsidRDefault="00CC0D7E" w:rsidP="0016106A">
      <w:pPr>
        <w:rPr>
          <w:rFonts w:eastAsia="Times New Roman" w:cs="Arial"/>
          <w:bCs/>
          <w:szCs w:val="24"/>
          <w:lang w:eastAsia="fr-FR"/>
        </w:rPr>
      </w:pPr>
      <w:r w:rsidRPr="0001795E">
        <w:rPr>
          <w:rFonts w:eastAsia="Times New Roman" w:cs="Arial"/>
          <w:bCs/>
          <w:szCs w:val="24"/>
          <w:lang w:eastAsia="fr-FR"/>
        </w:rPr>
        <w:t xml:space="preserve">Aucun établissement de soins spécialisés ne développe exclusivement que des activités de référence. </w:t>
      </w:r>
      <w:r w:rsidR="00935C50" w:rsidRPr="0001795E">
        <w:rPr>
          <w:rFonts w:eastAsia="Times New Roman" w:cs="Arial"/>
          <w:bCs/>
          <w:szCs w:val="24"/>
          <w:lang w:eastAsia="fr-FR"/>
        </w:rPr>
        <w:t>Aussi, les hôpitaux régionaux constituent les hôpitaux de district des chefs-lieux des régions, c</w:t>
      </w:r>
      <w:r w:rsidRPr="0001795E">
        <w:rPr>
          <w:rFonts w:eastAsia="Times New Roman" w:cs="Arial"/>
          <w:bCs/>
          <w:szCs w:val="24"/>
          <w:lang w:eastAsia="fr-FR"/>
        </w:rPr>
        <w:t>e qui reflète la réalité du système de santé Guinéen.</w:t>
      </w:r>
    </w:p>
    <w:p w14:paraId="69E2948B" w14:textId="007709B0" w:rsidR="00CC0D7E" w:rsidRPr="0001795E" w:rsidRDefault="00CC0D7E" w:rsidP="0016106A">
      <w:pPr>
        <w:rPr>
          <w:rFonts w:eastAsia="Times New Roman" w:cs="Arial"/>
          <w:bCs/>
          <w:szCs w:val="24"/>
          <w:lang w:eastAsia="fr-FR"/>
        </w:rPr>
      </w:pPr>
      <w:r w:rsidRPr="0001795E">
        <w:rPr>
          <w:rFonts w:eastAsia="Times New Roman" w:cs="Arial"/>
          <w:bCs/>
          <w:szCs w:val="24"/>
          <w:lang w:eastAsia="fr-FR"/>
        </w:rPr>
        <w:t xml:space="preserve">L’ensemble des établissements de soins spécialisés enquêtés développent chacun en ce qui le concerne le PMA complet.  </w:t>
      </w:r>
    </w:p>
    <w:p w14:paraId="72C7D8DB" w14:textId="63259E32" w:rsidR="00935C50" w:rsidRPr="0001795E" w:rsidRDefault="00935C50" w:rsidP="00514550">
      <w:pPr>
        <w:pStyle w:val="Paragraphedeliste"/>
        <w:numPr>
          <w:ilvl w:val="0"/>
          <w:numId w:val="7"/>
        </w:numPr>
        <w:ind w:left="426" w:hanging="426"/>
        <w:rPr>
          <w:rFonts w:eastAsia="Times New Roman" w:cs="Arial"/>
          <w:b/>
          <w:szCs w:val="24"/>
          <w:lang w:eastAsia="fr-FR"/>
        </w:rPr>
      </w:pPr>
      <w:r w:rsidRPr="0001795E">
        <w:rPr>
          <w:rFonts w:eastAsia="Times New Roman" w:cs="Arial"/>
          <w:b/>
          <w:szCs w:val="24"/>
          <w:lang w:eastAsia="fr-FR"/>
        </w:rPr>
        <w:t>Statut gestionnaire</w:t>
      </w:r>
    </w:p>
    <w:p w14:paraId="346982AC" w14:textId="22BC982E" w:rsidR="00CC0D7E" w:rsidRPr="0001795E" w:rsidRDefault="00CC0D7E" w:rsidP="00935C50">
      <w:pPr>
        <w:rPr>
          <w:rFonts w:eastAsia="Times New Roman" w:cs="Arial"/>
          <w:bCs/>
          <w:szCs w:val="24"/>
          <w:lang w:eastAsia="fr-FR"/>
        </w:rPr>
      </w:pPr>
      <w:r w:rsidRPr="0001795E">
        <w:rPr>
          <w:rFonts w:eastAsia="Times New Roman" w:cs="Arial"/>
          <w:bCs/>
          <w:szCs w:val="24"/>
          <w:lang w:eastAsia="fr-FR"/>
        </w:rPr>
        <w:t>Du point de vue statut gestionnaire</w:t>
      </w:r>
      <w:r w:rsidR="00935C50" w:rsidRPr="0001795E">
        <w:rPr>
          <w:rFonts w:eastAsia="Times New Roman" w:cs="Arial"/>
          <w:bCs/>
          <w:szCs w:val="24"/>
          <w:lang w:eastAsia="fr-FR"/>
        </w:rPr>
        <w:t>,</w:t>
      </w:r>
      <w:r w:rsidRPr="0001795E">
        <w:rPr>
          <w:rFonts w:eastAsia="Times New Roman" w:cs="Arial"/>
          <w:bCs/>
          <w:szCs w:val="24"/>
          <w:lang w:eastAsia="fr-FR"/>
        </w:rPr>
        <w:t xml:space="preserve"> la situation des établissements hospitaliers enquêtés se présente comme suit : Publi</w:t>
      </w:r>
      <w:r w:rsidR="00E0388E" w:rsidRPr="0001795E">
        <w:rPr>
          <w:rFonts w:eastAsia="Times New Roman" w:cs="Arial"/>
          <w:bCs/>
          <w:szCs w:val="24"/>
          <w:lang w:eastAsia="fr-FR"/>
        </w:rPr>
        <w:t xml:space="preserve">que </w:t>
      </w:r>
      <w:r w:rsidRPr="0001795E">
        <w:rPr>
          <w:rFonts w:eastAsia="Times New Roman" w:cs="Arial"/>
          <w:bCs/>
          <w:szCs w:val="24"/>
          <w:lang w:eastAsia="fr-FR"/>
        </w:rPr>
        <w:t>88% et Confessionnelle 12%.</w:t>
      </w:r>
    </w:p>
    <w:p w14:paraId="646A0B8E" w14:textId="77777777" w:rsidR="00935C50" w:rsidRPr="0001795E" w:rsidRDefault="00935C50" w:rsidP="00514550">
      <w:pPr>
        <w:pStyle w:val="Paragraphedeliste"/>
        <w:numPr>
          <w:ilvl w:val="0"/>
          <w:numId w:val="7"/>
        </w:numPr>
        <w:ind w:left="426" w:hanging="426"/>
        <w:rPr>
          <w:rFonts w:cs="Arial"/>
          <w:b/>
          <w:szCs w:val="24"/>
        </w:rPr>
      </w:pPr>
      <w:r w:rsidRPr="0001795E">
        <w:rPr>
          <w:rFonts w:cs="Arial"/>
          <w:b/>
          <w:szCs w:val="24"/>
        </w:rPr>
        <w:t xml:space="preserve">Fonctionnalité </w:t>
      </w:r>
    </w:p>
    <w:p w14:paraId="4EC6C2B8" w14:textId="77777777" w:rsidR="00CC0D7E" w:rsidRPr="0001795E" w:rsidRDefault="00CC0D7E" w:rsidP="00935C50">
      <w:pPr>
        <w:rPr>
          <w:rFonts w:eastAsia="Times New Roman" w:cs="Arial"/>
          <w:bCs/>
          <w:szCs w:val="24"/>
          <w:lang w:eastAsia="fr-FR"/>
        </w:rPr>
      </w:pPr>
      <w:r w:rsidRPr="0001795E">
        <w:rPr>
          <w:rFonts w:eastAsia="Times New Roman" w:cs="Arial"/>
          <w:bCs/>
          <w:szCs w:val="24"/>
          <w:lang w:eastAsia="fr-FR"/>
        </w:rPr>
        <w:t xml:space="preserve">Tous les établissements de soins spécialisés enquêtés sont fonctionnels selon les réponses données par les personnes enquêtées. </w:t>
      </w:r>
    </w:p>
    <w:p w14:paraId="46C7498A" w14:textId="4DCB0DDA" w:rsidR="00257DA0" w:rsidRPr="0001795E" w:rsidRDefault="00A75362" w:rsidP="00A41318">
      <w:pPr>
        <w:pStyle w:val="Titre3"/>
        <w:numPr>
          <w:ilvl w:val="2"/>
          <w:numId w:val="8"/>
        </w:numPr>
      </w:pPr>
      <w:bookmarkStart w:id="260" w:name="_Toc63233222"/>
      <w:r w:rsidRPr="0001795E">
        <w:t xml:space="preserve">Formations sanitaires </w:t>
      </w:r>
      <w:r w:rsidR="00CC0D7E" w:rsidRPr="0001795E">
        <w:t xml:space="preserve">de </w:t>
      </w:r>
      <w:r w:rsidRPr="0001795E">
        <w:t>base : Centres de santé intégrés</w:t>
      </w:r>
      <w:bookmarkEnd w:id="260"/>
    </w:p>
    <w:p w14:paraId="0F072DC8" w14:textId="447193BB" w:rsidR="00F5338C" w:rsidRPr="0001795E" w:rsidRDefault="00F5338C" w:rsidP="00514550">
      <w:pPr>
        <w:pStyle w:val="Paragraphedeliste"/>
        <w:numPr>
          <w:ilvl w:val="0"/>
          <w:numId w:val="7"/>
        </w:numPr>
        <w:ind w:left="426" w:hanging="426"/>
        <w:rPr>
          <w:rFonts w:cs="Arial"/>
          <w:b/>
          <w:szCs w:val="24"/>
        </w:rPr>
      </w:pPr>
      <w:r w:rsidRPr="0001795E">
        <w:rPr>
          <w:rFonts w:cs="Arial"/>
          <w:b/>
          <w:szCs w:val="24"/>
        </w:rPr>
        <w:t>Nombre total</w:t>
      </w:r>
    </w:p>
    <w:p w14:paraId="21740B6E" w14:textId="4A66C107" w:rsidR="00F5338C" w:rsidRPr="0001795E" w:rsidRDefault="00F5338C" w:rsidP="0016106A">
      <w:pPr>
        <w:rPr>
          <w:rFonts w:eastAsia="Times New Roman" w:cs="Arial"/>
          <w:bCs/>
          <w:szCs w:val="24"/>
          <w:lang w:eastAsia="fr-FR"/>
        </w:rPr>
      </w:pPr>
      <w:r w:rsidRPr="0001795E">
        <w:rPr>
          <w:rFonts w:eastAsia="Times New Roman" w:cs="Arial"/>
          <w:bCs/>
          <w:szCs w:val="24"/>
          <w:lang w:eastAsia="fr-FR"/>
        </w:rPr>
        <w:t>Les centres de santé de l’é</w:t>
      </w:r>
      <w:r w:rsidR="009D1598">
        <w:rPr>
          <w:rFonts w:eastAsia="Times New Roman" w:cs="Arial"/>
          <w:bCs/>
          <w:szCs w:val="24"/>
          <w:lang w:eastAsia="fr-FR"/>
        </w:rPr>
        <w:t>chantillon sont au nombre de 20</w:t>
      </w:r>
      <w:r w:rsidR="00866C5C">
        <w:rPr>
          <w:rFonts w:eastAsia="Times New Roman" w:cs="Arial"/>
          <w:bCs/>
          <w:szCs w:val="24"/>
          <w:lang w:eastAsia="fr-FR"/>
        </w:rPr>
        <w:t>9</w:t>
      </w:r>
      <w:r w:rsidRPr="0001795E">
        <w:rPr>
          <w:rFonts w:eastAsia="Times New Roman" w:cs="Arial"/>
          <w:bCs/>
          <w:szCs w:val="24"/>
          <w:lang w:eastAsia="fr-FR"/>
        </w:rPr>
        <w:t xml:space="preserve"> </w:t>
      </w:r>
    </w:p>
    <w:p w14:paraId="256C87F3" w14:textId="77777777" w:rsidR="00E0388E" w:rsidRPr="0001795E" w:rsidRDefault="00E0388E" w:rsidP="00514550">
      <w:pPr>
        <w:pStyle w:val="Paragraphedeliste"/>
        <w:numPr>
          <w:ilvl w:val="0"/>
          <w:numId w:val="7"/>
        </w:numPr>
        <w:ind w:left="426" w:hanging="426"/>
        <w:rPr>
          <w:rFonts w:cs="Arial"/>
          <w:b/>
          <w:szCs w:val="24"/>
        </w:rPr>
      </w:pPr>
      <w:r w:rsidRPr="0001795E">
        <w:rPr>
          <w:rFonts w:cs="Arial"/>
          <w:b/>
          <w:szCs w:val="24"/>
        </w:rPr>
        <w:t>Statut gestionnaire</w:t>
      </w:r>
    </w:p>
    <w:p w14:paraId="49A46EEE" w14:textId="77777777" w:rsidR="00E0388E" w:rsidRPr="0001795E" w:rsidRDefault="00E0388E" w:rsidP="00E0388E">
      <w:pPr>
        <w:rPr>
          <w:rFonts w:eastAsia="Times New Roman" w:cs="Arial"/>
          <w:bCs/>
          <w:szCs w:val="24"/>
          <w:lang w:eastAsia="fr-FR"/>
        </w:rPr>
      </w:pPr>
      <w:r w:rsidRPr="0001795E">
        <w:rPr>
          <w:rFonts w:cs="Arial"/>
          <w:bCs/>
          <w:szCs w:val="24"/>
        </w:rPr>
        <w:t>Les centres de santé se répartissent</w:t>
      </w:r>
      <w:r w:rsidRPr="0001795E">
        <w:rPr>
          <w:rFonts w:cs="Arial"/>
          <w:b/>
          <w:szCs w:val="24"/>
        </w:rPr>
        <w:t xml:space="preserve"> </w:t>
      </w:r>
      <w:r w:rsidRPr="00915B64">
        <w:rPr>
          <w:rFonts w:cs="Arial"/>
          <w:szCs w:val="24"/>
        </w:rPr>
        <w:t>en</w:t>
      </w:r>
      <w:r w:rsidRPr="0001795E">
        <w:rPr>
          <w:rFonts w:cs="Arial"/>
          <w:b/>
          <w:szCs w:val="24"/>
        </w:rPr>
        <w:t xml:space="preserve"> </w:t>
      </w:r>
      <w:r w:rsidRPr="0001795E">
        <w:rPr>
          <w:rFonts w:eastAsia="Times New Roman" w:cs="Arial"/>
          <w:bCs/>
          <w:szCs w:val="24"/>
          <w:lang w:eastAsia="fr-FR"/>
        </w:rPr>
        <w:t>206 publics (98%), 2 confessionnels (1%) et 1 communautaire (1%).</w:t>
      </w:r>
    </w:p>
    <w:p w14:paraId="4FA7761C" w14:textId="44407F2C" w:rsidR="00E0388E" w:rsidRPr="0001795E" w:rsidRDefault="00E0388E" w:rsidP="00E0388E">
      <w:pPr>
        <w:rPr>
          <w:rFonts w:eastAsia="Times New Roman" w:cs="Arial"/>
          <w:bCs/>
          <w:szCs w:val="24"/>
          <w:lang w:eastAsia="fr-FR"/>
        </w:rPr>
      </w:pPr>
      <w:r w:rsidRPr="0001795E">
        <w:rPr>
          <w:rFonts w:eastAsia="Times New Roman" w:cs="Arial"/>
          <w:bCs/>
          <w:szCs w:val="24"/>
          <w:lang w:eastAsia="fr-FR"/>
        </w:rPr>
        <w:t xml:space="preserve">Il faut signaler qu’il existe un nombre important de centres de santé privés formels qui développent des activités mais qui ne fournissent des rapports </w:t>
      </w:r>
      <w:proofErr w:type="spellStart"/>
      <w:r w:rsidRPr="0001795E">
        <w:rPr>
          <w:rFonts w:eastAsia="Times New Roman" w:cs="Arial"/>
          <w:bCs/>
          <w:szCs w:val="24"/>
          <w:lang w:eastAsia="fr-FR"/>
        </w:rPr>
        <w:t>SNIS</w:t>
      </w:r>
      <w:proofErr w:type="spellEnd"/>
      <w:r w:rsidRPr="0001795E">
        <w:rPr>
          <w:rFonts w:eastAsia="Times New Roman" w:cs="Arial"/>
          <w:bCs/>
          <w:szCs w:val="24"/>
          <w:lang w:eastAsia="fr-FR"/>
        </w:rPr>
        <w:t>. Ce qui dénote une insuffisance de collaboration entre les secteurs public et privé.</w:t>
      </w:r>
    </w:p>
    <w:p w14:paraId="0237299D" w14:textId="77777777" w:rsidR="00E0388E" w:rsidRPr="0001795E" w:rsidRDefault="00E0388E" w:rsidP="00514550">
      <w:pPr>
        <w:pStyle w:val="Paragraphedeliste"/>
        <w:numPr>
          <w:ilvl w:val="0"/>
          <w:numId w:val="7"/>
        </w:numPr>
        <w:ind w:left="426" w:hanging="426"/>
        <w:rPr>
          <w:rFonts w:cs="Arial"/>
          <w:b/>
          <w:szCs w:val="24"/>
        </w:rPr>
      </w:pPr>
      <w:r w:rsidRPr="0001795E">
        <w:rPr>
          <w:rFonts w:cs="Arial"/>
          <w:b/>
          <w:szCs w:val="24"/>
        </w:rPr>
        <w:t xml:space="preserve">Fonctionnalité </w:t>
      </w:r>
    </w:p>
    <w:p w14:paraId="7BE73028" w14:textId="4504F5ED" w:rsidR="00F5338C" w:rsidRPr="0001795E" w:rsidRDefault="00F5338C" w:rsidP="0016106A">
      <w:pPr>
        <w:rPr>
          <w:rFonts w:eastAsia="Times New Roman" w:cs="Arial"/>
          <w:bCs/>
          <w:szCs w:val="24"/>
          <w:lang w:eastAsia="fr-FR"/>
        </w:rPr>
      </w:pPr>
      <w:r w:rsidRPr="0001795E">
        <w:rPr>
          <w:rFonts w:eastAsia="Times New Roman" w:cs="Arial"/>
          <w:bCs/>
          <w:szCs w:val="24"/>
          <w:lang w:eastAsia="fr-FR"/>
        </w:rPr>
        <w:t>Tous les centres de santé de l’échantillon sont fonctionnels et développent l’ensemble du paquet minimum d’activités.</w:t>
      </w:r>
    </w:p>
    <w:p w14:paraId="60E11186" w14:textId="77F01B8E" w:rsidR="00F5338C" w:rsidRPr="0001795E" w:rsidRDefault="00D26438" w:rsidP="00514550">
      <w:pPr>
        <w:pStyle w:val="Titre2"/>
        <w:numPr>
          <w:ilvl w:val="1"/>
          <w:numId w:val="8"/>
        </w:numPr>
        <w:tabs>
          <w:tab w:val="left" w:pos="284"/>
        </w:tabs>
        <w:rPr>
          <w:rFonts w:eastAsia="Times New Roman" w:cs="Arial"/>
          <w:szCs w:val="24"/>
          <w:lang w:eastAsia="fr-FR"/>
        </w:rPr>
      </w:pPr>
      <w:r w:rsidRPr="0001795E">
        <w:rPr>
          <w:szCs w:val="24"/>
        </w:rPr>
        <w:t xml:space="preserve"> </w:t>
      </w:r>
      <w:bookmarkStart w:id="261" w:name="_Toc63233223"/>
      <w:r w:rsidR="00F5338C" w:rsidRPr="0001795E">
        <w:rPr>
          <w:szCs w:val="24"/>
        </w:rPr>
        <w:t>Activités</w:t>
      </w:r>
      <w:r w:rsidR="00F5338C" w:rsidRPr="0001795E">
        <w:rPr>
          <w:rFonts w:eastAsia="Times New Roman" w:cs="Arial"/>
          <w:szCs w:val="24"/>
          <w:lang w:eastAsia="fr-FR"/>
        </w:rPr>
        <w:t xml:space="preserve"> communautaires</w:t>
      </w:r>
      <w:bookmarkEnd w:id="261"/>
    </w:p>
    <w:p w14:paraId="47435A39" w14:textId="77777777" w:rsidR="00F5338C" w:rsidRPr="0001795E" w:rsidRDefault="00F5338C" w:rsidP="0016106A">
      <w:pPr>
        <w:rPr>
          <w:rFonts w:eastAsia="Times New Roman" w:cs="Arial"/>
          <w:szCs w:val="24"/>
          <w:lang w:eastAsia="fr-FR"/>
        </w:rPr>
      </w:pPr>
      <w:r w:rsidRPr="0001795E">
        <w:rPr>
          <w:rFonts w:eastAsia="Times New Roman" w:cs="Arial"/>
          <w:szCs w:val="24"/>
          <w:lang w:eastAsia="fr-FR"/>
        </w:rPr>
        <w:t>Sur les 16 districts enquêtés, l’existence de groupements communautaires a été notée au niveau des 14 soit 88% dont 11 disposent des directives sur leurs rapports avec les structures sanitaires du district (60%).</w:t>
      </w:r>
    </w:p>
    <w:p w14:paraId="72FE7FEC" w14:textId="410B2560" w:rsidR="00F5338C" w:rsidRPr="0001795E" w:rsidRDefault="00F5338C" w:rsidP="0016106A">
      <w:pPr>
        <w:rPr>
          <w:rFonts w:eastAsia="Times New Roman" w:cs="Arial"/>
          <w:bCs/>
          <w:szCs w:val="24"/>
          <w:lang w:eastAsia="fr-FR"/>
        </w:rPr>
      </w:pPr>
      <w:r w:rsidRPr="0001795E">
        <w:rPr>
          <w:rFonts w:eastAsia="Times New Roman" w:cs="Arial"/>
          <w:bCs/>
          <w:szCs w:val="24"/>
          <w:lang w:eastAsia="fr-FR"/>
        </w:rPr>
        <w:t>La contribution des communautés dans la fourniture des ressources en santé reste globalement faible. Elle est plus importante en apport</w:t>
      </w:r>
      <w:r w:rsidR="00D26438" w:rsidRPr="0001795E">
        <w:rPr>
          <w:rFonts w:eastAsia="Times New Roman" w:cs="Arial"/>
          <w:bCs/>
          <w:szCs w:val="24"/>
          <w:lang w:eastAsia="fr-FR"/>
        </w:rPr>
        <w:t>s</w:t>
      </w:r>
      <w:r w:rsidRPr="0001795E">
        <w:rPr>
          <w:rFonts w:eastAsia="Times New Roman" w:cs="Arial"/>
          <w:bCs/>
          <w:szCs w:val="24"/>
          <w:lang w:eastAsia="fr-FR"/>
        </w:rPr>
        <w:t xml:space="preserve"> matériels et infrastructures 6 (38</w:t>
      </w:r>
      <w:r w:rsidRPr="0001795E">
        <w:rPr>
          <w:rFonts w:eastAsia="Times New Roman" w:cs="Calibri"/>
          <w:bCs/>
          <w:szCs w:val="24"/>
          <w:lang w:eastAsia="fr-FR"/>
        </w:rPr>
        <w:t>%</w:t>
      </w:r>
      <w:r w:rsidRPr="0001795E">
        <w:rPr>
          <w:rFonts w:eastAsia="Times New Roman" w:cs="Arial"/>
          <w:bCs/>
          <w:szCs w:val="24"/>
          <w:lang w:eastAsia="fr-FR"/>
        </w:rPr>
        <w:t xml:space="preserve">) noté dans les districts de Gaoual, Kankan, Kérouané, </w:t>
      </w:r>
      <w:proofErr w:type="spellStart"/>
      <w:r w:rsidRPr="0001795E">
        <w:rPr>
          <w:rFonts w:eastAsia="Times New Roman" w:cs="Arial"/>
          <w:bCs/>
          <w:szCs w:val="24"/>
          <w:lang w:eastAsia="fr-FR"/>
        </w:rPr>
        <w:t>Télimélé</w:t>
      </w:r>
      <w:proofErr w:type="spellEnd"/>
      <w:r w:rsidRPr="0001795E">
        <w:rPr>
          <w:rFonts w:eastAsia="Times New Roman" w:cs="Arial"/>
          <w:bCs/>
          <w:szCs w:val="24"/>
          <w:lang w:eastAsia="fr-FR"/>
        </w:rPr>
        <w:t xml:space="preserve"> et Labé</w:t>
      </w:r>
      <w:r w:rsidR="00EA6D90" w:rsidRPr="0001795E">
        <w:rPr>
          <w:rFonts w:eastAsia="Times New Roman" w:cs="Arial"/>
          <w:bCs/>
          <w:szCs w:val="24"/>
          <w:lang w:eastAsia="fr-FR"/>
        </w:rPr>
        <w:t> ; e</w:t>
      </w:r>
      <w:r w:rsidRPr="0001795E">
        <w:rPr>
          <w:rFonts w:eastAsia="Times New Roman" w:cs="Arial"/>
          <w:bCs/>
          <w:szCs w:val="24"/>
          <w:lang w:eastAsia="fr-FR"/>
        </w:rPr>
        <w:t>nsuite en ressources humaine</w:t>
      </w:r>
      <w:r w:rsidR="00EA6D90" w:rsidRPr="0001795E">
        <w:rPr>
          <w:rFonts w:eastAsia="Times New Roman" w:cs="Arial"/>
          <w:bCs/>
          <w:szCs w:val="24"/>
          <w:lang w:eastAsia="fr-FR"/>
        </w:rPr>
        <w:t>s</w:t>
      </w:r>
      <w:r w:rsidRPr="0001795E">
        <w:rPr>
          <w:rFonts w:eastAsia="Times New Roman" w:cs="Arial"/>
          <w:bCs/>
          <w:szCs w:val="24"/>
          <w:lang w:eastAsia="fr-FR"/>
        </w:rPr>
        <w:t xml:space="preserve"> (25</w:t>
      </w:r>
      <w:r w:rsidRPr="0001795E">
        <w:rPr>
          <w:rFonts w:eastAsia="Times New Roman" w:cs="Calibri"/>
          <w:bCs/>
          <w:szCs w:val="24"/>
          <w:lang w:eastAsia="fr-FR"/>
        </w:rPr>
        <w:t>%</w:t>
      </w:r>
      <w:r w:rsidRPr="0001795E">
        <w:rPr>
          <w:rFonts w:eastAsia="Times New Roman" w:cs="Arial"/>
          <w:bCs/>
          <w:szCs w:val="24"/>
          <w:lang w:eastAsia="fr-FR"/>
        </w:rPr>
        <w:t>)</w:t>
      </w:r>
      <w:r w:rsidR="00EA6D90" w:rsidRPr="0001795E">
        <w:rPr>
          <w:rFonts w:eastAsia="Times New Roman" w:cs="Arial"/>
          <w:bCs/>
          <w:szCs w:val="24"/>
          <w:lang w:eastAsia="fr-FR"/>
        </w:rPr>
        <w:t xml:space="preserve"> et enf</w:t>
      </w:r>
      <w:r w:rsidRPr="0001795E">
        <w:rPr>
          <w:rFonts w:eastAsia="Times New Roman" w:cs="Arial"/>
          <w:bCs/>
          <w:szCs w:val="24"/>
          <w:lang w:eastAsia="fr-FR"/>
        </w:rPr>
        <w:t>in en ressource</w:t>
      </w:r>
      <w:r w:rsidR="00EA6D90" w:rsidRPr="0001795E">
        <w:rPr>
          <w:rFonts w:eastAsia="Times New Roman" w:cs="Arial"/>
          <w:bCs/>
          <w:szCs w:val="24"/>
          <w:lang w:eastAsia="fr-FR"/>
        </w:rPr>
        <w:t>s</w:t>
      </w:r>
      <w:r w:rsidRPr="0001795E">
        <w:rPr>
          <w:rFonts w:eastAsia="Times New Roman" w:cs="Arial"/>
          <w:bCs/>
          <w:szCs w:val="24"/>
          <w:lang w:eastAsia="fr-FR"/>
        </w:rPr>
        <w:t xml:space="preserve"> financières (13</w:t>
      </w:r>
      <w:r w:rsidRPr="0001795E">
        <w:rPr>
          <w:rFonts w:eastAsia="Times New Roman" w:cs="Calibri"/>
          <w:bCs/>
          <w:szCs w:val="24"/>
          <w:lang w:eastAsia="fr-FR"/>
        </w:rPr>
        <w:t>%</w:t>
      </w:r>
      <w:r w:rsidRPr="0001795E">
        <w:rPr>
          <w:rFonts w:eastAsia="Times New Roman" w:cs="Arial"/>
          <w:bCs/>
          <w:szCs w:val="24"/>
          <w:lang w:eastAsia="fr-FR"/>
        </w:rPr>
        <w:t>).</w:t>
      </w:r>
    </w:p>
    <w:p w14:paraId="192DBD0A" w14:textId="602293A3" w:rsidR="00F5338C" w:rsidRPr="0001795E" w:rsidRDefault="00F5338C" w:rsidP="0016106A">
      <w:pPr>
        <w:rPr>
          <w:rFonts w:eastAsia="Times New Roman" w:cs="Arial"/>
          <w:bCs/>
          <w:szCs w:val="24"/>
          <w:lang w:eastAsia="fr-FR"/>
        </w:rPr>
      </w:pPr>
      <w:r w:rsidRPr="0001795E">
        <w:rPr>
          <w:rFonts w:eastAsia="Times New Roman" w:cs="Arial"/>
          <w:bCs/>
          <w:szCs w:val="24"/>
          <w:lang w:eastAsia="fr-FR"/>
        </w:rPr>
        <w:t>Les sources de financement des groupements communautaires au niveau des districts enquêtés sont les suivantes : l’</w:t>
      </w:r>
      <w:proofErr w:type="spellStart"/>
      <w:r w:rsidRPr="0001795E">
        <w:rPr>
          <w:rFonts w:eastAsia="Times New Roman" w:cs="Arial"/>
          <w:bCs/>
          <w:szCs w:val="24"/>
          <w:lang w:eastAsia="fr-FR"/>
        </w:rPr>
        <w:t>Etat</w:t>
      </w:r>
      <w:proofErr w:type="spellEnd"/>
      <w:r w:rsidRPr="0001795E">
        <w:rPr>
          <w:rFonts w:eastAsia="Times New Roman" w:cs="Arial"/>
          <w:bCs/>
          <w:szCs w:val="24"/>
          <w:lang w:eastAsia="fr-FR"/>
        </w:rPr>
        <w:t xml:space="preserve"> (31</w:t>
      </w:r>
      <w:r w:rsidRPr="0001795E">
        <w:rPr>
          <w:rFonts w:eastAsia="Times New Roman" w:cs="Calibri"/>
          <w:bCs/>
          <w:szCs w:val="24"/>
          <w:lang w:eastAsia="fr-FR"/>
        </w:rPr>
        <w:t xml:space="preserve">%), les </w:t>
      </w:r>
      <w:r w:rsidRPr="0001795E">
        <w:rPr>
          <w:rFonts w:eastAsia="Times New Roman" w:cs="Arial"/>
          <w:bCs/>
          <w:szCs w:val="24"/>
          <w:lang w:eastAsia="fr-FR"/>
        </w:rPr>
        <w:t>ONG (44</w:t>
      </w:r>
      <w:r w:rsidRPr="0001795E">
        <w:rPr>
          <w:rFonts w:eastAsia="Times New Roman" w:cs="Calibri"/>
          <w:bCs/>
          <w:szCs w:val="24"/>
          <w:lang w:eastAsia="fr-FR"/>
        </w:rPr>
        <w:t>%</w:t>
      </w:r>
      <w:r w:rsidRPr="0001795E">
        <w:rPr>
          <w:rFonts w:eastAsia="Times New Roman" w:cs="Arial"/>
          <w:bCs/>
          <w:szCs w:val="24"/>
          <w:lang w:eastAsia="fr-FR"/>
        </w:rPr>
        <w:t>) et les membres de la communauté (38</w:t>
      </w:r>
      <w:r w:rsidRPr="0001795E">
        <w:rPr>
          <w:rFonts w:eastAsia="Times New Roman" w:cs="Calibri"/>
          <w:bCs/>
          <w:szCs w:val="24"/>
          <w:lang w:eastAsia="fr-FR"/>
        </w:rPr>
        <w:t>%</w:t>
      </w:r>
      <w:r w:rsidRPr="0001795E">
        <w:rPr>
          <w:rFonts w:eastAsia="Times New Roman" w:cs="Arial"/>
          <w:bCs/>
          <w:szCs w:val="24"/>
          <w:lang w:eastAsia="fr-FR"/>
        </w:rPr>
        <w:t>).</w:t>
      </w:r>
    </w:p>
    <w:p w14:paraId="647CE384" w14:textId="04B8110C" w:rsidR="00F5338C" w:rsidRPr="0001795E" w:rsidRDefault="00F5338C" w:rsidP="0016106A">
      <w:pPr>
        <w:rPr>
          <w:rFonts w:eastAsia="Times New Roman" w:cs="Arial"/>
          <w:bCs/>
          <w:szCs w:val="24"/>
          <w:lang w:eastAsia="fr-FR"/>
        </w:rPr>
      </w:pPr>
      <w:r w:rsidRPr="0001795E">
        <w:rPr>
          <w:rFonts w:eastAsia="Times New Roman" w:cs="Arial"/>
          <w:bCs/>
          <w:szCs w:val="24"/>
          <w:lang w:eastAsia="fr-FR"/>
        </w:rPr>
        <w:t xml:space="preserve">Pour les mécanismes de </w:t>
      </w:r>
      <w:proofErr w:type="spellStart"/>
      <w:r w:rsidRPr="0001795E">
        <w:rPr>
          <w:rFonts w:eastAsia="Times New Roman" w:cs="Arial"/>
          <w:bCs/>
          <w:szCs w:val="24"/>
          <w:lang w:eastAsia="fr-FR"/>
        </w:rPr>
        <w:t>rétroinformation</w:t>
      </w:r>
      <w:proofErr w:type="spellEnd"/>
      <w:r w:rsidRPr="0001795E">
        <w:rPr>
          <w:rFonts w:eastAsia="Times New Roman" w:cs="Arial"/>
          <w:bCs/>
          <w:szCs w:val="24"/>
          <w:lang w:eastAsia="fr-FR"/>
        </w:rPr>
        <w:t xml:space="preserve"> utilisés, les boîtes à suggestions, l’examen des plaintes et l’enquête sur la satisfaction de l'usager ont été notés dans 12 districts sanitaires soit 75</w:t>
      </w:r>
      <w:r w:rsidRPr="0001795E">
        <w:rPr>
          <w:rFonts w:eastAsia="Times New Roman" w:cs="Calibri"/>
          <w:bCs/>
          <w:szCs w:val="24"/>
          <w:lang w:eastAsia="fr-FR"/>
        </w:rPr>
        <w:t>%</w:t>
      </w:r>
      <w:r w:rsidRPr="0001795E">
        <w:rPr>
          <w:rFonts w:eastAsia="Times New Roman" w:cs="Arial"/>
          <w:bCs/>
          <w:szCs w:val="24"/>
          <w:lang w:eastAsia="fr-FR"/>
        </w:rPr>
        <w:t>.</w:t>
      </w:r>
      <w:r w:rsidRPr="0001795E">
        <w:rPr>
          <w:rFonts w:eastAsia="Times New Roman" w:cs="Arial"/>
          <w:b/>
          <w:bCs/>
          <w:szCs w:val="24"/>
          <w:lang w:eastAsia="fr-FR"/>
        </w:rPr>
        <w:t xml:space="preserve"> La p</w:t>
      </w:r>
      <w:r w:rsidRPr="0001795E">
        <w:rPr>
          <w:rFonts w:eastAsia="Times New Roman" w:cs="Arial"/>
          <w:bCs/>
          <w:szCs w:val="24"/>
          <w:lang w:eastAsia="fr-FR"/>
        </w:rPr>
        <w:t>articipation des représentants communautaires aux réunions a été notée dans 13 districts de santé sur les 16 soit 81</w:t>
      </w:r>
      <w:r w:rsidRPr="0001795E">
        <w:rPr>
          <w:rFonts w:eastAsia="Times New Roman" w:cs="Calibri"/>
          <w:bCs/>
          <w:szCs w:val="24"/>
          <w:lang w:eastAsia="fr-FR"/>
        </w:rPr>
        <w:t>%</w:t>
      </w:r>
      <w:r w:rsidR="00D26438" w:rsidRPr="0001795E">
        <w:rPr>
          <w:rFonts w:eastAsia="Times New Roman" w:cs="Calibri"/>
          <w:bCs/>
          <w:szCs w:val="24"/>
          <w:lang w:eastAsia="fr-FR"/>
        </w:rPr>
        <w:t>.</w:t>
      </w:r>
    </w:p>
    <w:p w14:paraId="6223B5DC" w14:textId="196648F9" w:rsidR="008A3B58" w:rsidRPr="0001795E" w:rsidRDefault="00406BAE" w:rsidP="00514550">
      <w:pPr>
        <w:pStyle w:val="Titre2"/>
        <w:numPr>
          <w:ilvl w:val="1"/>
          <w:numId w:val="8"/>
        </w:numPr>
        <w:tabs>
          <w:tab w:val="left" w:pos="284"/>
        </w:tabs>
        <w:rPr>
          <w:rFonts w:eastAsia="Times New Roman"/>
          <w:lang w:eastAsia="fr-FR"/>
        </w:rPr>
      </w:pPr>
      <w:r w:rsidRPr="0001795E">
        <w:rPr>
          <w:szCs w:val="24"/>
        </w:rPr>
        <w:t xml:space="preserve"> </w:t>
      </w:r>
      <w:bookmarkStart w:id="262" w:name="_Toc63233224"/>
      <w:r w:rsidR="008A3B58" w:rsidRPr="0001795E">
        <w:rPr>
          <w:szCs w:val="24"/>
        </w:rPr>
        <w:t>Résultats</w:t>
      </w:r>
      <w:r w:rsidRPr="0001795E">
        <w:rPr>
          <w:szCs w:val="24"/>
        </w:rPr>
        <w:t xml:space="preserve"> des formations sanitaires</w:t>
      </w:r>
      <w:bookmarkEnd w:id="262"/>
    </w:p>
    <w:p w14:paraId="2BB5B681" w14:textId="4F4355EC" w:rsidR="008A3B58" w:rsidRPr="0001795E" w:rsidRDefault="00195838" w:rsidP="0016106A">
      <w:pPr>
        <w:rPr>
          <w:rFonts w:eastAsia="Times New Roman" w:cs="Arial"/>
          <w:szCs w:val="24"/>
          <w:lang w:eastAsia="fr-FR"/>
        </w:rPr>
      </w:pPr>
      <w:r w:rsidRPr="0001795E">
        <w:rPr>
          <w:rFonts w:eastAsia="Times New Roman" w:cs="Arial"/>
          <w:szCs w:val="24"/>
          <w:lang w:eastAsia="fr-FR"/>
        </w:rPr>
        <w:t xml:space="preserve">Les résultats portent sur l’effet de la gestion </w:t>
      </w:r>
      <w:r w:rsidR="00415A98" w:rsidRPr="0001795E">
        <w:rPr>
          <w:rFonts w:eastAsia="Times New Roman" w:cs="Arial"/>
          <w:szCs w:val="24"/>
          <w:lang w:eastAsia="fr-FR"/>
        </w:rPr>
        <w:t>du district et des activités des formations sanitaires sur la qualité de la prise en charge des populations pour l’amélioration de leur état de santé. Ils sont relatifs à la couver</w:t>
      </w:r>
      <w:r w:rsidR="00EA6D90" w:rsidRPr="0001795E">
        <w:rPr>
          <w:rFonts w:eastAsia="Times New Roman" w:cs="Arial"/>
          <w:szCs w:val="24"/>
          <w:lang w:eastAsia="fr-FR"/>
        </w:rPr>
        <w:t xml:space="preserve">ture </w:t>
      </w:r>
      <w:r w:rsidR="008A3B58" w:rsidRPr="0001795E">
        <w:rPr>
          <w:rFonts w:eastAsia="Times New Roman" w:cs="Arial"/>
          <w:szCs w:val="24"/>
          <w:lang w:eastAsia="fr-FR"/>
        </w:rPr>
        <w:t xml:space="preserve">des prestations essentielles, </w:t>
      </w:r>
      <w:r w:rsidR="00415A98" w:rsidRPr="0001795E">
        <w:rPr>
          <w:rFonts w:eastAsia="Times New Roman" w:cs="Arial"/>
          <w:szCs w:val="24"/>
          <w:lang w:eastAsia="fr-FR"/>
        </w:rPr>
        <w:t xml:space="preserve">à la capacité de réaliser les OMD et à </w:t>
      </w:r>
      <w:r w:rsidR="008A3B58" w:rsidRPr="0001795E">
        <w:rPr>
          <w:rFonts w:eastAsia="Times New Roman" w:cs="Arial"/>
          <w:szCs w:val="24"/>
          <w:lang w:eastAsia="fr-FR"/>
        </w:rPr>
        <w:t>l</w:t>
      </w:r>
      <w:r w:rsidR="00415A98" w:rsidRPr="0001795E">
        <w:rPr>
          <w:rFonts w:eastAsia="Times New Roman" w:cs="Arial"/>
          <w:szCs w:val="24"/>
          <w:lang w:eastAsia="fr-FR"/>
        </w:rPr>
        <w:t>a disponibilité des principales ressources.</w:t>
      </w:r>
    </w:p>
    <w:p w14:paraId="75274DE6" w14:textId="286107A3" w:rsidR="008A3B58" w:rsidRPr="0001795E" w:rsidRDefault="00E62369" w:rsidP="00A41318">
      <w:pPr>
        <w:pStyle w:val="Titre3"/>
        <w:numPr>
          <w:ilvl w:val="2"/>
          <w:numId w:val="8"/>
        </w:numPr>
      </w:pPr>
      <w:bookmarkStart w:id="263" w:name="_Toc63233225"/>
      <w:r w:rsidRPr="0001795E">
        <w:t>C</w:t>
      </w:r>
      <w:r w:rsidR="008A3B58" w:rsidRPr="0001795E">
        <w:t>ouverture des prestations</w:t>
      </w:r>
      <w:bookmarkEnd w:id="263"/>
    </w:p>
    <w:p w14:paraId="7FE464FD" w14:textId="004EE76B" w:rsidR="008A3B58" w:rsidRPr="0001795E" w:rsidRDefault="008A3B58" w:rsidP="0016106A">
      <w:pPr>
        <w:rPr>
          <w:rFonts w:eastAsia="Times New Roman" w:cs="Arial"/>
          <w:bCs/>
          <w:szCs w:val="24"/>
          <w:lang w:eastAsia="fr-FR"/>
        </w:rPr>
      </w:pPr>
      <w:r w:rsidRPr="0001795E">
        <w:rPr>
          <w:rFonts w:eastAsia="Times New Roman" w:cs="Arial"/>
          <w:bCs/>
          <w:szCs w:val="24"/>
          <w:lang w:eastAsia="fr-FR"/>
        </w:rPr>
        <w:t>La couverture des prestations essentielles retenues dans l’étude couvre les interventions à haut impact qui suivent : la</w:t>
      </w:r>
      <w:r w:rsidRPr="0001795E">
        <w:rPr>
          <w:rFonts w:eastAsia="Times New Roman" w:cs="Calibri"/>
          <w:szCs w:val="24"/>
          <w:lang w:eastAsia="fr-FR"/>
        </w:rPr>
        <w:t xml:space="preserve"> </w:t>
      </w:r>
      <w:r w:rsidRPr="0001795E">
        <w:rPr>
          <w:rFonts w:eastAsia="Times New Roman" w:cs="Arial"/>
          <w:bCs/>
          <w:szCs w:val="24"/>
          <w:lang w:eastAsia="fr-FR"/>
        </w:rPr>
        <w:t>consultation primaire curative, la vaccination, la Consultation Prénatal</w:t>
      </w:r>
      <w:r w:rsidR="001104B2">
        <w:rPr>
          <w:rFonts w:eastAsia="Times New Roman" w:cs="Arial"/>
          <w:bCs/>
          <w:szCs w:val="24"/>
          <w:lang w:eastAsia="fr-FR"/>
        </w:rPr>
        <w:t>e</w:t>
      </w:r>
      <w:r w:rsidRPr="0001795E">
        <w:rPr>
          <w:rFonts w:eastAsia="Times New Roman" w:cs="Arial"/>
          <w:bCs/>
          <w:szCs w:val="24"/>
          <w:lang w:eastAsia="fr-FR"/>
        </w:rPr>
        <w:t>, l’accouchement assisté, la planification Familiale, la disponibilité en médicament</w:t>
      </w:r>
      <w:r w:rsidR="001104B2">
        <w:rPr>
          <w:rFonts w:eastAsia="Times New Roman" w:cs="Arial"/>
          <w:bCs/>
          <w:szCs w:val="24"/>
          <w:lang w:eastAsia="fr-FR"/>
        </w:rPr>
        <w:t>s</w:t>
      </w:r>
      <w:r w:rsidRPr="0001795E">
        <w:rPr>
          <w:rFonts w:eastAsia="Times New Roman" w:cs="Arial"/>
          <w:bCs/>
          <w:szCs w:val="24"/>
          <w:lang w:eastAsia="fr-FR"/>
        </w:rPr>
        <w:t xml:space="preserve"> essentiels et la césarienne.</w:t>
      </w:r>
    </w:p>
    <w:p w14:paraId="78034899" w14:textId="3BEB6E96" w:rsidR="008A3B58" w:rsidRPr="0001795E" w:rsidRDefault="008A3B58" w:rsidP="00514550">
      <w:pPr>
        <w:pStyle w:val="Paragraphedeliste"/>
        <w:numPr>
          <w:ilvl w:val="0"/>
          <w:numId w:val="3"/>
        </w:numPr>
        <w:ind w:left="425" w:hanging="295"/>
        <w:rPr>
          <w:rFonts w:eastAsia="Times New Roman" w:cs="Arial"/>
          <w:bCs/>
          <w:szCs w:val="24"/>
          <w:lang w:eastAsia="fr-FR"/>
        </w:rPr>
      </w:pPr>
      <w:r w:rsidRPr="0001795E">
        <w:rPr>
          <w:rFonts w:eastAsia="Times New Roman" w:cs="Arial"/>
          <w:bCs/>
          <w:szCs w:val="24"/>
          <w:lang w:eastAsia="fr-FR"/>
        </w:rPr>
        <w:t>Pour la consultation primaire curative, la moyenne nationale est de 0,46 nouveau</w:t>
      </w:r>
      <w:r w:rsidR="007A6C12" w:rsidRPr="0001795E">
        <w:rPr>
          <w:rFonts w:eastAsia="Times New Roman" w:cs="Arial"/>
          <w:bCs/>
          <w:szCs w:val="24"/>
          <w:lang w:eastAsia="fr-FR"/>
        </w:rPr>
        <w:t>x</w:t>
      </w:r>
      <w:r w:rsidRPr="0001795E">
        <w:rPr>
          <w:rFonts w:eastAsia="Times New Roman" w:cs="Arial"/>
          <w:bCs/>
          <w:szCs w:val="24"/>
          <w:lang w:eastAsia="fr-FR"/>
        </w:rPr>
        <w:t xml:space="preserve"> contact</w:t>
      </w:r>
      <w:r w:rsidR="007A6C12" w:rsidRPr="0001795E">
        <w:rPr>
          <w:rFonts w:eastAsia="Times New Roman" w:cs="Arial"/>
          <w:bCs/>
          <w:szCs w:val="24"/>
          <w:lang w:eastAsia="fr-FR"/>
        </w:rPr>
        <w:t>s</w:t>
      </w:r>
      <w:r w:rsidRPr="0001795E">
        <w:rPr>
          <w:rFonts w:eastAsia="Times New Roman" w:cs="Arial"/>
          <w:bCs/>
          <w:szCs w:val="24"/>
          <w:lang w:eastAsia="fr-FR"/>
        </w:rPr>
        <w:t xml:space="preserve"> par habitant </w:t>
      </w:r>
      <w:r w:rsidR="00AF53E4" w:rsidRPr="0001795E">
        <w:rPr>
          <w:rFonts w:eastAsia="Times New Roman" w:cs="Arial"/>
          <w:bCs/>
          <w:szCs w:val="24"/>
          <w:lang w:eastAsia="fr-FR"/>
        </w:rPr>
        <w:t xml:space="preserve">et par an constitués des consultations externes à l’hôpital et des premiers contacts </w:t>
      </w:r>
      <w:r w:rsidRPr="0001795E">
        <w:rPr>
          <w:rFonts w:eastAsia="Times New Roman" w:cs="Arial"/>
          <w:bCs/>
          <w:szCs w:val="24"/>
          <w:lang w:eastAsia="fr-FR"/>
        </w:rPr>
        <w:t>enregistrés dans les centres de santé</w:t>
      </w:r>
      <w:r w:rsidR="00AF53E4" w:rsidRPr="0001795E">
        <w:rPr>
          <w:rFonts w:eastAsia="Times New Roman" w:cs="Arial"/>
          <w:bCs/>
          <w:szCs w:val="24"/>
          <w:lang w:eastAsia="fr-FR"/>
        </w:rPr>
        <w:t xml:space="preserve"> ; </w:t>
      </w:r>
      <w:r w:rsidRPr="0001795E">
        <w:rPr>
          <w:rFonts w:eastAsia="Times New Roman" w:cs="Arial"/>
          <w:bCs/>
          <w:szCs w:val="24"/>
          <w:lang w:eastAsia="fr-FR"/>
        </w:rPr>
        <w:t xml:space="preserve">avec des extrêmes de 0,24 </w:t>
      </w:r>
      <w:r w:rsidR="00AF53E4" w:rsidRPr="0001795E">
        <w:rPr>
          <w:rFonts w:eastAsia="Times New Roman" w:cs="Arial"/>
          <w:bCs/>
          <w:szCs w:val="24"/>
          <w:lang w:eastAsia="fr-FR"/>
        </w:rPr>
        <w:t xml:space="preserve">NC/hbt </w:t>
      </w:r>
      <w:r w:rsidRPr="0001795E">
        <w:rPr>
          <w:rFonts w:eastAsia="Times New Roman" w:cs="Arial"/>
          <w:bCs/>
          <w:szCs w:val="24"/>
          <w:lang w:eastAsia="fr-FR"/>
        </w:rPr>
        <w:t>à Matam à 0,68</w:t>
      </w:r>
      <w:r w:rsidR="00AF53E4" w:rsidRPr="0001795E">
        <w:rPr>
          <w:rFonts w:eastAsia="Times New Roman" w:cs="Arial"/>
          <w:bCs/>
          <w:szCs w:val="24"/>
          <w:lang w:eastAsia="fr-FR"/>
        </w:rPr>
        <w:t xml:space="preserve"> NC/hbt</w:t>
      </w:r>
      <w:r w:rsidRPr="0001795E">
        <w:rPr>
          <w:rFonts w:eastAsia="Times New Roman" w:cs="Arial"/>
          <w:bCs/>
          <w:szCs w:val="24"/>
          <w:lang w:eastAsia="fr-FR"/>
        </w:rPr>
        <w:t xml:space="preserve"> </w:t>
      </w:r>
      <w:r w:rsidR="00AF53E4" w:rsidRPr="0001795E">
        <w:rPr>
          <w:rFonts w:eastAsia="Times New Roman" w:cs="Arial"/>
          <w:bCs/>
          <w:szCs w:val="24"/>
          <w:lang w:eastAsia="fr-FR"/>
        </w:rPr>
        <w:t>à</w:t>
      </w:r>
      <w:r w:rsidRPr="0001795E">
        <w:rPr>
          <w:rFonts w:eastAsia="Times New Roman" w:cs="Arial"/>
          <w:bCs/>
          <w:szCs w:val="24"/>
          <w:lang w:eastAsia="fr-FR"/>
        </w:rPr>
        <w:t xml:space="preserve"> Kissidougou.</w:t>
      </w:r>
    </w:p>
    <w:p w14:paraId="31051E2D" w14:textId="588CBFF7" w:rsidR="008A3B58" w:rsidRPr="0001795E" w:rsidRDefault="008A3B58" w:rsidP="00514550">
      <w:pPr>
        <w:pStyle w:val="Paragraphedeliste"/>
        <w:numPr>
          <w:ilvl w:val="0"/>
          <w:numId w:val="3"/>
        </w:numPr>
        <w:ind w:left="425" w:hanging="295"/>
        <w:rPr>
          <w:rFonts w:eastAsia="Times New Roman" w:cs="Arial"/>
          <w:bCs/>
          <w:szCs w:val="24"/>
          <w:lang w:eastAsia="fr-FR"/>
        </w:rPr>
      </w:pPr>
      <w:r w:rsidRPr="0001795E">
        <w:rPr>
          <w:rFonts w:eastAsia="Times New Roman" w:cs="Arial"/>
          <w:bCs/>
          <w:szCs w:val="24"/>
          <w:lang w:eastAsia="fr-FR"/>
        </w:rPr>
        <w:t>Pour la vaccination, les couvertures moyennes sont 90</w:t>
      </w:r>
      <w:r w:rsidRPr="0001795E">
        <w:rPr>
          <w:rFonts w:eastAsia="Times New Roman" w:cs="Calibri"/>
          <w:bCs/>
          <w:szCs w:val="24"/>
          <w:lang w:eastAsia="fr-FR"/>
        </w:rPr>
        <w:t>%</w:t>
      </w:r>
      <w:r w:rsidRPr="0001795E">
        <w:rPr>
          <w:rFonts w:eastAsia="Times New Roman" w:cs="Arial"/>
          <w:bCs/>
          <w:szCs w:val="24"/>
          <w:lang w:eastAsia="fr-FR"/>
        </w:rPr>
        <w:t xml:space="preserve"> pour le penta3 (64</w:t>
      </w:r>
      <w:r w:rsidRPr="0001795E">
        <w:rPr>
          <w:rFonts w:eastAsia="Times New Roman" w:cs="Calibri"/>
          <w:bCs/>
          <w:szCs w:val="24"/>
          <w:lang w:eastAsia="fr-FR"/>
        </w:rPr>
        <w:t xml:space="preserve">% à Matam et </w:t>
      </w:r>
      <w:r w:rsidRPr="0001795E">
        <w:rPr>
          <w:rFonts w:eastAsia="Times New Roman" w:cs="Arial"/>
          <w:bCs/>
          <w:szCs w:val="24"/>
          <w:lang w:eastAsia="fr-FR"/>
        </w:rPr>
        <w:t>115</w:t>
      </w:r>
      <w:r w:rsidRPr="0001795E">
        <w:rPr>
          <w:rFonts w:eastAsia="Times New Roman" w:cs="Calibri"/>
          <w:bCs/>
          <w:szCs w:val="24"/>
          <w:lang w:eastAsia="fr-FR"/>
        </w:rPr>
        <w:t xml:space="preserve">% </w:t>
      </w:r>
      <w:r w:rsidRPr="0001795E">
        <w:rPr>
          <w:rFonts w:eastAsia="Times New Roman" w:cs="Arial"/>
          <w:bCs/>
          <w:szCs w:val="24"/>
          <w:lang w:eastAsia="fr-FR"/>
        </w:rPr>
        <w:t xml:space="preserve">à </w:t>
      </w:r>
      <w:proofErr w:type="spellStart"/>
      <w:r w:rsidRPr="0001795E">
        <w:rPr>
          <w:rFonts w:eastAsia="Times New Roman" w:cs="Arial"/>
          <w:bCs/>
          <w:szCs w:val="24"/>
          <w:lang w:eastAsia="fr-FR"/>
        </w:rPr>
        <w:t>Dalaba</w:t>
      </w:r>
      <w:proofErr w:type="spellEnd"/>
      <w:r w:rsidRPr="0001795E">
        <w:rPr>
          <w:rFonts w:eastAsia="Times New Roman" w:cs="Arial"/>
          <w:bCs/>
          <w:szCs w:val="24"/>
          <w:lang w:eastAsia="fr-FR"/>
        </w:rPr>
        <w:t>) et 81</w:t>
      </w:r>
      <w:r w:rsidRPr="0001795E">
        <w:rPr>
          <w:rFonts w:eastAsia="Times New Roman" w:cs="Calibri"/>
          <w:bCs/>
          <w:szCs w:val="24"/>
          <w:lang w:eastAsia="fr-FR"/>
        </w:rPr>
        <w:t>%</w:t>
      </w:r>
      <w:r w:rsidRPr="0001795E">
        <w:rPr>
          <w:rFonts w:eastAsia="Times New Roman" w:cs="Arial"/>
          <w:bCs/>
          <w:szCs w:val="24"/>
          <w:lang w:eastAsia="fr-FR"/>
        </w:rPr>
        <w:t xml:space="preserve"> pour la rougeole (47</w:t>
      </w:r>
      <w:r w:rsidRPr="0001795E">
        <w:rPr>
          <w:rFonts w:eastAsia="Times New Roman" w:cs="Calibri"/>
          <w:bCs/>
          <w:szCs w:val="24"/>
          <w:lang w:eastAsia="fr-FR"/>
        </w:rPr>
        <w:t xml:space="preserve">% à </w:t>
      </w:r>
      <w:proofErr w:type="spellStart"/>
      <w:r w:rsidRPr="0001795E">
        <w:rPr>
          <w:rFonts w:eastAsia="Times New Roman" w:cs="Calibri"/>
          <w:bCs/>
          <w:szCs w:val="24"/>
          <w:lang w:eastAsia="fr-FR"/>
        </w:rPr>
        <w:t>Gu</w:t>
      </w:r>
      <w:r w:rsidR="00AF53E4" w:rsidRPr="0001795E">
        <w:rPr>
          <w:rFonts w:eastAsia="Times New Roman" w:cs="Calibri"/>
          <w:bCs/>
          <w:szCs w:val="24"/>
          <w:lang w:eastAsia="fr-FR"/>
        </w:rPr>
        <w:t>e</w:t>
      </w:r>
      <w:r w:rsidRPr="0001795E">
        <w:rPr>
          <w:rFonts w:eastAsia="Times New Roman" w:cs="Calibri"/>
          <w:bCs/>
          <w:szCs w:val="24"/>
          <w:lang w:eastAsia="fr-FR"/>
        </w:rPr>
        <w:t>ckédou</w:t>
      </w:r>
      <w:proofErr w:type="spellEnd"/>
      <w:r w:rsidRPr="0001795E">
        <w:rPr>
          <w:rFonts w:eastAsia="Times New Roman" w:cs="Calibri"/>
          <w:bCs/>
          <w:szCs w:val="24"/>
          <w:lang w:eastAsia="fr-FR"/>
        </w:rPr>
        <w:t xml:space="preserve"> et 115% à </w:t>
      </w:r>
      <w:proofErr w:type="spellStart"/>
      <w:r w:rsidRPr="0001795E">
        <w:rPr>
          <w:rFonts w:eastAsia="Times New Roman" w:cs="Calibri"/>
          <w:bCs/>
          <w:szCs w:val="24"/>
          <w:lang w:eastAsia="fr-FR"/>
        </w:rPr>
        <w:t>Dalaba</w:t>
      </w:r>
      <w:proofErr w:type="spellEnd"/>
      <w:r w:rsidRPr="0001795E">
        <w:rPr>
          <w:rFonts w:eastAsia="Times New Roman" w:cs="Calibri"/>
          <w:bCs/>
          <w:szCs w:val="24"/>
          <w:lang w:eastAsia="fr-FR"/>
        </w:rPr>
        <w:t>)</w:t>
      </w:r>
      <w:r w:rsidRPr="0001795E">
        <w:rPr>
          <w:rFonts w:eastAsia="Times New Roman" w:cs="Arial"/>
          <w:bCs/>
          <w:szCs w:val="24"/>
          <w:lang w:eastAsia="fr-FR"/>
        </w:rPr>
        <w:t xml:space="preserve">. </w:t>
      </w:r>
    </w:p>
    <w:p w14:paraId="2C638349" w14:textId="77777777" w:rsidR="008A3B58" w:rsidRPr="0001795E" w:rsidRDefault="008A3B58" w:rsidP="00514550">
      <w:pPr>
        <w:pStyle w:val="Paragraphedeliste"/>
        <w:numPr>
          <w:ilvl w:val="0"/>
          <w:numId w:val="3"/>
        </w:numPr>
        <w:ind w:left="425" w:hanging="295"/>
        <w:rPr>
          <w:rFonts w:eastAsia="Times New Roman" w:cs="Arial"/>
          <w:bCs/>
          <w:szCs w:val="24"/>
          <w:lang w:eastAsia="fr-FR"/>
        </w:rPr>
      </w:pPr>
      <w:r w:rsidRPr="0001795E">
        <w:rPr>
          <w:rFonts w:eastAsia="Times New Roman" w:cs="Arial"/>
          <w:bCs/>
          <w:szCs w:val="24"/>
          <w:lang w:eastAsia="fr-FR"/>
        </w:rPr>
        <w:t>Pour la CPN, la moyenne nationale est de 89</w:t>
      </w:r>
      <w:r w:rsidRPr="0001795E">
        <w:rPr>
          <w:rFonts w:eastAsia="Times New Roman" w:cs="Calibri"/>
          <w:bCs/>
          <w:szCs w:val="24"/>
          <w:lang w:eastAsia="fr-FR"/>
        </w:rPr>
        <w:t>% avec 45% à Ratoma et 113% à Kankan.</w:t>
      </w:r>
    </w:p>
    <w:p w14:paraId="00B04052" w14:textId="05972357" w:rsidR="008A3B58" w:rsidRPr="0001795E" w:rsidRDefault="008A3B58" w:rsidP="00514550">
      <w:pPr>
        <w:pStyle w:val="Paragraphedeliste"/>
        <w:numPr>
          <w:ilvl w:val="0"/>
          <w:numId w:val="3"/>
        </w:numPr>
        <w:ind w:left="425" w:hanging="295"/>
        <w:rPr>
          <w:rFonts w:eastAsia="Times New Roman" w:cs="Arial"/>
          <w:bCs/>
          <w:szCs w:val="24"/>
          <w:lang w:eastAsia="fr-FR"/>
        </w:rPr>
      </w:pPr>
      <w:r w:rsidRPr="0001795E">
        <w:rPr>
          <w:rFonts w:eastAsia="Times New Roman" w:cs="Calibri"/>
          <w:bCs/>
          <w:szCs w:val="24"/>
          <w:lang w:eastAsia="fr-FR"/>
        </w:rPr>
        <w:t xml:space="preserve">Pour l’accouchement assisté, la moyenne est de 90% avec 76% à </w:t>
      </w:r>
      <w:proofErr w:type="spellStart"/>
      <w:r w:rsidRPr="0001795E">
        <w:rPr>
          <w:rFonts w:eastAsia="Times New Roman" w:cs="Calibri"/>
          <w:bCs/>
          <w:szCs w:val="24"/>
          <w:lang w:eastAsia="fr-FR"/>
        </w:rPr>
        <w:t>Gu</w:t>
      </w:r>
      <w:r w:rsidR="00AF53E4" w:rsidRPr="0001795E">
        <w:rPr>
          <w:rFonts w:eastAsia="Times New Roman" w:cs="Calibri"/>
          <w:bCs/>
          <w:szCs w:val="24"/>
          <w:lang w:eastAsia="fr-FR"/>
        </w:rPr>
        <w:t>e</w:t>
      </w:r>
      <w:r w:rsidRPr="0001795E">
        <w:rPr>
          <w:rFonts w:eastAsia="Times New Roman" w:cs="Calibri"/>
          <w:bCs/>
          <w:szCs w:val="24"/>
          <w:lang w:eastAsia="fr-FR"/>
        </w:rPr>
        <w:t>ckédou</w:t>
      </w:r>
      <w:proofErr w:type="spellEnd"/>
      <w:r w:rsidRPr="0001795E">
        <w:rPr>
          <w:rFonts w:eastAsia="Times New Roman" w:cs="Calibri"/>
          <w:bCs/>
          <w:szCs w:val="24"/>
          <w:lang w:eastAsia="fr-FR"/>
        </w:rPr>
        <w:t xml:space="preserve"> et 107 à Kindia.</w:t>
      </w:r>
    </w:p>
    <w:p w14:paraId="4D097EFA" w14:textId="378C5AA9" w:rsidR="00AF53E4" w:rsidRPr="0001795E" w:rsidRDefault="008A3B58" w:rsidP="00514550">
      <w:pPr>
        <w:pStyle w:val="Paragraphedeliste"/>
        <w:numPr>
          <w:ilvl w:val="0"/>
          <w:numId w:val="3"/>
        </w:numPr>
        <w:ind w:left="426" w:hanging="294"/>
        <w:rPr>
          <w:rFonts w:eastAsia="Times New Roman" w:cs="Arial"/>
          <w:bCs/>
          <w:szCs w:val="24"/>
          <w:lang w:eastAsia="fr-FR"/>
        </w:rPr>
      </w:pPr>
      <w:r w:rsidRPr="0001795E">
        <w:rPr>
          <w:rFonts w:eastAsia="Times New Roman" w:cs="Calibri"/>
          <w:bCs/>
          <w:szCs w:val="24"/>
          <w:lang w:eastAsia="fr-FR"/>
        </w:rPr>
        <w:t xml:space="preserve">Pour </w:t>
      </w:r>
      <w:r w:rsidRPr="0001795E">
        <w:rPr>
          <w:rFonts w:eastAsia="Times New Roman" w:cs="Arial"/>
          <w:bCs/>
          <w:szCs w:val="24"/>
          <w:lang w:eastAsia="fr-FR"/>
        </w:rPr>
        <w:t xml:space="preserve">la planification </w:t>
      </w:r>
      <w:r w:rsidR="00AF53E4" w:rsidRPr="0001795E">
        <w:rPr>
          <w:rFonts w:eastAsia="Times New Roman" w:cs="Arial"/>
          <w:bCs/>
          <w:szCs w:val="24"/>
          <w:lang w:eastAsia="fr-FR"/>
        </w:rPr>
        <w:t>f</w:t>
      </w:r>
      <w:r w:rsidRPr="0001795E">
        <w:rPr>
          <w:rFonts w:eastAsia="Times New Roman" w:cs="Arial"/>
          <w:bCs/>
          <w:szCs w:val="24"/>
          <w:lang w:eastAsia="fr-FR"/>
        </w:rPr>
        <w:t>amiliale, la moyenne est faible 0,38</w:t>
      </w:r>
      <w:r w:rsidRPr="0001795E">
        <w:rPr>
          <w:rFonts w:eastAsia="Times New Roman" w:cs="Calibri"/>
          <w:bCs/>
          <w:szCs w:val="24"/>
          <w:lang w:eastAsia="fr-FR"/>
        </w:rPr>
        <w:t>%</w:t>
      </w:r>
      <w:r w:rsidR="00AF53E4" w:rsidRPr="0001795E">
        <w:rPr>
          <w:rFonts w:eastAsia="Times New Roman" w:cs="Calibri"/>
          <w:bCs/>
          <w:szCs w:val="24"/>
          <w:lang w:eastAsia="fr-FR"/>
        </w:rPr>
        <w:t xml:space="preserve">. </w:t>
      </w:r>
    </w:p>
    <w:p w14:paraId="04A03121" w14:textId="4C073F05" w:rsidR="008A3B58" w:rsidRPr="0001795E" w:rsidRDefault="00AF53E4" w:rsidP="00AF53E4">
      <w:pPr>
        <w:ind w:left="132"/>
        <w:rPr>
          <w:rFonts w:eastAsia="Times New Roman" w:cs="Arial"/>
          <w:bCs/>
          <w:szCs w:val="24"/>
          <w:lang w:eastAsia="fr-FR"/>
        </w:rPr>
      </w:pPr>
      <w:r w:rsidRPr="0001795E">
        <w:rPr>
          <w:rFonts w:eastAsia="Times New Roman" w:cs="Arial"/>
          <w:bCs/>
          <w:szCs w:val="24"/>
          <w:lang w:eastAsia="fr-FR"/>
        </w:rPr>
        <w:t>Ces taux de couverture restent à valider au regard des résultats des enquêtes de couverture vaccinale et de la faible qualité des données.</w:t>
      </w:r>
    </w:p>
    <w:p w14:paraId="10898055" w14:textId="12338432" w:rsidR="008A3B58" w:rsidRPr="0001795E" w:rsidRDefault="008A3B58" w:rsidP="00514550">
      <w:pPr>
        <w:pStyle w:val="Paragraphedeliste"/>
        <w:numPr>
          <w:ilvl w:val="0"/>
          <w:numId w:val="3"/>
        </w:numPr>
        <w:ind w:left="426" w:hanging="294"/>
        <w:rPr>
          <w:rFonts w:eastAsia="Times New Roman" w:cs="Arial"/>
          <w:bCs/>
          <w:szCs w:val="24"/>
          <w:lang w:eastAsia="fr-FR"/>
        </w:rPr>
      </w:pPr>
      <w:r w:rsidRPr="0001795E">
        <w:rPr>
          <w:rFonts w:eastAsia="Times New Roman" w:cs="Arial"/>
          <w:bCs/>
          <w:szCs w:val="24"/>
          <w:lang w:eastAsia="fr-FR"/>
        </w:rPr>
        <w:t>Pour la disponibilité en médicament</w:t>
      </w:r>
      <w:r w:rsidR="00415A98" w:rsidRPr="0001795E">
        <w:rPr>
          <w:rFonts w:eastAsia="Times New Roman" w:cs="Arial"/>
          <w:bCs/>
          <w:szCs w:val="24"/>
          <w:lang w:eastAsia="fr-FR"/>
        </w:rPr>
        <w:t>s</w:t>
      </w:r>
      <w:r w:rsidRPr="0001795E">
        <w:rPr>
          <w:rFonts w:eastAsia="Times New Roman" w:cs="Arial"/>
          <w:bCs/>
          <w:szCs w:val="24"/>
          <w:lang w:eastAsia="fr-FR"/>
        </w:rPr>
        <w:t xml:space="preserve"> essentiels</w:t>
      </w:r>
      <w:r w:rsidR="00AF53E4" w:rsidRPr="0001795E">
        <w:rPr>
          <w:rFonts w:eastAsia="Times New Roman" w:cs="Arial"/>
          <w:bCs/>
          <w:szCs w:val="24"/>
          <w:lang w:eastAsia="fr-FR"/>
        </w:rPr>
        <w:t>,</w:t>
      </w:r>
      <w:r w:rsidRPr="0001795E">
        <w:rPr>
          <w:rFonts w:eastAsia="Times New Roman" w:cs="Arial"/>
          <w:bCs/>
          <w:szCs w:val="24"/>
          <w:lang w:eastAsia="fr-FR"/>
        </w:rPr>
        <w:t xml:space="preserve"> la moyenne est de 68</w:t>
      </w:r>
      <w:r w:rsidRPr="0001795E">
        <w:rPr>
          <w:rFonts w:eastAsia="Times New Roman" w:cs="Calibri"/>
          <w:bCs/>
          <w:szCs w:val="24"/>
          <w:lang w:eastAsia="fr-FR"/>
        </w:rPr>
        <w:t>%</w:t>
      </w:r>
      <w:r w:rsidRPr="0001795E">
        <w:rPr>
          <w:rFonts w:eastAsia="Times New Roman" w:cs="Arial"/>
          <w:bCs/>
          <w:szCs w:val="24"/>
          <w:lang w:eastAsia="fr-FR"/>
        </w:rPr>
        <w:t xml:space="preserve"> avec 65</w:t>
      </w:r>
      <w:r w:rsidRPr="0001795E">
        <w:rPr>
          <w:rFonts w:eastAsia="Times New Roman" w:cs="Calibri"/>
          <w:bCs/>
          <w:szCs w:val="24"/>
          <w:lang w:eastAsia="fr-FR"/>
        </w:rPr>
        <w:t>%</w:t>
      </w:r>
      <w:r w:rsidRPr="0001795E">
        <w:rPr>
          <w:rFonts w:eastAsia="Times New Roman" w:cs="Arial"/>
          <w:bCs/>
          <w:szCs w:val="24"/>
          <w:lang w:eastAsia="fr-FR"/>
        </w:rPr>
        <w:t xml:space="preserve"> à Ratoma, Kérouané, </w:t>
      </w:r>
      <w:proofErr w:type="spellStart"/>
      <w:r w:rsidRPr="0001795E">
        <w:rPr>
          <w:rFonts w:eastAsia="Times New Roman" w:cs="Arial"/>
          <w:bCs/>
          <w:szCs w:val="24"/>
          <w:lang w:eastAsia="fr-FR"/>
        </w:rPr>
        <w:t>Télimélé</w:t>
      </w:r>
      <w:proofErr w:type="spellEnd"/>
      <w:r w:rsidRPr="0001795E">
        <w:rPr>
          <w:rFonts w:eastAsia="Times New Roman" w:cs="Arial"/>
          <w:bCs/>
          <w:szCs w:val="24"/>
          <w:lang w:eastAsia="fr-FR"/>
        </w:rPr>
        <w:t xml:space="preserve">, </w:t>
      </w:r>
      <w:proofErr w:type="spellStart"/>
      <w:r w:rsidRPr="0001795E">
        <w:rPr>
          <w:rFonts w:eastAsia="Times New Roman" w:cs="Arial"/>
          <w:bCs/>
          <w:szCs w:val="24"/>
          <w:lang w:eastAsia="fr-FR"/>
        </w:rPr>
        <w:t>Dalaba</w:t>
      </w:r>
      <w:proofErr w:type="spellEnd"/>
      <w:r w:rsidRPr="0001795E">
        <w:rPr>
          <w:rFonts w:eastAsia="Times New Roman" w:cs="Arial"/>
          <w:bCs/>
          <w:szCs w:val="24"/>
          <w:lang w:eastAsia="fr-FR"/>
        </w:rPr>
        <w:t xml:space="preserve"> et </w:t>
      </w:r>
      <w:proofErr w:type="spellStart"/>
      <w:r w:rsidRPr="0001795E">
        <w:rPr>
          <w:rFonts w:eastAsia="Times New Roman" w:cs="Arial"/>
          <w:bCs/>
          <w:szCs w:val="24"/>
          <w:lang w:eastAsia="fr-FR"/>
        </w:rPr>
        <w:t>Gu</w:t>
      </w:r>
      <w:r w:rsidR="00415A98" w:rsidRPr="0001795E">
        <w:rPr>
          <w:rFonts w:eastAsia="Times New Roman" w:cs="Arial"/>
          <w:bCs/>
          <w:szCs w:val="24"/>
          <w:lang w:eastAsia="fr-FR"/>
        </w:rPr>
        <w:t>e</w:t>
      </w:r>
      <w:r w:rsidRPr="0001795E">
        <w:rPr>
          <w:rFonts w:eastAsia="Times New Roman" w:cs="Arial"/>
          <w:bCs/>
          <w:szCs w:val="24"/>
          <w:lang w:eastAsia="fr-FR"/>
        </w:rPr>
        <w:t>ckédou</w:t>
      </w:r>
      <w:proofErr w:type="spellEnd"/>
      <w:r w:rsidRPr="0001795E">
        <w:rPr>
          <w:rFonts w:eastAsia="Times New Roman" w:cs="Arial"/>
          <w:bCs/>
          <w:szCs w:val="24"/>
          <w:lang w:eastAsia="fr-FR"/>
        </w:rPr>
        <w:t xml:space="preserve"> et 80</w:t>
      </w:r>
      <w:r w:rsidRPr="0001795E">
        <w:rPr>
          <w:rFonts w:eastAsia="Times New Roman" w:cs="Calibri"/>
          <w:bCs/>
          <w:szCs w:val="24"/>
          <w:lang w:eastAsia="fr-FR"/>
        </w:rPr>
        <w:t>%</w:t>
      </w:r>
      <w:r w:rsidRPr="0001795E">
        <w:rPr>
          <w:rFonts w:eastAsia="Times New Roman" w:cs="Arial"/>
          <w:bCs/>
          <w:szCs w:val="24"/>
          <w:lang w:eastAsia="fr-FR"/>
        </w:rPr>
        <w:t xml:space="preserve"> à Labé.</w:t>
      </w:r>
    </w:p>
    <w:p w14:paraId="060CE47A" w14:textId="26F01EED" w:rsidR="008A3B58" w:rsidRPr="0001795E" w:rsidRDefault="008A3B58" w:rsidP="00514550">
      <w:pPr>
        <w:pStyle w:val="Paragraphedeliste"/>
        <w:numPr>
          <w:ilvl w:val="0"/>
          <w:numId w:val="3"/>
        </w:numPr>
        <w:ind w:left="426" w:hanging="294"/>
        <w:rPr>
          <w:rFonts w:eastAsia="Times New Roman" w:cs="Arial"/>
          <w:bCs/>
          <w:szCs w:val="24"/>
          <w:lang w:eastAsia="fr-FR"/>
        </w:rPr>
      </w:pPr>
      <w:r w:rsidRPr="0001795E">
        <w:rPr>
          <w:rFonts w:eastAsia="Times New Roman" w:cs="Arial"/>
          <w:bCs/>
          <w:szCs w:val="24"/>
          <w:lang w:eastAsia="fr-FR"/>
        </w:rPr>
        <w:t xml:space="preserve">Pour la césarienne, la moyenne est de 5 avec des extrêmes de 2 à Boké, Gaoual et </w:t>
      </w:r>
      <w:proofErr w:type="spellStart"/>
      <w:r w:rsidRPr="0001795E">
        <w:rPr>
          <w:rFonts w:eastAsia="Times New Roman" w:cs="Arial"/>
          <w:bCs/>
          <w:szCs w:val="24"/>
          <w:lang w:eastAsia="fr-FR"/>
        </w:rPr>
        <w:t>Télimélé</w:t>
      </w:r>
      <w:proofErr w:type="spellEnd"/>
      <w:r w:rsidRPr="0001795E">
        <w:rPr>
          <w:rFonts w:eastAsia="Times New Roman" w:cs="Arial"/>
          <w:bCs/>
          <w:szCs w:val="24"/>
          <w:lang w:eastAsia="fr-FR"/>
        </w:rPr>
        <w:t xml:space="preserve"> et de 10 à Matam.</w:t>
      </w:r>
    </w:p>
    <w:p w14:paraId="64DF3254" w14:textId="77777777" w:rsidR="00E11ED6" w:rsidRPr="0001795E" w:rsidRDefault="00E11ED6" w:rsidP="00E11ED6">
      <w:pPr>
        <w:rPr>
          <w:rFonts w:eastAsia="Times New Roman" w:cs="Arial"/>
          <w:bCs/>
          <w:szCs w:val="24"/>
          <w:lang w:eastAsia="fr-FR"/>
        </w:rPr>
      </w:pPr>
    </w:p>
    <w:p w14:paraId="57E482F5" w14:textId="2F052E6D" w:rsidR="008A3B58" w:rsidRPr="0001795E" w:rsidRDefault="00672A51" w:rsidP="00A41318">
      <w:pPr>
        <w:pStyle w:val="Titre3"/>
        <w:numPr>
          <w:ilvl w:val="2"/>
          <w:numId w:val="8"/>
        </w:numPr>
      </w:pPr>
      <w:r w:rsidRPr="0001795E">
        <w:t xml:space="preserve"> </w:t>
      </w:r>
      <w:bookmarkStart w:id="264" w:name="_Toc63233226"/>
      <w:r w:rsidR="008A3B58" w:rsidRPr="0001795E">
        <w:t>Contribution du district aux O</w:t>
      </w:r>
      <w:r w:rsidR="004D24F8" w:rsidRPr="0001795E">
        <w:t>D</w:t>
      </w:r>
      <w:r w:rsidR="008A3B58" w:rsidRPr="0001795E">
        <w:t>D</w:t>
      </w:r>
      <w:bookmarkEnd w:id="264"/>
    </w:p>
    <w:p w14:paraId="1BECC935" w14:textId="45FDF6E4" w:rsidR="00E11ED6" w:rsidRPr="0001795E" w:rsidRDefault="00E11ED6" w:rsidP="0016106A">
      <w:pPr>
        <w:rPr>
          <w:rFonts w:eastAsia="Times New Roman" w:cs="Arial"/>
          <w:bCs/>
          <w:szCs w:val="24"/>
          <w:lang w:eastAsia="fr-FR"/>
        </w:rPr>
      </w:pPr>
      <w:r w:rsidRPr="0001795E">
        <w:rPr>
          <w:rFonts w:eastAsia="Times New Roman" w:cs="Arial"/>
          <w:bCs/>
          <w:szCs w:val="24"/>
          <w:lang w:eastAsia="fr-FR"/>
        </w:rPr>
        <w:t xml:space="preserve">Dans cette section, il a été examiné la proportion des structures sanitaires qui développent des interventions en rapport avec les cibles et les objectifs des </w:t>
      </w:r>
      <w:proofErr w:type="spellStart"/>
      <w:r w:rsidRPr="0001795E">
        <w:rPr>
          <w:rFonts w:eastAsia="Times New Roman" w:cs="Arial"/>
          <w:bCs/>
          <w:szCs w:val="24"/>
          <w:lang w:eastAsia="fr-FR"/>
        </w:rPr>
        <w:t>O</w:t>
      </w:r>
      <w:r w:rsidR="004D24F8" w:rsidRPr="0001795E">
        <w:rPr>
          <w:rFonts w:eastAsia="Times New Roman" w:cs="Arial"/>
          <w:bCs/>
          <w:szCs w:val="24"/>
          <w:lang w:eastAsia="fr-FR"/>
        </w:rPr>
        <w:t>D</w:t>
      </w:r>
      <w:r w:rsidRPr="0001795E">
        <w:rPr>
          <w:rFonts w:eastAsia="Times New Roman" w:cs="Arial"/>
          <w:bCs/>
          <w:szCs w:val="24"/>
          <w:lang w:eastAsia="fr-FR"/>
        </w:rPr>
        <w:t>D</w:t>
      </w:r>
      <w:proofErr w:type="spellEnd"/>
      <w:r w:rsidRPr="0001795E">
        <w:rPr>
          <w:rFonts w:eastAsia="Times New Roman" w:cs="Arial"/>
          <w:bCs/>
          <w:szCs w:val="24"/>
          <w:lang w:eastAsia="fr-FR"/>
        </w:rPr>
        <w:t>.</w:t>
      </w:r>
    </w:p>
    <w:p w14:paraId="3BC53724" w14:textId="2D5CFDB4" w:rsidR="008A3B58" w:rsidRPr="0001795E" w:rsidRDefault="00E11ED6" w:rsidP="0016106A">
      <w:pPr>
        <w:rPr>
          <w:rFonts w:eastAsia="Times New Roman" w:cs="Arial"/>
          <w:szCs w:val="24"/>
          <w:lang w:eastAsia="fr-FR"/>
        </w:rPr>
      </w:pPr>
      <w:r w:rsidRPr="0001795E">
        <w:rPr>
          <w:rFonts w:eastAsia="Times New Roman" w:cs="Arial"/>
          <w:bCs/>
          <w:szCs w:val="24"/>
          <w:lang w:eastAsia="fr-FR"/>
        </w:rPr>
        <w:t>L</w:t>
      </w:r>
      <w:r w:rsidR="008A3B58" w:rsidRPr="0001795E">
        <w:rPr>
          <w:rFonts w:eastAsia="Times New Roman" w:cs="Arial"/>
          <w:bCs/>
          <w:szCs w:val="24"/>
          <w:lang w:eastAsia="fr-FR"/>
        </w:rPr>
        <w:t>e</w:t>
      </w:r>
      <w:r w:rsidRPr="0001795E">
        <w:rPr>
          <w:rFonts w:eastAsia="Times New Roman" w:cs="Arial"/>
          <w:bCs/>
          <w:szCs w:val="24"/>
          <w:lang w:eastAsia="fr-FR"/>
        </w:rPr>
        <w:t xml:space="preserve"> </w:t>
      </w:r>
      <w:r w:rsidR="008A3B58" w:rsidRPr="0001795E">
        <w:rPr>
          <w:rFonts w:eastAsia="Times New Roman" w:cs="Arial"/>
          <w:bCs/>
          <w:szCs w:val="24"/>
          <w:lang w:eastAsia="fr-FR"/>
        </w:rPr>
        <w:t>niveau des indicateurs se présente comme suit : la distribution des moustiquaires imprégnées d’insecticides</w:t>
      </w:r>
      <w:r w:rsidRPr="0001795E">
        <w:rPr>
          <w:rFonts w:eastAsia="Times New Roman" w:cs="Arial"/>
          <w:bCs/>
          <w:szCs w:val="24"/>
          <w:lang w:eastAsia="fr-FR"/>
        </w:rPr>
        <w:t xml:space="preserve"> : </w:t>
      </w:r>
      <w:r w:rsidR="008A3B58" w:rsidRPr="0001795E">
        <w:rPr>
          <w:rFonts w:eastAsia="Times New Roman" w:cs="Arial"/>
          <w:szCs w:val="24"/>
          <w:lang w:eastAsia="fr-FR"/>
        </w:rPr>
        <w:t xml:space="preserve">92%, le </w:t>
      </w:r>
      <w:r w:rsidR="008A3B58" w:rsidRPr="0001795E">
        <w:rPr>
          <w:rFonts w:eastAsia="Times New Roman" w:cs="Arial"/>
          <w:bCs/>
          <w:szCs w:val="24"/>
          <w:lang w:eastAsia="fr-FR"/>
        </w:rPr>
        <w:t>CTA</w:t>
      </w:r>
      <w:r w:rsidRPr="0001795E">
        <w:rPr>
          <w:rFonts w:eastAsia="Times New Roman" w:cs="Arial"/>
          <w:bCs/>
          <w:szCs w:val="24"/>
          <w:lang w:eastAsia="fr-FR"/>
        </w:rPr>
        <w:t> :</w:t>
      </w:r>
      <w:r w:rsidR="00285A5B">
        <w:rPr>
          <w:rFonts w:eastAsia="Times New Roman" w:cs="Arial"/>
          <w:bCs/>
          <w:szCs w:val="24"/>
          <w:lang w:eastAsia="fr-FR"/>
        </w:rPr>
        <w:t xml:space="preserve"> </w:t>
      </w:r>
      <w:r w:rsidR="008A3B58" w:rsidRPr="0001795E">
        <w:rPr>
          <w:rFonts w:eastAsia="Times New Roman" w:cs="Arial"/>
          <w:szCs w:val="24"/>
          <w:lang w:eastAsia="fr-FR"/>
        </w:rPr>
        <w:t xml:space="preserve">98%, le </w:t>
      </w:r>
      <w:r w:rsidR="008A3B58" w:rsidRPr="0001795E">
        <w:rPr>
          <w:rFonts w:eastAsia="Times New Roman" w:cs="Arial"/>
          <w:bCs/>
          <w:szCs w:val="24"/>
          <w:lang w:eastAsia="fr-FR"/>
        </w:rPr>
        <w:t>Traitement Préventif Intermittent</w:t>
      </w:r>
      <w:r w:rsidRPr="0001795E">
        <w:rPr>
          <w:rFonts w:eastAsia="Times New Roman" w:cs="Arial"/>
          <w:bCs/>
          <w:szCs w:val="24"/>
          <w:lang w:eastAsia="fr-FR"/>
        </w:rPr>
        <w:t> :</w:t>
      </w:r>
      <w:r w:rsidR="00285A5B">
        <w:rPr>
          <w:rFonts w:eastAsia="Times New Roman" w:cs="Arial"/>
          <w:bCs/>
          <w:szCs w:val="24"/>
          <w:lang w:eastAsia="fr-FR"/>
        </w:rPr>
        <w:t xml:space="preserve"> </w:t>
      </w:r>
      <w:r w:rsidR="008A3B58" w:rsidRPr="0001795E">
        <w:rPr>
          <w:rFonts w:eastAsia="Times New Roman" w:cs="Arial"/>
          <w:szCs w:val="24"/>
          <w:lang w:eastAsia="fr-FR"/>
        </w:rPr>
        <w:t>92%, le d</w:t>
      </w:r>
      <w:r w:rsidR="008A3B58" w:rsidRPr="0001795E">
        <w:rPr>
          <w:rFonts w:eastAsia="Times New Roman" w:cs="Arial"/>
          <w:bCs/>
          <w:szCs w:val="24"/>
          <w:lang w:eastAsia="fr-FR"/>
        </w:rPr>
        <w:t>épistage VIH</w:t>
      </w:r>
      <w:r w:rsidRPr="0001795E">
        <w:rPr>
          <w:rFonts w:eastAsia="Times New Roman" w:cs="Arial"/>
          <w:bCs/>
          <w:szCs w:val="24"/>
          <w:lang w:eastAsia="fr-FR"/>
        </w:rPr>
        <w:t> :</w:t>
      </w:r>
      <w:r w:rsidR="00285A5B">
        <w:rPr>
          <w:rFonts w:eastAsia="Times New Roman" w:cs="Arial"/>
          <w:bCs/>
          <w:szCs w:val="24"/>
          <w:lang w:eastAsia="fr-FR"/>
        </w:rPr>
        <w:t xml:space="preserve"> </w:t>
      </w:r>
      <w:r w:rsidR="008A3B58" w:rsidRPr="0001795E">
        <w:rPr>
          <w:rFonts w:eastAsia="Times New Roman" w:cs="Arial"/>
          <w:szCs w:val="24"/>
          <w:lang w:eastAsia="fr-FR"/>
        </w:rPr>
        <w:t xml:space="preserve">98%, la disponibilité en </w:t>
      </w:r>
      <w:proofErr w:type="spellStart"/>
      <w:r w:rsidR="008A3B58" w:rsidRPr="0001795E">
        <w:rPr>
          <w:rFonts w:eastAsia="Times New Roman" w:cs="Arial"/>
          <w:bCs/>
          <w:szCs w:val="24"/>
          <w:lang w:eastAsia="fr-FR"/>
        </w:rPr>
        <w:t>ARV</w:t>
      </w:r>
      <w:proofErr w:type="spellEnd"/>
      <w:r w:rsidRPr="0001795E">
        <w:rPr>
          <w:rFonts w:eastAsia="Times New Roman" w:cs="Arial"/>
          <w:bCs/>
          <w:szCs w:val="24"/>
          <w:lang w:eastAsia="fr-FR"/>
        </w:rPr>
        <w:t> :</w:t>
      </w:r>
      <w:r w:rsidR="00285A5B">
        <w:rPr>
          <w:rFonts w:eastAsia="Times New Roman" w:cs="Arial"/>
          <w:bCs/>
          <w:szCs w:val="24"/>
          <w:lang w:eastAsia="fr-FR"/>
        </w:rPr>
        <w:t xml:space="preserve"> </w:t>
      </w:r>
      <w:r w:rsidR="008A3B58" w:rsidRPr="0001795E">
        <w:rPr>
          <w:rFonts w:eastAsia="Times New Roman" w:cs="Arial"/>
          <w:szCs w:val="24"/>
          <w:lang w:eastAsia="fr-FR"/>
        </w:rPr>
        <w:t xml:space="preserve">21%, la </w:t>
      </w:r>
      <w:proofErr w:type="spellStart"/>
      <w:r w:rsidR="008A3B58" w:rsidRPr="0001795E">
        <w:rPr>
          <w:rFonts w:eastAsia="Times New Roman" w:cs="Arial"/>
          <w:bCs/>
          <w:szCs w:val="24"/>
          <w:lang w:eastAsia="fr-FR"/>
        </w:rPr>
        <w:t>PCIME</w:t>
      </w:r>
      <w:proofErr w:type="spellEnd"/>
      <w:r w:rsidRPr="0001795E">
        <w:rPr>
          <w:rFonts w:eastAsia="Times New Roman" w:cs="Arial"/>
          <w:bCs/>
          <w:szCs w:val="24"/>
          <w:lang w:eastAsia="fr-FR"/>
        </w:rPr>
        <w:t> :</w:t>
      </w:r>
      <w:r w:rsidR="00285A5B">
        <w:rPr>
          <w:rFonts w:eastAsia="Times New Roman" w:cs="Arial"/>
          <w:bCs/>
          <w:szCs w:val="24"/>
          <w:lang w:eastAsia="fr-FR"/>
        </w:rPr>
        <w:t xml:space="preserve"> </w:t>
      </w:r>
      <w:r w:rsidR="008A3B58" w:rsidRPr="0001795E">
        <w:rPr>
          <w:rFonts w:eastAsia="Times New Roman" w:cs="Arial"/>
          <w:szCs w:val="24"/>
          <w:lang w:eastAsia="fr-FR"/>
        </w:rPr>
        <w:t xml:space="preserve">98% et le </w:t>
      </w:r>
      <w:r w:rsidR="008A3B58" w:rsidRPr="0001795E">
        <w:rPr>
          <w:rFonts w:eastAsia="Times New Roman" w:cs="Arial"/>
          <w:bCs/>
          <w:szCs w:val="24"/>
          <w:lang w:eastAsia="fr-FR"/>
        </w:rPr>
        <w:t>DOTS</w:t>
      </w:r>
      <w:r w:rsidRPr="0001795E">
        <w:rPr>
          <w:rFonts w:eastAsia="Times New Roman" w:cs="Arial"/>
          <w:bCs/>
          <w:szCs w:val="24"/>
          <w:lang w:eastAsia="fr-FR"/>
        </w:rPr>
        <w:t> :</w:t>
      </w:r>
      <w:r w:rsidR="008A3B58" w:rsidRPr="0001795E">
        <w:rPr>
          <w:rFonts w:eastAsia="Times New Roman" w:cs="Arial"/>
          <w:bCs/>
          <w:szCs w:val="24"/>
          <w:lang w:eastAsia="fr-FR"/>
        </w:rPr>
        <w:t xml:space="preserve"> </w:t>
      </w:r>
      <w:r w:rsidR="008A3B58" w:rsidRPr="0001795E">
        <w:rPr>
          <w:rFonts w:eastAsia="Times New Roman" w:cs="Arial"/>
          <w:szCs w:val="24"/>
          <w:lang w:eastAsia="fr-FR"/>
        </w:rPr>
        <w:t>0%.</w:t>
      </w:r>
    </w:p>
    <w:p w14:paraId="01E6EDCA" w14:textId="77777777" w:rsidR="00013F36" w:rsidRPr="0001795E" w:rsidRDefault="00013F36" w:rsidP="00013F36">
      <w:pPr>
        <w:rPr>
          <w:rFonts w:eastAsia="Times New Roman" w:cs="Times New Roman"/>
          <w:bCs/>
          <w:szCs w:val="24"/>
          <w:lang w:eastAsia="fr-FR"/>
        </w:rPr>
      </w:pPr>
      <w:r w:rsidRPr="0001795E">
        <w:rPr>
          <w:rFonts w:eastAsia="Times New Roman" w:cs="Times New Roman"/>
          <w:bCs/>
          <w:szCs w:val="24"/>
          <w:lang w:eastAsia="fr-FR"/>
        </w:rPr>
        <w:t xml:space="preserve">Le taux élevé des couvertures des services offerts pourrait s’expliquer par l’intégration de plus en plus des programmes verticaux aux PMA et </w:t>
      </w:r>
      <w:proofErr w:type="spellStart"/>
      <w:r w:rsidRPr="0001795E">
        <w:rPr>
          <w:rFonts w:eastAsia="Times New Roman" w:cs="Times New Roman"/>
          <w:bCs/>
          <w:szCs w:val="24"/>
          <w:lang w:eastAsia="fr-FR"/>
        </w:rPr>
        <w:t>PCA</w:t>
      </w:r>
      <w:proofErr w:type="spellEnd"/>
      <w:r w:rsidRPr="0001795E">
        <w:rPr>
          <w:rFonts w:eastAsia="Times New Roman" w:cs="Times New Roman"/>
          <w:bCs/>
          <w:szCs w:val="24"/>
          <w:lang w:eastAsia="fr-FR"/>
        </w:rPr>
        <w:t xml:space="preserve"> des centres de santé à l’exception de la lutte contre la tuberculose encore limité à certains centres de santé urbains et à des structures spécifiques (</w:t>
      </w:r>
      <w:proofErr w:type="spellStart"/>
      <w:r w:rsidRPr="0001795E">
        <w:rPr>
          <w:rFonts w:eastAsia="Times New Roman" w:cs="Times New Roman"/>
          <w:b/>
          <w:bCs/>
          <w:szCs w:val="24"/>
          <w:lang w:eastAsia="fr-FR"/>
        </w:rPr>
        <w:t>LTO</w:t>
      </w:r>
      <w:proofErr w:type="spellEnd"/>
      <w:r w:rsidRPr="0001795E">
        <w:rPr>
          <w:rFonts w:eastAsia="Times New Roman" w:cs="Times New Roman"/>
          <w:bCs/>
          <w:szCs w:val="24"/>
          <w:lang w:eastAsia="fr-FR"/>
        </w:rPr>
        <w:t>) directement rattachées aux DPS.</w:t>
      </w:r>
    </w:p>
    <w:p w14:paraId="23A414B1" w14:textId="21930343" w:rsidR="009A7450" w:rsidRPr="0001795E" w:rsidRDefault="00672A51" w:rsidP="00A41318">
      <w:pPr>
        <w:pStyle w:val="Titre3"/>
        <w:numPr>
          <w:ilvl w:val="2"/>
          <w:numId w:val="8"/>
        </w:numPr>
      </w:pPr>
      <w:r w:rsidRPr="0001795E">
        <w:t xml:space="preserve"> </w:t>
      </w:r>
      <w:bookmarkStart w:id="265" w:name="_Toc63233227"/>
      <w:r w:rsidR="009A7450" w:rsidRPr="0001795E">
        <w:t xml:space="preserve">Disponibilité des ressources pour 100.000 </w:t>
      </w:r>
      <w:r w:rsidR="00285A5B">
        <w:t xml:space="preserve"> </w:t>
      </w:r>
      <w:r w:rsidR="009A7450" w:rsidRPr="0001795E">
        <w:t>habitants</w:t>
      </w:r>
      <w:bookmarkEnd w:id="265"/>
      <w:r w:rsidR="009A7450" w:rsidRPr="0001795E">
        <w:t> </w:t>
      </w:r>
    </w:p>
    <w:p w14:paraId="68BA814C" w14:textId="71274479" w:rsidR="009A7450" w:rsidRPr="0001795E" w:rsidRDefault="009A7450" w:rsidP="0016106A">
      <w:pPr>
        <w:rPr>
          <w:rFonts w:eastAsia="Times New Roman" w:cs="Arial"/>
          <w:bCs/>
          <w:szCs w:val="24"/>
          <w:lang w:eastAsia="fr-FR"/>
        </w:rPr>
      </w:pPr>
      <w:r w:rsidRPr="0001795E">
        <w:rPr>
          <w:rFonts w:eastAsia="Times New Roman" w:cs="Arial"/>
          <w:bCs/>
          <w:szCs w:val="24"/>
          <w:lang w:eastAsia="fr-FR"/>
        </w:rPr>
        <w:t xml:space="preserve">Dans cette section, il a été examiné la disponibilité des établissements de soins, des équipements pour la chirurgie, des lits et </w:t>
      </w:r>
      <w:r w:rsidR="00C636F0" w:rsidRPr="0001795E">
        <w:rPr>
          <w:rFonts w:eastAsia="Times New Roman" w:cs="Arial"/>
          <w:bCs/>
          <w:szCs w:val="24"/>
          <w:lang w:eastAsia="fr-FR"/>
        </w:rPr>
        <w:t>d</w:t>
      </w:r>
      <w:r w:rsidRPr="0001795E">
        <w:rPr>
          <w:rFonts w:eastAsia="Times New Roman" w:cs="Arial"/>
          <w:bCs/>
          <w:szCs w:val="24"/>
          <w:lang w:eastAsia="fr-FR"/>
        </w:rPr>
        <w:t>es soins obstétricaux et du personnel. Les principaux indicateurs sont ainsi déclinés :</w:t>
      </w:r>
    </w:p>
    <w:p w14:paraId="55FF26E3" w14:textId="18E2DFC4" w:rsidR="009A7450" w:rsidRPr="0001795E" w:rsidRDefault="009A7450" w:rsidP="0016106A">
      <w:pPr>
        <w:rPr>
          <w:rFonts w:eastAsia="Times New Roman" w:cs="Arial"/>
          <w:bCs/>
          <w:szCs w:val="24"/>
          <w:lang w:eastAsia="fr-FR"/>
        </w:rPr>
      </w:pPr>
      <w:r w:rsidRPr="0001795E">
        <w:rPr>
          <w:rFonts w:eastAsia="Times New Roman" w:cs="Arial"/>
          <w:bCs/>
          <w:szCs w:val="24"/>
          <w:lang w:eastAsia="fr-FR"/>
        </w:rPr>
        <w:t xml:space="preserve">Hôpital de District : 0,33 </w:t>
      </w:r>
      <w:r w:rsidR="00C636F0" w:rsidRPr="0001795E">
        <w:rPr>
          <w:rFonts w:eastAsia="Times New Roman" w:cs="Arial"/>
          <w:bCs/>
          <w:szCs w:val="24"/>
          <w:lang w:eastAsia="fr-FR"/>
        </w:rPr>
        <w:t xml:space="preserve">hôpital </w:t>
      </w:r>
      <w:r w:rsidRPr="0001795E">
        <w:rPr>
          <w:rFonts w:eastAsia="Times New Roman" w:cs="Arial"/>
          <w:bCs/>
          <w:szCs w:val="24"/>
          <w:lang w:eastAsia="fr-FR"/>
        </w:rPr>
        <w:t>pour 100.000 habitants</w:t>
      </w:r>
      <w:r w:rsidRPr="0001795E">
        <w:rPr>
          <w:rFonts w:eastAsia="Times New Roman" w:cs="Arial"/>
          <w:b/>
          <w:bCs/>
          <w:szCs w:val="24"/>
          <w:lang w:eastAsia="fr-FR"/>
        </w:rPr>
        <w:t> </w:t>
      </w:r>
      <w:r w:rsidRPr="0001795E">
        <w:rPr>
          <w:rFonts w:eastAsia="Times New Roman" w:cs="Arial"/>
          <w:bCs/>
          <w:szCs w:val="24"/>
          <w:lang w:eastAsia="fr-FR"/>
        </w:rPr>
        <w:t>soit un hôpital pour 300 000 habitants conformes à la population moyenne du district de l’échantillon de l’étude.</w:t>
      </w:r>
    </w:p>
    <w:p w14:paraId="3883A9FB" w14:textId="5ADCA91E" w:rsidR="009A7450" w:rsidRPr="0001795E" w:rsidRDefault="009A7450" w:rsidP="0016106A">
      <w:pPr>
        <w:rPr>
          <w:rFonts w:eastAsia="Times New Roman" w:cs="Arial"/>
          <w:bCs/>
          <w:szCs w:val="24"/>
          <w:lang w:eastAsia="fr-FR"/>
        </w:rPr>
      </w:pPr>
      <w:r w:rsidRPr="0001795E">
        <w:rPr>
          <w:rFonts w:eastAsia="Times New Roman" w:cs="Arial"/>
          <w:bCs/>
          <w:szCs w:val="24"/>
          <w:lang w:eastAsia="fr-FR"/>
        </w:rPr>
        <w:t xml:space="preserve">Centre de Santé intégré : 3,64 </w:t>
      </w:r>
      <w:r w:rsidR="00C636F0" w:rsidRPr="0001795E">
        <w:rPr>
          <w:rFonts w:eastAsia="Times New Roman" w:cs="Arial"/>
          <w:bCs/>
          <w:szCs w:val="24"/>
          <w:lang w:eastAsia="fr-FR"/>
        </w:rPr>
        <w:t xml:space="preserve">centres de santé </w:t>
      </w:r>
      <w:r w:rsidRPr="0001795E">
        <w:rPr>
          <w:rFonts w:eastAsia="Times New Roman" w:cs="Arial"/>
          <w:bCs/>
          <w:szCs w:val="24"/>
          <w:lang w:eastAsia="fr-FR"/>
        </w:rPr>
        <w:t>pour 100.000 habitants soit un centre pour 25 000 habitants correspondant à la population moyenne d’une aire de santé constatée dans la description du district.</w:t>
      </w:r>
    </w:p>
    <w:p w14:paraId="2E1CE205" w14:textId="264063E0" w:rsidR="009A7450" w:rsidRPr="0001795E" w:rsidRDefault="009A7450" w:rsidP="0016106A">
      <w:pPr>
        <w:rPr>
          <w:rFonts w:eastAsia="Times New Roman" w:cs="Arial"/>
          <w:bCs/>
          <w:szCs w:val="24"/>
          <w:lang w:eastAsia="fr-FR"/>
        </w:rPr>
      </w:pPr>
      <w:proofErr w:type="spellStart"/>
      <w:r w:rsidRPr="0001795E">
        <w:rPr>
          <w:rFonts w:eastAsia="Times New Roman" w:cs="Arial"/>
          <w:bCs/>
          <w:szCs w:val="24"/>
          <w:lang w:eastAsia="fr-FR"/>
        </w:rPr>
        <w:t>SOUC</w:t>
      </w:r>
      <w:proofErr w:type="spellEnd"/>
      <w:r w:rsidRPr="0001795E">
        <w:rPr>
          <w:rFonts w:eastAsia="Times New Roman" w:cs="Arial"/>
          <w:bCs/>
          <w:szCs w:val="24"/>
          <w:lang w:eastAsia="fr-FR"/>
        </w:rPr>
        <w:tab/>
        <w:t xml:space="preserve">: 0,63 </w:t>
      </w:r>
      <w:proofErr w:type="spellStart"/>
      <w:r w:rsidR="00C636F0" w:rsidRPr="0001795E">
        <w:rPr>
          <w:rFonts w:eastAsia="Times New Roman" w:cs="Arial"/>
          <w:bCs/>
          <w:szCs w:val="24"/>
          <w:lang w:eastAsia="fr-FR"/>
        </w:rPr>
        <w:t>SOUC</w:t>
      </w:r>
      <w:proofErr w:type="spellEnd"/>
      <w:r w:rsidR="00C636F0" w:rsidRPr="0001795E">
        <w:rPr>
          <w:rFonts w:eastAsia="Times New Roman" w:cs="Arial"/>
          <w:bCs/>
          <w:szCs w:val="24"/>
          <w:lang w:eastAsia="fr-FR"/>
        </w:rPr>
        <w:t xml:space="preserve"> </w:t>
      </w:r>
      <w:r w:rsidRPr="0001795E">
        <w:rPr>
          <w:rFonts w:eastAsia="Times New Roman" w:cs="Arial"/>
          <w:bCs/>
          <w:szCs w:val="24"/>
          <w:lang w:eastAsia="fr-FR"/>
        </w:rPr>
        <w:t>pour 100.000 habitants</w:t>
      </w:r>
      <w:r w:rsidRPr="0001795E">
        <w:rPr>
          <w:rFonts w:eastAsia="Times New Roman" w:cs="Arial"/>
          <w:b/>
          <w:bCs/>
          <w:szCs w:val="24"/>
          <w:lang w:eastAsia="fr-FR"/>
        </w:rPr>
        <w:t> </w:t>
      </w:r>
      <w:r w:rsidRPr="0001795E">
        <w:rPr>
          <w:rFonts w:eastAsia="Times New Roman" w:cs="Arial"/>
          <w:bCs/>
          <w:szCs w:val="24"/>
          <w:lang w:eastAsia="fr-FR"/>
        </w:rPr>
        <w:t xml:space="preserve">soit environ un </w:t>
      </w:r>
      <w:proofErr w:type="spellStart"/>
      <w:r w:rsidRPr="0001795E">
        <w:rPr>
          <w:rFonts w:eastAsia="Times New Roman" w:cs="Arial"/>
          <w:bCs/>
          <w:szCs w:val="24"/>
          <w:lang w:eastAsia="fr-FR"/>
        </w:rPr>
        <w:t>SOUC</w:t>
      </w:r>
      <w:proofErr w:type="spellEnd"/>
      <w:r w:rsidRPr="0001795E">
        <w:rPr>
          <w:rFonts w:eastAsia="Times New Roman" w:cs="Arial"/>
          <w:bCs/>
          <w:szCs w:val="24"/>
          <w:lang w:eastAsia="fr-FR"/>
        </w:rPr>
        <w:t xml:space="preserve"> pour 200 000 habitants ce qui est conforme aux normes qui sont définies dans le cadre de lutte contre la pauvreté. La différence constatée avec le ratio pour les HP est que l’ambulance a été prise en compte dans le calcul des indicateurs car il peut faciliter l’accessibilité à une césarienne.</w:t>
      </w:r>
    </w:p>
    <w:p w14:paraId="25179982" w14:textId="15279764" w:rsidR="009A7450" w:rsidRPr="0001795E" w:rsidRDefault="009A7450" w:rsidP="0016106A">
      <w:pPr>
        <w:rPr>
          <w:rFonts w:eastAsia="Times New Roman" w:cs="Arial"/>
          <w:bCs/>
          <w:szCs w:val="24"/>
          <w:lang w:eastAsia="fr-FR"/>
        </w:rPr>
      </w:pPr>
      <w:r w:rsidRPr="0001795E">
        <w:rPr>
          <w:rFonts w:eastAsia="Times New Roman" w:cs="Arial"/>
          <w:bCs/>
          <w:szCs w:val="24"/>
          <w:lang w:eastAsia="fr-FR"/>
        </w:rPr>
        <w:t>Antenne chirurgicale</w:t>
      </w:r>
      <w:r w:rsidR="00C570C9" w:rsidRPr="0001795E">
        <w:rPr>
          <w:rFonts w:eastAsia="Times New Roman" w:cs="Arial"/>
          <w:bCs/>
          <w:szCs w:val="24"/>
          <w:lang w:eastAsia="fr-FR"/>
        </w:rPr>
        <w:t xml:space="preserve"> </w:t>
      </w:r>
      <w:r w:rsidRPr="0001795E">
        <w:rPr>
          <w:rFonts w:eastAsia="Times New Roman" w:cs="Arial"/>
          <w:bCs/>
          <w:szCs w:val="24"/>
          <w:lang w:eastAsia="fr-FR"/>
        </w:rPr>
        <w:t xml:space="preserve">: 0,31 </w:t>
      </w:r>
      <w:r w:rsidR="00C636F0" w:rsidRPr="0001795E">
        <w:rPr>
          <w:rFonts w:eastAsia="Times New Roman" w:cs="Arial"/>
          <w:bCs/>
          <w:szCs w:val="24"/>
          <w:lang w:eastAsia="fr-FR"/>
        </w:rPr>
        <w:t xml:space="preserve">antenne </w:t>
      </w:r>
      <w:r w:rsidRPr="0001795E">
        <w:rPr>
          <w:rFonts w:eastAsia="Times New Roman" w:cs="Arial"/>
          <w:bCs/>
          <w:szCs w:val="24"/>
          <w:lang w:eastAsia="fr-FR"/>
        </w:rPr>
        <w:t>pour 100.000 habitants</w:t>
      </w:r>
      <w:r w:rsidRPr="0001795E">
        <w:rPr>
          <w:rFonts w:eastAsia="Times New Roman" w:cs="Arial"/>
          <w:b/>
          <w:bCs/>
          <w:szCs w:val="24"/>
          <w:lang w:eastAsia="fr-FR"/>
        </w:rPr>
        <w:t> </w:t>
      </w:r>
      <w:r w:rsidRPr="0001795E">
        <w:rPr>
          <w:rFonts w:eastAsia="Times New Roman" w:cs="Arial"/>
          <w:bCs/>
          <w:szCs w:val="24"/>
          <w:lang w:eastAsia="fr-FR"/>
        </w:rPr>
        <w:t>soit un</w:t>
      </w:r>
      <w:r w:rsidR="00C636F0" w:rsidRPr="0001795E">
        <w:rPr>
          <w:rFonts w:eastAsia="Times New Roman" w:cs="Arial"/>
          <w:bCs/>
          <w:szCs w:val="24"/>
          <w:lang w:eastAsia="fr-FR"/>
        </w:rPr>
        <w:t xml:space="preserve">e antenne </w:t>
      </w:r>
      <w:r w:rsidRPr="0001795E">
        <w:rPr>
          <w:rFonts w:eastAsia="Times New Roman" w:cs="Arial"/>
          <w:bCs/>
          <w:szCs w:val="24"/>
          <w:lang w:eastAsia="fr-FR"/>
        </w:rPr>
        <w:t>pour 300 000 habitants conformes à la population moyenne du district de l’échantillon de l’étude.</w:t>
      </w:r>
    </w:p>
    <w:p w14:paraId="1568D2D7" w14:textId="3032C4ED" w:rsidR="009A7450" w:rsidRPr="0001795E" w:rsidRDefault="009A7450" w:rsidP="0016106A">
      <w:pPr>
        <w:rPr>
          <w:rFonts w:eastAsia="Times New Roman" w:cs="Arial"/>
          <w:bCs/>
          <w:szCs w:val="24"/>
          <w:lang w:eastAsia="fr-FR"/>
        </w:rPr>
      </w:pPr>
      <w:r w:rsidRPr="0001795E">
        <w:rPr>
          <w:rFonts w:eastAsia="Times New Roman" w:cs="Arial"/>
          <w:bCs/>
          <w:szCs w:val="24"/>
          <w:lang w:eastAsia="fr-FR"/>
        </w:rPr>
        <w:t xml:space="preserve">Lits d'hospitalisation : 24,94 </w:t>
      </w:r>
      <w:r w:rsidR="00C636F0" w:rsidRPr="0001795E">
        <w:rPr>
          <w:rFonts w:eastAsia="Times New Roman" w:cs="Arial"/>
          <w:bCs/>
          <w:szCs w:val="24"/>
          <w:lang w:eastAsia="fr-FR"/>
        </w:rPr>
        <w:t xml:space="preserve">lits </w:t>
      </w:r>
      <w:r w:rsidRPr="0001795E">
        <w:rPr>
          <w:rFonts w:eastAsia="Times New Roman" w:cs="Arial"/>
          <w:bCs/>
          <w:szCs w:val="24"/>
          <w:lang w:eastAsia="fr-FR"/>
        </w:rPr>
        <w:t xml:space="preserve">pour 100.000 habitants soit environ un lit pour 4 000 habitants. Cette situation serait dû au fait que les capacités d’hospitalisation des </w:t>
      </w:r>
      <w:proofErr w:type="spellStart"/>
      <w:r w:rsidRPr="0001795E">
        <w:rPr>
          <w:rFonts w:eastAsia="Times New Roman" w:cs="Arial"/>
          <w:bCs/>
          <w:szCs w:val="24"/>
          <w:lang w:eastAsia="fr-FR"/>
        </w:rPr>
        <w:t>HN</w:t>
      </w:r>
      <w:proofErr w:type="spellEnd"/>
      <w:r w:rsidRPr="0001795E">
        <w:rPr>
          <w:rFonts w:eastAsia="Times New Roman" w:cs="Arial"/>
          <w:bCs/>
          <w:szCs w:val="24"/>
          <w:lang w:eastAsia="fr-FR"/>
        </w:rPr>
        <w:t xml:space="preserve"> ne sont pas en compte dans cette étude. Cette moyenne cache assez de disparités d’une préfecture à une autre.</w:t>
      </w:r>
    </w:p>
    <w:p w14:paraId="716D47F0" w14:textId="61C07C4B" w:rsidR="009A7450" w:rsidRPr="0001795E" w:rsidRDefault="009A7450" w:rsidP="0016106A">
      <w:pPr>
        <w:rPr>
          <w:rFonts w:eastAsia="Times New Roman" w:cs="Arial"/>
          <w:bCs/>
          <w:szCs w:val="24"/>
          <w:lang w:eastAsia="fr-FR"/>
        </w:rPr>
      </w:pPr>
      <w:r w:rsidRPr="0001795E">
        <w:rPr>
          <w:rFonts w:eastAsia="Times New Roman" w:cs="Arial"/>
          <w:bCs/>
          <w:szCs w:val="24"/>
          <w:lang w:eastAsia="fr-FR"/>
        </w:rPr>
        <w:t xml:space="preserve">Lits pour maternité : 5,36 </w:t>
      </w:r>
      <w:r w:rsidR="00C636F0" w:rsidRPr="0001795E">
        <w:rPr>
          <w:rFonts w:eastAsia="Times New Roman" w:cs="Arial"/>
          <w:bCs/>
          <w:szCs w:val="24"/>
          <w:lang w:eastAsia="fr-FR"/>
        </w:rPr>
        <w:t xml:space="preserve">lits </w:t>
      </w:r>
      <w:r w:rsidRPr="0001795E">
        <w:rPr>
          <w:rFonts w:eastAsia="Times New Roman" w:cs="Arial"/>
          <w:bCs/>
          <w:szCs w:val="24"/>
          <w:lang w:eastAsia="fr-FR"/>
        </w:rPr>
        <w:t>pour 100.000 habitants soit environ un lit de maternité pour 19 000 habitants. Cette situation montre que les maternités des hôpitaux sont orientées presque exclusivement vers les accouchements compliqués.</w:t>
      </w:r>
    </w:p>
    <w:p w14:paraId="086DA71F" w14:textId="4260BD2A" w:rsidR="009A7450" w:rsidRPr="0001795E" w:rsidRDefault="009A7450" w:rsidP="0016106A">
      <w:pPr>
        <w:rPr>
          <w:rFonts w:eastAsia="Times New Roman" w:cs="Arial"/>
          <w:bCs/>
          <w:szCs w:val="24"/>
          <w:lang w:eastAsia="fr-FR"/>
        </w:rPr>
      </w:pPr>
      <w:r w:rsidRPr="0001795E">
        <w:rPr>
          <w:rFonts w:eastAsia="Times New Roman" w:cs="Arial"/>
          <w:bCs/>
          <w:szCs w:val="24"/>
          <w:lang w:eastAsia="fr-FR"/>
        </w:rPr>
        <w:t xml:space="preserve">Médecins : 9,03 </w:t>
      </w:r>
      <w:r w:rsidR="00C636F0" w:rsidRPr="0001795E">
        <w:rPr>
          <w:rFonts w:eastAsia="Times New Roman" w:cs="Arial"/>
          <w:bCs/>
          <w:szCs w:val="24"/>
          <w:lang w:eastAsia="fr-FR"/>
        </w:rPr>
        <w:t xml:space="preserve">médecins </w:t>
      </w:r>
      <w:r w:rsidRPr="0001795E">
        <w:rPr>
          <w:rFonts w:eastAsia="Times New Roman" w:cs="Arial"/>
          <w:bCs/>
          <w:szCs w:val="24"/>
          <w:lang w:eastAsia="fr-FR"/>
        </w:rPr>
        <w:t xml:space="preserve">pour 100.000 habitants soit un médecin pour 11 000 habitants. </w:t>
      </w:r>
    </w:p>
    <w:p w14:paraId="71B0F726" w14:textId="435E815B" w:rsidR="009A7450" w:rsidRPr="0001795E" w:rsidRDefault="009A7450" w:rsidP="0016106A">
      <w:pPr>
        <w:rPr>
          <w:rFonts w:eastAsia="Times New Roman" w:cs="Arial"/>
          <w:bCs/>
          <w:szCs w:val="24"/>
          <w:lang w:eastAsia="fr-FR"/>
        </w:rPr>
      </w:pPr>
      <w:r w:rsidRPr="0001795E">
        <w:rPr>
          <w:rFonts w:eastAsia="Times New Roman" w:cs="Arial"/>
          <w:bCs/>
          <w:szCs w:val="24"/>
          <w:lang w:eastAsia="fr-FR"/>
        </w:rPr>
        <w:t xml:space="preserve">Infirmiers : 15,63 </w:t>
      </w:r>
      <w:r w:rsidR="00C636F0" w:rsidRPr="0001795E">
        <w:rPr>
          <w:rFonts w:eastAsia="Times New Roman" w:cs="Arial"/>
          <w:bCs/>
          <w:szCs w:val="24"/>
          <w:lang w:eastAsia="fr-FR"/>
        </w:rPr>
        <w:t xml:space="preserve">infirmiers </w:t>
      </w:r>
      <w:r w:rsidRPr="0001795E">
        <w:rPr>
          <w:rFonts w:eastAsia="Times New Roman" w:cs="Arial"/>
          <w:bCs/>
          <w:szCs w:val="24"/>
          <w:lang w:eastAsia="fr-FR"/>
        </w:rPr>
        <w:t>pour 100.000 habitants un infirmier pour 6 400 habitants soit un médecin pour deux infirmiers montrant un déséquilibre dans la combinaison des compétences.</w:t>
      </w:r>
    </w:p>
    <w:p w14:paraId="2D06510F" w14:textId="40BD008C" w:rsidR="009A7450" w:rsidRPr="0001795E" w:rsidRDefault="009A7450" w:rsidP="0016106A">
      <w:pPr>
        <w:rPr>
          <w:rFonts w:eastAsia="Times New Roman" w:cs="Arial"/>
          <w:bCs/>
          <w:szCs w:val="24"/>
          <w:lang w:eastAsia="fr-FR"/>
        </w:rPr>
      </w:pPr>
      <w:r w:rsidRPr="0001795E">
        <w:rPr>
          <w:rFonts w:eastAsia="Times New Roman" w:cs="Arial"/>
          <w:bCs/>
          <w:szCs w:val="24"/>
          <w:lang w:eastAsia="fr-FR"/>
        </w:rPr>
        <w:t xml:space="preserve">Sages-femmes : 8,09 </w:t>
      </w:r>
      <w:r w:rsidR="00C636F0" w:rsidRPr="0001795E">
        <w:rPr>
          <w:rFonts w:eastAsia="Times New Roman" w:cs="Arial"/>
          <w:bCs/>
          <w:szCs w:val="24"/>
          <w:lang w:eastAsia="fr-FR"/>
        </w:rPr>
        <w:t xml:space="preserve">sages-femmes </w:t>
      </w:r>
      <w:r w:rsidRPr="0001795E">
        <w:rPr>
          <w:rFonts w:eastAsia="Times New Roman" w:cs="Arial"/>
          <w:bCs/>
          <w:szCs w:val="24"/>
          <w:lang w:eastAsia="fr-FR"/>
        </w:rPr>
        <w:t xml:space="preserve">pour 100.000 habitants soit une sage-femme pour 12 400 habitants </w:t>
      </w:r>
    </w:p>
    <w:p w14:paraId="50B271B8" w14:textId="55DF34D6" w:rsidR="009A7450" w:rsidRPr="0001795E" w:rsidRDefault="009A7450" w:rsidP="0016106A">
      <w:pPr>
        <w:rPr>
          <w:rFonts w:eastAsia="Times New Roman" w:cs="Arial"/>
          <w:bCs/>
          <w:szCs w:val="24"/>
          <w:lang w:eastAsia="fr-FR"/>
        </w:rPr>
      </w:pPr>
      <w:r w:rsidRPr="0001795E">
        <w:rPr>
          <w:rFonts w:eastAsia="Times New Roman" w:cs="Arial"/>
          <w:bCs/>
          <w:szCs w:val="24"/>
          <w:lang w:eastAsia="fr-FR"/>
        </w:rPr>
        <w:t>Pour toutes ces catégories professionnelles, ces moyennes cachent assez de disparités d’un district sanitaire à un autre.</w:t>
      </w:r>
    </w:p>
    <w:p w14:paraId="6A3C0860" w14:textId="22FAEA6D" w:rsidR="00C570C9" w:rsidRPr="0001795E" w:rsidRDefault="00406BAE" w:rsidP="00514550">
      <w:pPr>
        <w:pStyle w:val="Titre2"/>
        <w:numPr>
          <w:ilvl w:val="1"/>
          <w:numId w:val="8"/>
        </w:numPr>
        <w:tabs>
          <w:tab w:val="left" w:pos="284"/>
        </w:tabs>
        <w:rPr>
          <w:rFonts w:eastAsia="Times New Roman"/>
          <w:lang w:eastAsia="fr-FR"/>
        </w:rPr>
      </w:pPr>
      <w:r w:rsidRPr="0001795E">
        <w:rPr>
          <w:szCs w:val="24"/>
        </w:rPr>
        <w:t xml:space="preserve"> </w:t>
      </w:r>
      <w:bookmarkStart w:id="266" w:name="_Toc63233228"/>
      <w:r w:rsidR="00174440" w:rsidRPr="0001795E">
        <w:rPr>
          <w:szCs w:val="24"/>
        </w:rPr>
        <w:t>Potentialités</w:t>
      </w:r>
      <w:r w:rsidR="00C570C9" w:rsidRPr="0001795E">
        <w:rPr>
          <w:rFonts w:eastAsia="Times New Roman"/>
          <w:lang w:eastAsia="fr-FR"/>
        </w:rPr>
        <w:t xml:space="preserve"> </w:t>
      </w:r>
      <w:r w:rsidR="00174440" w:rsidRPr="0001795E">
        <w:rPr>
          <w:rFonts w:eastAsia="Times New Roman"/>
          <w:lang w:eastAsia="fr-FR"/>
        </w:rPr>
        <w:t>et équipement des formations sanitaires</w:t>
      </w:r>
      <w:bookmarkEnd w:id="266"/>
      <w:r w:rsidR="00174440" w:rsidRPr="0001795E">
        <w:rPr>
          <w:rFonts w:eastAsia="Times New Roman"/>
          <w:lang w:eastAsia="fr-FR"/>
        </w:rPr>
        <w:t xml:space="preserve"> </w:t>
      </w:r>
    </w:p>
    <w:p w14:paraId="3F7DC32C" w14:textId="4EE33F27" w:rsidR="00EF5322" w:rsidRPr="0001795E" w:rsidRDefault="00174440" w:rsidP="00EF5322">
      <w:pPr>
        <w:tabs>
          <w:tab w:val="left" w:pos="142"/>
          <w:tab w:val="left" w:pos="284"/>
        </w:tabs>
        <w:rPr>
          <w:rFonts w:eastAsia="Times New Roman" w:cs="Arial"/>
          <w:szCs w:val="24"/>
          <w:lang w:eastAsia="fr-FR"/>
        </w:rPr>
      </w:pPr>
      <w:r w:rsidRPr="0001795E">
        <w:rPr>
          <w:rFonts w:eastAsia="Times New Roman" w:cs="Arial"/>
          <w:szCs w:val="24"/>
          <w:lang w:eastAsia="fr-FR"/>
        </w:rPr>
        <w:t>Dans cette section, les potentialités et les équipements des structures de prestation de soins ont été évalués en tenant compte du personnel, du plateau technique (</w:t>
      </w:r>
      <w:proofErr w:type="spellStart"/>
      <w:r w:rsidRPr="0001795E">
        <w:rPr>
          <w:rFonts w:eastAsia="Times New Roman" w:cs="Arial"/>
          <w:szCs w:val="24"/>
          <w:lang w:eastAsia="fr-FR"/>
        </w:rPr>
        <w:t>SOUC</w:t>
      </w:r>
      <w:proofErr w:type="spellEnd"/>
      <w:r w:rsidRPr="0001795E">
        <w:rPr>
          <w:rFonts w:eastAsia="Times New Roman" w:cs="Arial"/>
          <w:szCs w:val="24"/>
          <w:lang w:eastAsia="fr-FR"/>
        </w:rPr>
        <w:t xml:space="preserve"> et antenne chirurgicale), de la chaine de froid, des bâtiments des équipements de communication et de la disponibilité de l’eau, de l’électricité et de l’ambulance pour chaque niveau de soins.</w:t>
      </w:r>
    </w:p>
    <w:p w14:paraId="484B4E2A" w14:textId="3A3A978E" w:rsidR="00C8650D" w:rsidRPr="0001795E" w:rsidRDefault="00C8650D" w:rsidP="00A41318">
      <w:pPr>
        <w:pStyle w:val="Titre3"/>
        <w:numPr>
          <w:ilvl w:val="2"/>
          <w:numId w:val="8"/>
        </w:numPr>
      </w:pPr>
      <w:bookmarkStart w:id="267" w:name="_Toc63233229"/>
      <w:r w:rsidRPr="0001795E">
        <w:t>Hôpitaux de district</w:t>
      </w:r>
      <w:bookmarkEnd w:id="267"/>
      <w:r w:rsidRPr="0001795E">
        <w:t xml:space="preserve"> </w:t>
      </w:r>
    </w:p>
    <w:p w14:paraId="430F1380" w14:textId="1432A75A" w:rsidR="00174440" w:rsidRPr="0001795E" w:rsidRDefault="00C8650D" w:rsidP="0016106A">
      <w:pPr>
        <w:rPr>
          <w:rFonts w:eastAsia="Times New Roman" w:cs="Arial"/>
          <w:bCs/>
          <w:szCs w:val="24"/>
          <w:lang w:eastAsia="fr-FR"/>
        </w:rPr>
      </w:pPr>
      <w:r w:rsidRPr="0001795E">
        <w:rPr>
          <w:rFonts w:eastAsia="Times New Roman" w:cs="Arial"/>
          <w:bCs/>
          <w:szCs w:val="24"/>
          <w:lang w:eastAsia="fr-FR"/>
        </w:rPr>
        <w:t>L’évaluation a montré que 100</w:t>
      </w:r>
      <w:r w:rsidRPr="0001795E">
        <w:rPr>
          <w:rFonts w:eastAsia="Times New Roman" w:cs="Calibri"/>
          <w:bCs/>
          <w:szCs w:val="24"/>
          <w:lang w:eastAsia="fr-FR"/>
        </w:rPr>
        <w:t xml:space="preserve">% </w:t>
      </w:r>
      <w:r w:rsidR="00A56F11" w:rsidRPr="0001795E">
        <w:rPr>
          <w:rFonts w:eastAsia="Times New Roman" w:cs="Arial"/>
          <w:szCs w:val="24"/>
          <w:lang w:eastAsia="fr-FR"/>
        </w:rPr>
        <w:t>des 27</w:t>
      </w:r>
      <w:r w:rsidR="00A56F11" w:rsidRPr="0001795E">
        <w:rPr>
          <w:rFonts w:eastAsia="Times New Roman" w:cs="Arial"/>
          <w:b/>
          <w:bCs/>
          <w:szCs w:val="24"/>
          <w:lang w:eastAsia="fr-FR"/>
        </w:rPr>
        <w:t xml:space="preserve"> </w:t>
      </w:r>
      <w:r w:rsidR="00174440" w:rsidRPr="0001795E">
        <w:rPr>
          <w:rFonts w:eastAsia="Times New Roman" w:cs="Arial"/>
          <w:szCs w:val="24"/>
          <w:lang w:eastAsia="fr-FR"/>
        </w:rPr>
        <w:t>hôpitaux</w:t>
      </w:r>
      <w:r w:rsidR="00174440" w:rsidRPr="0001795E">
        <w:rPr>
          <w:rFonts w:eastAsia="Times New Roman" w:cs="Arial"/>
          <w:bCs/>
          <w:szCs w:val="24"/>
          <w:lang w:eastAsia="fr-FR"/>
        </w:rPr>
        <w:t xml:space="preserve"> de district</w:t>
      </w:r>
      <w:r w:rsidR="00174440" w:rsidRPr="0001795E">
        <w:rPr>
          <w:rFonts w:eastAsia="Times New Roman" w:cs="Arial"/>
          <w:b/>
          <w:bCs/>
          <w:szCs w:val="24"/>
          <w:lang w:eastAsia="fr-FR"/>
        </w:rPr>
        <w:t xml:space="preserve"> </w:t>
      </w:r>
      <w:r w:rsidR="00174440" w:rsidRPr="0001795E">
        <w:rPr>
          <w:rFonts w:eastAsia="Times New Roman" w:cs="Arial"/>
          <w:szCs w:val="24"/>
          <w:lang w:eastAsia="fr-FR"/>
        </w:rPr>
        <w:t>évalués</w:t>
      </w:r>
      <w:r w:rsidR="00174440" w:rsidRPr="0001795E">
        <w:rPr>
          <w:rFonts w:eastAsia="Times New Roman" w:cs="Arial"/>
          <w:b/>
          <w:bCs/>
          <w:szCs w:val="24"/>
          <w:lang w:eastAsia="fr-FR"/>
        </w:rPr>
        <w:t xml:space="preserve"> </w:t>
      </w:r>
      <w:r w:rsidRPr="0001795E">
        <w:rPr>
          <w:rFonts w:eastAsia="Times New Roman" w:cs="Arial"/>
          <w:bCs/>
          <w:szCs w:val="24"/>
          <w:lang w:eastAsia="fr-FR"/>
        </w:rPr>
        <w:t>disposent</w:t>
      </w:r>
      <w:r w:rsidRPr="0001795E">
        <w:rPr>
          <w:rFonts w:eastAsia="Times New Roman" w:cs="Calibri"/>
          <w:bCs/>
          <w:szCs w:val="24"/>
          <w:lang w:eastAsia="fr-FR"/>
        </w:rPr>
        <w:t xml:space="preserve"> de </w:t>
      </w:r>
      <w:r w:rsidRPr="0001795E">
        <w:rPr>
          <w:rFonts w:eastAsia="Times New Roman" w:cs="Arial"/>
          <w:bCs/>
          <w:szCs w:val="24"/>
          <w:lang w:eastAsia="fr-FR"/>
        </w:rPr>
        <w:t xml:space="preserve">Plateau technique, d’équipement requis, de bâtiments adéquats, d’eau, d’électricité et d’ambulance. </w:t>
      </w:r>
    </w:p>
    <w:p w14:paraId="2AA9EC92" w14:textId="346BF6E8" w:rsidR="00C8650D" w:rsidRPr="0001795E" w:rsidRDefault="00C8650D" w:rsidP="0016106A">
      <w:pPr>
        <w:rPr>
          <w:rFonts w:eastAsia="Times New Roman" w:cs="Arial"/>
          <w:bCs/>
          <w:szCs w:val="24"/>
          <w:lang w:eastAsia="fr-FR"/>
        </w:rPr>
      </w:pPr>
      <w:r w:rsidRPr="0001795E">
        <w:rPr>
          <w:rFonts w:eastAsia="Times New Roman" w:cs="Arial"/>
          <w:bCs/>
          <w:szCs w:val="24"/>
          <w:lang w:eastAsia="fr-FR"/>
        </w:rPr>
        <w:t>Par contre</w:t>
      </w:r>
      <w:r w:rsidR="00174440" w:rsidRPr="0001795E">
        <w:rPr>
          <w:rFonts w:eastAsia="Times New Roman" w:cs="Arial"/>
          <w:bCs/>
          <w:szCs w:val="24"/>
          <w:lang w:eastAsia="fr-FR"/>
        </w:rPr>
        <w:t>,</w:t>
      </w:r>
      <w:r w:rsidRPr="0001795E">
        <w:rPr>
          <w:rFonts w:eastAsia="Times New Roman" w:cs="Arial"/>
          <w:bCs/>
          <w:szCs w:val="24"/>
          <w:lang w:eastAsia="fr-FR"/>
        </w:rPr>
        <w:t xml:space="preserve"> 85</w:t>
      </w:r>
      <w:r w:rsidRPr="0001795E">
        <w:rPr>
          <w:rFonts w:eastAsia="Times New Roman" w:cs="Calibri"/>
          <w:bCs/>
          <w:szCs w:val="24"/>
          <w:lang w:eastAsia="fr-FR"/>
        </w:rPr>
        <w:t>%</w:t>
      </w:r>
      <w:r w:rsidRPr="0001795E">
        <w:rPr>
          <w:rFonts w:eastAsia="Times New Roman" w:cs="Arial"/>
          <w:bCs/>
          <w:szCs w:val="24"/>
          <w:lang w:eastAsia="fr-FR"/>
        </w:rPr>
        <w:t xml:space="preserve"> d’entre eux disposent de personnel en nombre requis en raison de la pléthore constatée à Matam et à Ratoma.</w:t>
      </w:r>
    </w:p>
    <w:p w14:paraId="75DF97EA" w14:textId="50DD2F04" w:rsidR="00C8650D" w:rsidRPr="0001795E" w:rsidRDefault="00A56F11" w:rsidP="00A41318">
      <w:pPr>
        <w:pStyle w:val="Titre3"/>
        <w:numPr>
          <w:ilvl w:val="2"/>
          <w:numId w:val="8"/>
        </w:numPr>
      </w:pPr>
      <w:r w:rsidRPr="0001795E">
        <w:t xml:space="preserve"> </w:t>
      </w:r>
      <w:bookmarkStart w:id="268" w:name="_Toc63233230"/>
      <w:r w:rsidR="00C8650D" w:rsidRPr="0001795E">
        <w:t>Centres de Santé intégrés</w:t>
      </w:r>
      <w:bookmarkEnd w:id="268"/>
    </w:p>
    <w:p w14:paraId="05E0CA1F" w14:textId="5D480941" w:rsidR="00C8650D" w:rsidRPr="0001795E" w:rsidRDefault="00C8650D" w:rsidP="0016106A">
      <w:pPr>
        <w:rPr>
          <w:rFonts w:eastAsia="Times New Roman" w:cs="Arial"/>
          <w:bCs/>
          <w:szCs w:val="24"/>
          <w:lang w:eastAsia="fr-FR"/>
        </w:rPr>
      </w:pPr>
      <w:r w:rsidRPr="0001795E">
        <w:rPr>
          <w:rFonts w:eastAsia="Times New Roman" w:cs="Arial"/>
          <w:bCs/>
          <w:szCs w:val="24"/>
          <w:lang w:eastAsia="fr-FR"/>
        </w:rPr>
        <w:t xml:space="preserve">La potentialité des centres de santé a été évaluée sur la base de la fonctionnalité des comités de gestion, la disponibilité en nombre requis du personnel, d’équipements, de bâtiments adéquats, d’eau, d’électricité de moyens de transport, de communication et de chaine de froid ainsi </w:t>
      </w:r>
      <w:r w:rsidRPr="0001795E">
        <w:rPr>
          <w:rFonts w:eastAsia="Times New Roman" w:cs="Arial"/>
          <w:b/>
          <w:bCs/>
          <w:szCs w:val="24"/>
          <w:lang w:eastAsia="fr-FR"/>
        </w:rPr>
        <w:t xml:space="preserve">que </w:t>
      </w:r>
      <w:r w:rsidRPr="0001795E">
        <w:rPr>
          <w:rFonts w:eastAsia="Times New Roman" w:cs="Arial"/>
          <w:bCs/>
          <w:szCs w:val="24"/>
          <w:lang w:eastAsia="fr-FR"/>
        </w:rPr>
        <w:t xml:space="preserve">les médicaments essentiels. </w:t>
      </w:r>
    </w:p>
    <w:p w14:paraId="1BB6CC20" w14:textId="14A9F754" w:rsidR="00C8650D" w:rsidRPr="0001795E" w:rsidRDefault="00C8650D" w:rsidP="0016106A">
      <w:pPr>
        <w:rPr>
          <w:rFonts w:cs="Calibri"/>
          <w:szCs w:val="24"/>
        </w:rPr>
      </w:pPr>
      <w:r w:rsidRPr="0001795E">
        <w:rPr>
          <w:rFonts w:eastAsia="Times New Roman" w:cs="Arial"/>
          <w:bCs/>
          <w:szCs w:val="24"/>
          <w:lang w:eastAsia="fr-FR"/>
        </w:rPr>
        <w:t>Les niveaux des indicateurs sont : 99</w:t>
      </w:r>
      <w:r w:rsidRPr="0001795E">
        <w:rPr>
          <w:rFonts w:eastAsia="Times New Roman" w:cs="Calibri"/>
          <w:bCs/>
          <w:szCs w:val="24"/>
          <w:lang w:eastAsia="fr-FR"/>
        </w:rPr>
        <w:t>% pour les c</w:t>
      </w:r>
      <w:r w:rsidRPr="0001795E">
        <w:rPr>
          <w:rFonts w:cs="Arial"/>
          <w:szCs w:val="24"/>
        </w:rPr>
        <w:t>omités de gestion fonctionnels, les équipements, les bâtiments adéquats, l’eau, l’électricité, le transport, la communication et la chaine de froid ; 87</w:t>
      </w:r>
      <w:r w:rsidRPr="0001795E">
        <w:rPr>
          <w:rFonts w:cs="Calibri"/>
          <w:szCs w:val="24"/>
        </w:rPr>
        <w:t>% pour le personnel requis et 0% pour les médicaments essentiels.</w:t>
      </w:r>
    </w:p>
    <w:p w14:paraId="35138009" w14:textId="3692E8E0" w:rsidR="00533160" w:rsidRPr="0001795E" w:rsidRDefault="00672A51" w:rsidP="00514550">
      <w:pPr>
        <w:pStyle w:val="Titre2"/>
        <w:numPr>
          <w:ilvl w:val="1"/>
          <w:numId w:val="8"/>
        </w:numPr>
      </w:pPr>
      <w:r w:rsidRPr="0001795E">
        <w:t xml:space="preserve"> </w:t>
      </w:r>
      <w:bookmarkStart w:id="269" w:name="_Toc63233231"/>
      <w:r w:rsidR="00D31171" w:rsidRPr="0001795E">
        <w:t xml:space="preserve">Situation du </w:t>
      </w:r>
      <w:r w:rsidR="00BE132A" w:rsidRPr="0001795E">
        <w:t>Personnel</w:t>
      </w:r>
      <w:bookmarkEnd w:id="269"/>
    </w:p>
    <w:p w14:paraId="787075C3" w14:textId="376C6307" w:rsidR="00D31171" w:rsidRPr="0001795E" w:rsidRDefault="00D31171" w:rsidP="00D31171">
      <w:r w:rsidRPr="0001795E">
        <w:t xml:space="preserve">Pour apprécier la situation globale et par district sanitaire, l’évaluation a porté sur les principales catégories de personnel des hôpitaux, des centres de santé, des équipes cadres et le total de l’échantillon. </w:t>
      </w:r>
    </w:p>
    <w:p w14:paraId="088BEC20" w14:textId="0B537322" w:rsidR="00BE132A" w:rsidRPr="0001795E" w:rsidRDefault="00533160" w:rsidP="00A41318">
      <w:pPr>
        <w:pStyle w:val="Titre3"/>
        <w:numPr>
          <w:ilvl w:val="2"/>
          <w:numId w:val="8"/>
        </w:numPr>
      </w:pPr>
      <w:bookmarkStart w:id="270" w:name="_Toc63233232"/>
      <w:r w:rsidRPr="0001795E">
        <w:rPr>
          <w:color w:val="000000" w:themeColor="text1"/>
        </w:rPr>
        <w:t>Personnel</w:t>
      </w:r>
      <w:r w:rsidR="00E67066" w:rsidRPr="0001795E">
        <w:rPr>
          <w:color w:val="000000" w:themeColor="text1"/>
        </w:rPr>
        <w:t>s</w:t>
      </w:r>
      <w:r w:rsidRPr="0001795E">
        <w:t xml:space="preserve"> </w:t>
      </w:r>
      <w:r w:rsidR="00E67066" w:rsidRPr="0001795E">
        <w:t xml:space="preserve">des </w:t>
      </w:r>
      <w:r w:rsidR="00BE132A" w:rsidRPr="0001795E">
        <w:t xml:space="preserve">Hôpitaux </w:t>
      </w:r>
      <w:r w:rsidR="00D31171" w:rsidRPr="0001795E">
        <w:t>de</w:t>
      </w:r>
      <w:r w:rsidR="00BE132A" w:rsidRPr="0001795E">
        <w:t xml:space="preserve"> </w:t>
      </w:r>
      <w:r w:rsidR="00D31171" w:rsidRPr="0001795E">
        <w:t>d</w:t>
      </w:r>
      <w:r w:rsidR="00BE132A" w:rsidRPr="0001795E">
        <w:t>istrict</w:t>
      </w:r>
      <w:bookmarkEnd w:id="270"/>
    </w:p>
    <w:p w14:paraId="6600C8C9" w14:textId="3475A49B" w:rsidR="00BE132A" w:rsidRPr="0001795E" w:rsidRDefault="00556619" w:rsidP="00F9309B">
      <w:pPr>
        <w:ind w:right="-284"/>
        <w:rPr>
          <w:rFonts w:cs="Arial"/>
          <w:szCs w:val="24"/>
        </w:rPr>
      </w:pPr>
      <w:r w:rsidRPr="0001795E">
        <w:rPr>
          <w:bCs/>
          <w:szCs w:val="24"/>
        </w:rPr>
        <w:t>L</w:t>
      </w:r>
      <w:r w:rsidR="00BE132A" w:rsidRPr="0001795E">
        <w:rPr>
          <w:bCs/>
          <w:szCs w:val="24"/>
        </w:rPr>
        <w:t>a</w:t>
      </w:r>
      <w:r w:rsidRPr="0001795E">
        <w:rPr>
          <w:bCs/>
          <w:szCs w:val="24"/>
        </w:rPr>
        <w:t xml:space="preserve"> </w:t>
      </w:r>
      <w:r w:rsidR="00BE132A" w:rsidRPr="0001795E">
        <w:rPr>
          <w:bCs/>
          <w:szCs w:val="24"/>
        </w:rPr>
        <w:t>situation du personnel de santé dans les hôpitaux de districts </w:t>
      </w:r>
      <w:r w:rsidR="00D31171" w:rsidRPr="0001795E">
        <w:rPr>
          <w:bCs/>
          <w:szCs w:val="24"/>
        </w:rPr>
        <w:t xml:space="preserve">se présente comme suit </w:t>
      </w:r>
      <w:r w:rsidR="00BE132A" w:rsidRPr="0001795E">
        <w:rPr>
          <w:bCs/>
          <w:szCs w:val="24"/>
        </w:rPr>
        <w:t>:</w:t>
      </w:r>
    </w:p>
    <w:p w14:paraId="4723AAF9" w14:textId="048740BC" w:rsidR="00BE132A" w:rsidRPr="0001795E" w:rsidRDefault="00BE132A" w:rsidP="00514550">
      <w:pPr>
        <w:pStyle w:val="Paragraphedeliste"/>
        <w:numPr>
          <w:ilvl w:val="0"/>
          <w:numId w:val="5"/>
        </w:numPr>
        <w:rPr>
          <w:szCs w:val="24"/>
        </w:rPr>
      </w:pPr>
      <w:r w:rsidRPr="0001795E">
        <w:rPr>
          <w:bCs/>
          <w:szCs w:val="24"/>
        </w:rPr>
        <w:t>283 médecins généralistes dont 56 à compétence chirurgicale</w:t>
      </w:r>
      <w:r w:rsidR="00D31171" w:rsidRPr="0001795E">
        <w:rPr>
          <w:bCs/>
          <w:szCs w:val="24"/>
        </w:rPr>
        <w:t xml:space="preserve"> </w:t>
      </w:r>
      <w:r w:rsidRPr="0001795E">
        <w:rPr>
          <w:bCs/>
          <w:szCs w:val="24"/>
        </w:rPr>
        <w:t>;</w:t>
      </w:r>
    </w:p>
    <w:p w14:paraId="3E62F823" w14:textId="25006516" w:rsidR="00BE132A" w:rsidRPr="0001795E" w:rsidRDefault="00BE132A" w:rsidP="00514550">
      <w:pPr>
        <w:pStyle w:val="Paragraphedeliste"/>
        <w:numPr>
          <w:ilvl w:val="0"/>
          <w:numId w:val="5"/>
        </w:numPr>
        <w:rPr>
          <w:szCs w:val="24"/>
        </w:rPr>
      </w:pPr>
      <w:r w:rsidRPr="0001795E">
        <w:rPr>
          <w:bCs/>
          <w:szCs w:val="24"/>
        </w:rPr>
        <w:t>3 médecins spécialistes tous des chirurgiens ;</w:t>
      </w:r>
    </w:p>
    <w:p w14:paraId="75D61CD8" w14:textId="77777777" w:rsidR="00BE132A" w:rsidRPr="0001795E" w:rsidRDefault="00BE132A" w:rsidP="00514550">
      <w:pPr>
        <w:pStyle w:val="Paragraphedeliste"/>
        <w:numPr>
          <w:ilvl w:val="0"/>
          <w:numId w:val="5"/>
        </w:numPr>
        <w:rPr>
          <w:szCs w:val="24"/>
        </w:rPr>
      </w:pPr>
      <w:r w:rsidRPr="0001795E">
        <w:rPr>
          <w:bCs/>
          <w:szCs w:val="24"/>
        </w:rPr>
        <w:t>339 infirmiers ;</w:t>
      </w:r>
    </w:p>
    <w:p w14:paraId="321D8B46" w14:textId="77777777" w:rsidR="00BE132A" w:rsidRPr="0001795E" w:rsidRDefault="00BE132A" w:rsidP="00514550">
      <w:pPr>
        <w:pStyle w:val="Paragraphedeliste"/>
        <w:numPr>
          <w:ilvl w:val="0"/>
          <w:numId w:val="5"/>
        </w:numPr>
        <w:rPr>
          <w:szCs w:val="24"/>
        </w:rPr>
      </w:pPr>
      <w:r w:rsidRPr="0001795E">
        <w:rPr>
          <w:bCs/>
          <w:szCs w:val="24"/>
        </w:rPr>
        <w:t>187 sages-femmes.</w:t>
      </w:r>
    </w:p>
    <w:p w14:paraId="4D663B61" w14:textId="569225A6" w:rsidR="00BE132A" w:rsidRPr="0001795E" w:rsidRDefault="00556619" w:rsidP="00A41318">
      <w:pPr>
        <w:pStyle w:val="Titre3"/>
        <w:numPr>
          <w:ilvl w:val="2"/>
          <w:numId w:val="8"/>
        </w:numPr>
      </w:pPr>
      <w:r w:rsidRPr="0001795E">
        <w:t xml:space="preserve"> </w:t>
      </w:r>
      <w:bookmarkStart w:id="271" w:name="_Toc63233233"/>
      <w:r w:rsidR="00BE132A" w:rsidRPr="0001795E">
        <w:t xml:space="preserve">Personnels </w:t>
      </w:r>
      <w:r w:rsidR="00E67066" w:rsidRPr="0001795E">
        <w:t xml:space="preserve">des </w:t>
      </w:r>
      <w:r w:rsidR="00BE132A" w:rsidRPr="0001795E">
        <w:t>Centres de santé</w:t>
      </w:r>
      <w:bookmarkEnd w:id="271"/>
    </w:p>
    <w:p w14:paraId="70D5AF03" w14:textId="2DDFD52C" w:rsidR="00BE132A" w:rsidRPr="0001795E" w:rsidRDefault="00E67066" w:rsidP="0016106A">
      <w:pPr>
        <w:rPr>
          <w:bCs/>
          <w:szCs w:val="24"/>
        </w:rPr>
      </w:pPr>
      <w:r w:rsidRPr="0001795E">
        <w:rPr>
          <w:bCs/>
          <w:szCs w:val="24"/>
        </w:rPr>
        <w:t xml:space="preserve">Dans centres et postes de santé, on compte </w:t>
      </w:r>
      <w:r w:rsidR="00BE132A" w:rsidRPr="0001795E">
        <w:rPr>
          <w:bCs/>
          <w:szCs w:val="24"/>
        </w:rPr>
        <w:t>:</w:t>
      </w:r>
    </w:p>
    <w:p w14:paraId="50A7FF66" w14:textId="04B0E06C" w:rsidR="00BE132A" w:rsidRPr="0001795E" w:rsidRDefault="00BE132A" w:rsidP="00514550">
      <w:pPr>
        <w:pStyle w:val="Paragraphedeliste"/>
        <w:numPr>
          <w:ilvl w:val="0"/>
          <w:numId w:val="5"/>
        </w:numPr>
        <w:rPr>
          <w:szCs w:val="24"/>
        </w:rPr>
      </w:pPr>
      <w:r w:rsidRPr="0001795E">
        <w:rPr>
          <w:bCs/>
          <w:szCs w:val="24"/>
        </w:rPr>
        <w:t>1</w:t>
      </w:r>
      <w:r w:rsidR="00556619" w:rsidRPr="0001795E">
        <w:rPr>
          <w:bCs/>
          <w:szCs w:val="24"/>
        </w:rPr>
        <w:t>24</w:t>
      </w:r>
      <w:r w:rsidRPr="0001795E">
        <w:rPr>
          <w:bCs/>
          <w:szCs w:val="24"/>
        </w:rPr>
        <w:t xml:space="preserve"> médecins généralistes dont </w:t>
      </w:r>
      <w:r w:rsidR="00556619" w:rsidRPr="0001795E">
        <w:rPr>
          <w:bCs/>
          <w:szCs w:val="24"/>
        </w:rPr>
        <w:t>2</w:t>
      </w:r>
      <w:r w:rsidRPr="0001795E">
        <w:rPr>
          <w:bCs/>
          <w:szCs w:val="24"/>
        </w:rPr>
        <w:t xml:space="preserve"> à compétence chirurgicale</w:t>
      </w:r>
      <w:r w:rsidR="00556619" w:rsidRPr="0001795E">
        <w:rPr>
          <w:bCs/>
          <w:szCs w:val="24"/>
        </w:rPr>
        <w:t xml:space="preserve"> </w:t>
      </w:r>
      <w:r w:rsidRPr="0001795E">
        <w:rPr>
          <w:bCs/>
          <w:szCs w:val="24"/>
        </w:rPr>
        <w:t>;</w:t>
      </w:r>
    </w:p>
    <w:p w14:paraId="3E10AEB1" w14:textId="77777777" w:rsidR="00BE132A" w:rsidRPr="0001795E" w:rsidRDefault="00BE132A" w:rsidP="00514550">
      <w:pPr>
        <w:pStyle w:val="Paragraphedeliste"/>
        <w:numPr>
          <w:ilvl w:val="0"/>
          <w:numId w:val="5"/>
        </w:numPr>
        <w:rPr>
          <w:szCs w:val="24"/>
        </w:rPr>
      </w:pPr>
      <w:r w:rsidRPr="0001795E">
        <w:rPr>
          <w:bCs/>
          <w:szCs w:val="24"/>
        </w:rPr>
        <w:t>540 infirmiers ;</w:t>
      </w:r>
    </w:p>
    <w:p w14:paraId="210A8A4E" w14:textId="77777777" w:rsidR="00BE132A" w:rsidRPr="0001795E" w:rsidRDefault="00BE132A" w:rsidP="00514550">
      <w:pPr>
        <w:pStyle w:val="Paragraphedeliste"/>
        <w:numPr>
          <w:ilvl w:val="0"/>
          <w:numId w:val="5"/>
        </w:numPr>
        <w:rPr>
          <w:szCs w:val="24"/>
        </w:rPr>
      </w:pPr>
      <w:r w:rsidRPr="0001795E">
        <w:rPr>
          <w:bCs/>
          <w:szCs w:val="24"/>
        </w:rPr>
        <w:t>277 sages-femmes.</w:t>
      </w:r>
    </w:p>
    <w:p w14:paraId="73C103C8" w14:textId="6C1C63CF" w:rsidR="0054254A" w:rsidRPr="0001795E" w:rsidRDefault="00556619" w:rsidP="00A41318">
      <w:pPr>
        <w:pStyle w:val="Titre3"/>
        <w:numPr>
          <w:ilvl w:val="2"/>
          <w:numId w:val="8"/>
        </w:numPr>
      </w:pPr>
      <w:r w:rsidRPr="0001795E">
        <w:t xml:space="preserve"> </w:t>
      </w:r>
      <w:bookmarkStart w:id="272" w:name="_Toc63233234"/>
      <w:r w:rsidR="0054254A" w:rsidRPr="0001795E">
        <w:t xml:space="preserve">Personnels </w:t>
      </w:r>
      <w:r w:rsidR="00E67066" w:rsidRPr="0001795E">
        <w:t xml:space="preserve">des </w:t>
      </w:r>
      <w:r w:rsidR="0054254A" w:rsidRPr="0001795E">
        <w:t>Equipes cadres de district</w:t>
      </w:r>
      <w:bookmarkEnd w:id="272"/>
    </w:p>
    <w:p w14:paraId="44D1CC74" w14:textId="3666AFA2" w:rsidR="0054254A" w:rsidRPr="0001795E" w:rsidRDefault="0054254A" w:rsidP="00E67066">
      <w:pPr>
        <w:ind w:right="-284"/>
        <w:rPr>
          <w:bCs/>
          <w:szCs w:val="24"/>
        </w:rPr>
      </w:pPr>
      <w:bookmarkStart w:id="273" w:name="_Hlk58321410"/>
      <w:r w:rsidRPr="0001795E">
        <w:rPr>
          <w:bCs/>
          <w:szCs w:val="24"/>
        </w:rPr>
        <w:t>La situation du personnel de santé des équipes cadres de district se présente comme suit</w:t>
      </w:r>
      <w:r w:rsidR="00E67066" w:rsidRPr="0001795E">
        <w:rPr>
          <w:bCs/>
          <w:szCs w:val="24"/>
        </w:rPr>
        <w:t xml:space="preserve"> </w:t>
      </w:r>
      <w:r w:rsidRPr="0001795E">
        <w:rPr>
          <w:bCs/>
          <w:szCs w:val="24"/>
        </w:rPr>
        <w:t>:</w:t>
      </w:r>
    </w:p>
    <w:p w14:paraId="3F9D4B18" w14:textId="01D1541C" w:rsidR="0054254A" w:rsidRPr="0001795E" w:rsidRDefault="0054254A" w:rsidP="00514550">
      <w:pPr>
        <w:pStyle w:val="Paragraphedeliste"/>
        <w:numPr>
          <w:ilvl w:val="0"/>
          <w:numId w:val="5"/>
        </w:numPr>
        <w:rPr>
          <w:szCs w:val="24"/>
        </w:rPr>
      </w:pPr>
      <w:r w:rsidRPr="0001795E">
        <w:rPr>
          <w:bCs/>
          <w:szCs w:val="24"/>
        </w:rPr>
        <w:t>96 médecins généralistes</w:t>
      </w:r>
      <w:r w:rsidR="00556619" w:rsidRPr="0001795E">
        <w:rPr>
          <w:bCs/>
          <w:szCs w:val="24"/>
        </w:rPr>
        <w:t xml:space="preserve"> </w:t>
      </w:r>
      <w:r w:rsidRPr="0001795E">
        <w:rPr>
          <w:bCs/>
          <w:szCs w:val="24"/>
        </w:rPr>
        <w:t>;</w:t>
      </w:r>
    </w:p>
    <w:p w14:paraId="6648CAC1" w14:textId="52EC190A" w:rsidR="0054254A" w:rsidRPr="0001795E" w:rsidRDefault="0054254A" w:rsidP="00514550">
      <w:pPr>
        <w:pStyle w:val="Paragraphedeliste"/>
        <w:numPr>
          <w:ilvl w:val="0"/>
          <w:numId w:val="5"/>
        </w:numPr>
        <w:rPr>
          <w:szCs w:val="24"/>
        </w:rPr>
      </w:pPr>
      <w:r w:rsidRPr="0001795E">
        <w:rPr>
          <w:bCs/>
          <w:szCs w:val="24"/>
        </w:rPr>
        <w:t>18 infirmiers</w:t>
      </w:r>
      <w:r w:rsidR="00F9309B" w:rsidRPr="0001795E">
        <w:rPr>
          <w:bCs/>
          <w:szCs w:val="24"/>
        </w:rPr>
        <w:t>.</w:t>
      </w:r>
    </w:p>
    <w:bookmarkEnd w:id="273"/>
    <w:p w14:paraId="3284D042" w14:textId="538C3FB7" w:rsidR="00320EE2" w:rsidRPr="0001795E" w:rsidRDefault="00962D57" w:rsidP="00A41318">
      <w:pPr>
        <w:pStyle w:val="Titre3"/>
        <w:numPr>
          <w:ilvl w:val="2"/>
          <w:numId w:val="8"/>
        </w:numPr>
      </w:pPr>
      <w:r>
        <w:t xml:space="preserve"> </w:t>
      </w:r>
      <w:bookmarkStart w:id="274" w:name="_Toc63233235"/>
      <w:r w:rsidR="00E67066" w:rsidRPr="0001795E">
        <w:t xml:space="preserve">Total des </w:t>
      </w:r>
      <w:r w:rsidR="00320EE2" w:rsidRPr="0001795E">
        <w:t xml:space="preserve">Personnels </w:t>
      </w:r>
      <w:r w:rsidR="00E67066" w:rsidRPr="0001795E">
        <w:t xml:space="preserve">des </w:t>
      </w:r>
      <w:r w:rsidR="00320EE2" w:rsidRPr="0001795E">
        <w:t>District</w:t>
      </w:r>
      <w:r w:rsidR="00E67066" w:rsidRPr="0001795E">
        <w:t>s</w:t>
      </w:r>
      <w:r w:rsidR="00320EE2" w:rsidRPr="0001795E">
        <w:t xml:space="preserve"> sanitaire</w:t>
      </w:r>
      <w:r w:rsidR="00E67066" w:rsidRPr="0001795E">
        <w:t>s</w:t>
      </w:r>
      <w:bookmarkEnd w:id="274"/>
    </w:p>
    <w:p w14:paraId="3DEAB2F8" w14:textId="6A0B0113" w:rsidR="00320EE2" w:rsidRPr="0001795E" w:rsidRDefault="00320EE2" w:rsidP="0016106A">
      <w:pPr>
        <w:rPr>
          <w:rFonts w:cs="Arial"/>
          <w:szCs w:val="24"/>
        </w:rPr>
      </w:pPr>
      <w:r w:rsidRPr="0001795E">
        <w:rPr>
          <w:rFonts w:cs="Arial"/>
          <w:szCs w:val="24"/>
        </w:rPr>
        <w:t xml:space="preserve">Du point de vue ressources humaines, l’évaluation de la fonctionnalité des districts sanitaires a été basée sur la disponibilité en médecins, répartis en généralistes et spécialistes, infirmiers et sages-femmes. Globalement, la situation se présente comme suit : 503 Médecins généralistes dont 58 à compétence chirurgicale ; 15 </w:t>
      </w:r>
      <w:r w:rsidR="00E23B98" w:rsidRPr="0001795E">
        <w:rPr>
          <w:rFonts w:cs="Arial"/>
          <w:szCs w:val="24"/>
        </w:rPr>
        <w:t xml:space="preserve">médecins spécialistes dont 11 chirurgiens ; 897 infirmiers et 464 sages-femmes.   </w:t>
      </w:r>
    </w:p>
    <w:p w14:paraId="6FE0BC04" w14:textId="77777777" w:rsidR="00320EE2" w:rsidRPr="0001795E" w:rsidRDefault="00320EE2" w:rsidP="0016106A">
      <w:pPr>
        <w:rPr>
          <w:rFonts w:cs="Arial"/>
          <w:szCs w:val="24"/>
        </w:rPr>
      </w:pPr>
      <w:r w:rsidRPr="0001795E">
        <w:rPr>
          <w:rFonts w:cs="Arial"/>
          <w:szCs w:val="24"/>
        </w:rPr>
        <w:t xml:space="preserve">Vue sous l’angle des équilibres interprofessionnels, on note : un médecin pour 2 infirmiers. Ce pendant la situation est variable d’un district à l’autre avec 1 médecin pour moins d’un infirmier (0,55) à Matam et 1 médecin pour 5 infirmiers à </w:t>
      </w:r>
      <w:proofErr w:type="spellStart"/>
      <w:r w:rsidRPr="0001795E">
        <w:rPr>
          <w:rFonts w:cs="Arial"/>
          <w:szCs w:val="24"/>
        </w:rPr>
        <w:t>Lélouma</w:t>
      </w:r>
      <w:proofErr w:type="spellEnd"/>
      <w:r w:rsidRPr="0001795E">
        <w:rPr>
          <w:rFonts w:cs="Arial"/>
          <w:szCs w:val="24"/>
        </w:rPr>
        <w:t xml:space="preserve">. </w:t>
      </w:r>
    </w:p>
    <w:p w14:paraId="06F66120" w14:textId="37F1996C" w:rsidR="00556BB3" w:rsidRPr="00556BB3" w:rsidRDefault="00320EE2" w:rsidP="00556BB3">
      <w:pPr>
        <w:rPr>
          <w:rFonts w:cs="Arial"/>
          <w:szCs w:val="24"/>
        </w:rPr>
      </w:pPr>
      <w:r w:rsidRPr="0001795E">
        <w:rPr>
          <w:rFonts w:cs="Arial"/>
          <w:szCs w:val="24"/>
        </w:rPr>
        <w:t xml:space="preserve"> Il se dégage de ce constat, une gestion calamiteuse des ressources humaines particulièrement pour Conakry.</w:t>
      </w:r>
    </w:p>
    <w:p w14:paraId="383FFAA1" w14:textId="22954531" w:rsidR="00B35E12" w:rsidRPr="0001795E" w:rsidRDefault="00962D57" w:rsidP="00514550">
      <w:pPr>
        <w:pStyle w:val="Titre2"/>
        <w:numPr>
          <w:ilvl w:val="1"/>
          <w:numId w:val="8"/>
        </w:numPr>
      </w:pPr>
      <w:r>
        <w:t xml:space="preserve"> </w:t>
      </w:r>
      <w:bookmarkStart w:id="275" w:name="_Toc63233236"/>
      <w:r w:rsidR="00F9309B" w:rsidRPr="0001795E">
        <w:t xml:space="preserve">Contribution des établissements </w:t>
      </w:r>
      <w:r w:rsidR="004D24F8" w:rsidRPr="0001795E">
        <w:t>à l’</w:t>
      </w:r>
      <w:r w:rsidR="00F9309B" w:rsidRPr="0001795E">
        <w:t xml:space="preserve">atteinte des </w:t>
      </w:r>
      <w:proofErr w:type="spellStart"/>
      <w:r w:rsidR="00F9309B" w:rsidRPr="0001795E">
        <w:t>ODD</w:t>
      </w:r>
      <w:bookmarkEnd w:id="275"/>
      <w:proofErr w:type="spellEnd"/>
    </w:p>
    <w:p w14:paraId="097EB208" w14:textId="2F1ED79E" w:rsidR="00B35E12" w:rsidRPr="0001795E" w:rsidRDefault="00E11862" w:rsidP="00A41318">
      <w:pPr>
        <w:pStyle w:val="Titre3"/>
        <w:numPr>
          <w:ilvl w:val="2"/>
          <w:numId w:val="8"/>
        </w:numPr>
      </w:pPr>
      <w:r w:rsidRPr="0001795E">
        <w:t xml:space="preserve"> </w:t>
      </w:r>
      <w:bookmarkStart w:id="276" w:name="_Toc63233237"/>
      <w:r w:rsidR="00B35E12" w:rsidRPr="0001795E">
        <w:t>Hôpitaux de district</w:t>
      </w:r>
      <w:bookmarkEnd w:id="276"/>
    </w:p>
    <w:p w14:paraId="4B94BF3F" w14:textId="3C5C2CAD" w:rsidR="00B35E12" w:rsidRPr="0001795E" w:rsidRDefault="00B35E12" w:rsidP="0016106A">
      <w:pPr>
        <w:rPr>
          <w:rFonts w:eastAsia="Times New Roman" w:cs="Times New Roman"/>
          <w:bCs/>
          <w:szCs w:val="24"/>
          <w:lang w:eastAsia="fr-FR"/>
        </w:rPr>
      </w:pPr>
      <w:r w:rsidRPr="0001795E">
        <w:rPr>
          <w:rFonts w:eastAsia="Times New Roman" w:cs="Times New Roman"/>
          <w:bCs/>
          <w:szCs w:val="24"/>
          <w:lang w:eastAsia="fr-FR"/>
        </w:rPr>
        <w:t xml:space="preserve">La contribution des structures de santé à l’atteinte des </w:t>
      </w:r>
      <w:proofErr w:type="spellStart"/>
      <w:r w:rsidRPr="0001795E">
        <w:rPr>
          <w:rFonts w:eastAsia="Times New Roman" w:cs="Times New Roman"/>
          <w:bCs/>
          <w:szCs w:val="24"/>
          <w:lang w:eastAsia="fr-FR"/>
        </w:rPr>
        <w:t>ODD</w:t>
      </w:r>
      <w:proofErr w:type="spellEnd"/>
      <w:r w:rsidRPr="0001795E">
        <w:rPr>
          <w:rFonts w:eastAsia="Times New Roman" w:cs="Times New Roman"/>
          <w:bCs/>
          <w:szCs w:val="24"/>
          <w:lang w:eastAsia="fr-FR"/>
        </w:rPr>
        <w:t xml:space="preserve"> à travers les activités primaires ciblées est fonction de leur statut et des directives nationales en vigueur. Ainsi pour l’offre des services, 11sur les 19 structures distribuant les MII et faisant le TPI sont les CSA et </w:t>
      </w:r>
      <w:proofErr w:type="spellStart"/>
      <w:r w:rsidRPr="0001795E">
        <w:rPr>
          <w:rFonts w:eastAsia="Times New Roman" w:cs="Times New Roman"/>
          <w:bCs/>
          <w:szCs w:val="24"/>
          <w:lang w:eastAsia="fr-FR"/>
        </w:rPr>
        <w:t>CMC</w:t>
      </w:r>
      <w:proofErr w:type="spellEnd"/>
      <w:r w:rsidRPr="0001795E">
        <w:rPr>
          <w:rFonts w:eastAsia="Times New Roman" w:cs="Times New Roman"/>
          <w:bCs/>
          <w:szCs w:val="24"/>
          <w:lang w:eastAsia="fr-FR"/>
        </w:rPr>
        <w:t xml:space="preserve"> considérés dans cette l’étude comme des hôpitaux de district. Tous les 19 hôpitaux de district développent les activités de CTA, </w:t>
      </w:r>
      <w:r w:rsidR="004D24F8" w:rsidRPr="0001795E">
        <w:rPr>
          <w:rFonts w:eastAsia="Times New Roman" w:cs="Times New Roman"/>
          <w:bCs/>
          <w:szCs w:val="24"/>
          <w:lang w:eastAsia="fr-FR"/>
        </w:rPr>
        <w:t xml:space="preserve">le </w:t>
      </w:r>
      <w:r w:rsidRPr="0001795E">
        <w:rPr>
          <w:rFonts w:eastAsia="Times New Roman" w:cs="Times New Roman"/>
          <w:bCs/>
          <w:szCs w:val="24"/>
          <w:lang w:eastAsia="fr-FR"/>
        </w:rPr>
        <w:t xml:space="preserve">dépistage VIH, </w:t>
      </w:r>
      <w:r w:rsidR="004D24F8" w:rsidRPr="0001795E">
        <w:rPr>
          <w:rFonts w:eastAsia="Times New Roman" w:cs="Times New Roman"/>
          <w:bCs/>
          <w:szCs w:val="24"/>
          <w:lang w:eastAsia="fr-FR"/>
        </w:rPr>
        <w:t xml:space="preserve">la </w:t>
      </w:r>
      <w:r w:rsidRPr="0001795E">
        <w:rPr>
          <w:rFonts w:eastAsia="Times New Roman" w:cs="Times New Roman"/>
          <w:bCs/>
          <w:szCs w:val="24"/>
          <w:lang w:eastAsia="fr-FR"/>
        </w:rPr>
        <w:t>dis</w:t>
      </w:r>
      <w:r w:rsidR="004D24F8" w:rsidRPr="0001795E">
        <w:rPr>
          <w:rFonts w:eastAsia="Times New Roman" w:cs="Times New Roman"/>
          <w:bCs/>
          <w:szCs w:val="24"/>
          <w:lang w:eastAsia="fr-FR"/>
        </w:rPr>
        <w:t>pensation</w:t>
      </w:r>
      <w:r w:rsidRPr="0001795E">
        <w:rPr>
          <w:rFonts w:eastAsia="Times New Roman" w:cs="Times New Roman"/>
          <w:bCs/>
          <w:szCs w:val="24"/>
          <w:lang w:eastAsia="fr-FR"/>
        </w:rPr>
        <w:t xml:space="preserve"> d’</w:t>
      </w:r>
      <w:proofErr w:type="spellStart"/>
      <w:r w:rsidRPr="0001795E">
        <w:rPr>
          <w:rFonts w:eastAsia="Times New Roman" w:cs="Times New Roman"/>
          <w:bCs/>
          <w:szCs w:val="24"/>
          <w:lang w:eastAsia="fr-FR"/>
        </w:rPr>
        <w:t>ARV</w:t>
      </w:r>
      <w:proofErr w:type="spellEnd"/>
      <w:r w:rsidRPr="0001795E">
        <w:rPr>
          <w:rFonts w:eastAsia="Times New Roman" w:cs="Times New Roman"/>
          <w:bCs/>
          <w:szCs w:val="24"/>
          <w:lang w:eastAsia="fr-FR"/>
        </w:rPr>
        <w:t xml:space="preserve"> et les services de </w:t>
      </w:r>
      <w:proofErr w:type="spellStart"/>
      <w:r w:rsidRPr="0001795E">
        <w:rPr>
          <w:rFonts w:eastAsia="Times New Roman" w:cs="Times New Roman"/>
          <w:bCs/>
          <w:szCs w:val="24"/>
          <w:lang w:eastAsia="fr-FR"/>
        </w:rPr>
        <w:t>PCIMNE</w:t>
      </w:r>
      <w:proofErr w:type="spellEnd"/>
      <w:r w:rsidRPr="0001795E">
        <w:rPr>
          <w:rFonts w:eastAsia="Times New Roman" w:cs="Times New Roman"/>
          <w:bCs/>
          <w:szCs w:val="24"/>
          <w:lang w:eastAsia="fr-FR"/>
        </w:rPr>
        <w:t>.</w:t>
      </w:r>
    </w:p>
    <w:p w14:paraId="2479A99B" w14:textId="193E16F7" w:rsidR="00B35E12" w:rsidRPr="0001795E" w:rsidRDefault="00B35E12" w:rsidP="0016106A">
      <w:pPr>
        <w:rPr>
          <w:rFonts w:eastAsia="Times New Roman" w:cs="Times New Roman"/>
          <w:bCs/>
          <w:szCs w:val="24"/>
          <w:lang w:eastAsia="fr-FR"/>
        </w:rPr>
      </w:pPr>
      <w:r w:rsidRPr="0001795E">
        <w:rPr>
          <w:rFonts w:eastAsia="Times New Roman" w:cs="Times New Roman"/>
          <w:bCs/>
          <w:szCs w:val="24"/>
          <w:lang w:eastAsia="fr-FR"/>
        </w:rPr>
        <w:t>Ces structures disposent de 577 lits dont 134 pour la maternité et aucune formation n’offre de services de DOTS, encore limité</w:t>
      </w:r>
      <w:r w:rsidR="004D24F8" w:rsidRPr="0001795E">
        <w:rPr>
          <w:rFonts w:eastAsia="Times New Roman" w:cs="Times New Roman"/>
          <w:bCs/>
          <w:szCs w:val="24"/>
          <w:lang w:eastAsia="fr-FR"/>
        </w:rPr>
        <w:t>s</w:t>
      </w:r>
      <w:r w:rsidRPr="0001795E">
        <w:rPr>
          <w:rFonts w:eastAsia="Times New Roman" w:cs="Times New Roman"/>
          <w:bCs/>
          <w:szCs w:val="24"/>
          <w:lang w:eastAsia="fr-FR"/>
        </w:rPr>
        <w:t xml:space="preserve"> à certaines structures spécifiques (</w:t>
      </w:r>
      <w:proofErr w:type="spellStart"/>
      <w:r w:rsidRPr="0001795E">
        <w:rPr>
          <w:rFonts w:eastAsia="Times New Roman" w:cs="Times New Roman"/>
          <w:b/>
          <w:bCs/>
          <w:szCs w:val="24"/>
          <w:lang w:eastAsia="fr-FR"/>
        </w:rPr>
        <w:t>LTO</w:t>
      </w:r>
      <w:proofErr w:type="spellEnd"/>
      <w:r w:rsidRPr="0001795E">
        <w:rPr>
          <w:rFonts w:eastAsia="Times New Roman" w:cs="Times New Roman"/>
          <w:bCs/>
          <w:szCs w:val="24"/>
          <w:lang w:eastAsia="fr-FR"/>
        </w:rPr>
        <w:t>) directement rattachées aux DPS.</w:t>
      </w:r>
    </w:p>
    <w:p w14:paraId="42C0EB78" w14:textId="39BE8702" w:rsidR="00B35E12" w:rsidRPr="0001795E" w:rsidRDefault="004D24F8" w:rsidP="00A41318">
      <w:pPr>
        <w:pStyle w:val="Titre3"/>
        <w:numPr>
          <w:ilvl w:val="2"/>
          <w:numId w:val="8"/>
        </w:numPr>
      </w:pPr>
      <w:r w:rsidRPr="0001795E">
        <w:t xml:space="preserve"> </w:t>
      </w:r>
      <w:bookmarkStart w:id="277" w:name="_Toc63233238"/>
      <w:r w:rsidR="00B35E12" w:rsidRPr="0001795E">
        <w:t>Centres de santé intégrés</w:t>
      </w:r>
      <w:bookmarkEnd w:id="277"/>
    </w:p>
    <w:p w14:paraId="07185BC1" w14:textId="1FCD507B" w:rsidR="00B35E12" w:rsidRPr="0001795E" w:rsidRDefault="00B35E12" w:rsidP="0016106A">
      <w:pPr>
        <w:rPr>
          <w:rFonts w:eastAsia="Times New Roman" w:cs="Times New Roman"/>
          <w:bCs/>
          <w:szCs w:val="24"/>
          <w:lang w:eastAsia="fr-FR"/>
        </w:rPr>
      </w:pPr>
      <w:r w:rsidRPr="0001795E">
        <w:rPr>
          <w:rFonts w:eastAsia="Times New Roman" w:cs="Times New Roman"/>
          <w:bCs/>
          <w:szCs w:val="24"/>
          <w:lang w:eastAsia="fr-FR"/>
        </w:rPr>
        <w:t xml:space="preserve">La contribution des centres de santé intégrés à l’atteinte des </w:t>
      </w:r>
      <w:proofErr w:type="spellStart"/>
      <w:r w:rsidRPr="0001795E">
        <w:rPr>
          <w:rFonts w:eastAsia="Times New Roman" w:cs="Times New Roman"/>
          <w:bCs/>
          <w:szCs w:val="24"/>
          <w:lang w:eastAsia="fr-FR"/>
        </w:rPr>
        <w:t>ODD</w:t>
      </w:r>
      <w:proofErr w:type="spellEnd"/>
      <w:r w:rsidRPr="0001795E">
        <w:rPr>
          <w:rFonts w:eastAsia="Times New Roman" w:cs="Times New Roman"/>
          <w:bCs/>
          <w:szCs w:val="24"/>
          <w:lang w:eastAsia="fr-FR"/>
        </w:rPr>
        <w:t xml:space="preserve"> à travers les activités primaires ciblées est fonction de leur statut et des directives nationales en vigueur. Ainsi</w:t>
      </w:r>
      <w:r w:rsidR="00962D57">
        <w:rPr>
          <w:rFonts w:eastAsia="Times New Roman" w:cs="Times New Roman"/>
          <w:bCs/>
          <w:szCs w:val="24"/>
          <w:lang w:eastAsia="fr-FR"/>
        </w:rPr>
        <w:t>,</w:t>
      </w:r>
      <w:r w:rsidRPr="0001795E">
        <w:rPr>
          <w:rFonts w:eastAsia="Times New Roman" w:cs="Times New Roman"/>
          <w:bCs/>
          <w:szCs w:val="24"/>
          <w:lang w:eastAsia="fr-FR"/>
        </w:rPr>
        <w:t xml:space="preserve"> pour l’offre des services, 208 développent des activités de CTA, TPI, dépistage VIH et les services de </w:t>
      </w:r>
      <w:proofErr w:type="spellStart"/>
      <w:r w:rsidRPr="0001795E">
        <w:rPr>
          <w:rFonts w:eastAsia="Times New Roman" w:cs="Times New Roman"/>
          <w:bCs/>
          <w:szCs w:val="24"/>
          <w:lang w:eastAsia="fr-FR"/>
        </w:rPr>
        <w:t>PCIMNE</w:t>
      </w:r>
      <w:proofErr w:type="spellEnd"/>
      <w:r w:rsidRPr="0001795E">
        <w:rPr>
          <w:rFonts w:eastAsia="Times New Roman" w:cs="Times New Roman"/>
          <w:bCs/>
          <w:szCs w:val="24"/>
          <w:lang w:eastAsia="fr-FR"/>
        </w:rPr>
        <w:t xml:space="preserve">. 207 distribuent le MII et 24 les </w:t>
      </w:r>
      <w:proofErr w:type="spellStart"/>
      <w:r w:rsidRPr="0001795E">
        <w:rPr>
          <w:rFonts w:eastAsia="Times New Roman" w:cs="Times New Roman"/>
          <w:bCs/>
          <w:szCs w:val="24"/>
          <w:lang w:eastAsia="fr-FR"/>
        </w:rPr>
        <w:t>ARV</w:t>
      </w:r>
      <w:proofErr w:type="spellEnd"/>
      <w:r w:rsidRPr="0001795E">
        <w:rPr>
          <w:rFonts w:eastAsia="Times New Roman" w:cs="Times New Roman"/>
          <w:bCs/>
          <w:szCs w:val="24"/>
          <w:lang w:eastAsia="fr-FR"/>
        </w:rPr>
        <w:t>.</w:t>
      </w:r>
    </w:p>
    <w:p w14:paraId="4C84B6D5" w14:textId="46C1EDAD" w:rsidR="00B35E12" w:rsidRPr="0001795E" w:rsidRDefault="00B35E12" w:rsidP="0016106A">
      <w:pPr>
        <w:rPr>
          <w:rFonts w:eastAsia="Times New Roman" w:cs="Times New Roman"/>
          <w:bCs/>
          <w:szCs w:val="24"/>
          <w:lang w:eastAsia="fr-FR"/>
        </w:rPr>
      </w:pPr>
      <w:r w:rsidRPr="0001795E">
        <w:rPr>
          <w:rFonts w:eastAsia="Times New Roman" w:cs="Times New Roman"/>
          <w:bCs/>
          <w:szCs w:val="24"/>
          <w:lang w:eastAsia="fr-FR"/>
        </w:rPr>
        <w:t>Aucun centre de santé intégré ne dispose de lit</w:t>
      </w:r>
      <w:r w:rsidR="00ED484E">
        <w:rPr>
          <w:rFonts w:eastAsia="Times New Roman" w:cs="Times New Roman"/>
          <w:bCs/>
          <w:szCs w:val="24"/>
          <w:lang w:eastAsia="fr-FR"/>
        </w:rPr>
        <w:t>s</w:t>
      </w:r>
      <w:r w:rsidRPr="0001795E">
        <w:rPr>
          <w:rFonts w:eastAsia="Times New Roman" w:cs="Times New Roman"/>
          <w:bCs/>
          <w:szCs w:val="24"/>
          <w:lang w:eastAsia="fr-FR"/>
        </w:rPr>
        <w:t xml:space="preserve"> d’hospitalisation et n’offre de services de DOTS, encore limité</w:t>
      </w:r>
      <w:r w:rsidR="00ED484E">
        <w:rPr>
          <w:rFonts w:eastAsia="Times New Roman" w:cs="Times New Roman"/>
          <w:bCs/>
          <w:szCs w:val="24"/>
          <w:lang w:eastAsia="fr-FR"/>
        </w:rPr>
        <w:t>s</w:t>
      </w:r>
      <w:r w:rsidRPr="0001795E">
        <w:rPr>
          <w:rFonts w:eastAsia="Times New Roman" w:cs="Times New Roman"/>
          <w:bCs/>
          <w:szCs w:val="24"/>
          <w:lang w:eastAsia="fr-FR"/>
        </w:rPr>
        <w:t xml:space="preserve"> à certaines structures spécifiques directement rattachées aux DPS</w:t>
      </w:r>
      <w:r w:rsidR="00ED484E">
        <w:rPr>
          <w:rFonts w:eastAsia="Times New Roman" w:cs="Times New Roman"/>
          <w:bCs/>
          <w:szCs w:val="24"/>
          <w:lang w:eastAsia="fr-FR"/>
        </w:rPr>
        <w:t xml:space="preserve"> (service </w:t>
      </w:r>
      <w:proofErr w:type="spellStart"/>
      <w:r w:rsidR="00ED484E">
        <w:rPr>
          <w:rFonts w:eastAsia="Times New Roman" w:cs="Times New Roman"/>
          <w:bCs/>
          <w:szCs w:val="24"/>
          <w:lang w:eastAsia="fr-FR"/>
        </w:rPr>
        <w:t>LTO</w:t>
      </w:r>
      <w:proofErr w:type="spellEnd"/>
      <w:r w:rsidR="00ED484E">
        <w:rPr>
          <w:rFonts w:eastAsia="Times New Roman" w:cs="Times New Roman"/>
          <w:bCs/>
          <w:szCs w:val="24"/>
          <w:lang w:eastAsia="fr-FR"/>
        </w:rPr>
        <w:t>)</w:t>
      </w:r>
      <w:r w:rsidRPr="0001795E">
        <w:rPr>
          <w:rFonts w:eastAsia="Times New Roman" w:cs="Times New Roman"/>
          <w:bCs/>
          <w:szCs w:val="24"/>
          <w:lang w:eastAsia="fr-FR"/>
        </w:rPr>
        <w:t>.</w:t>
      </w:r>
    </w:p>
    <w:p w14:paraId="548806BD" w14:textId="77777777" w:rsidR="00B35E12" w:rsidRPr="0001795E" w:rsidRDefault="00B35E12" w:rsidP="0016106A">
      <w:pPr>
        <w:rPr>
          <w:rFonts w:eastAsia="Times New Roman" w:cs="Times New Roman"/>
          <w:bCs/>
          <w:szCs w:val="24"/>
          <w:lang w:eastAsia="fr-FR"/>
        </w:rPr>
      </w:pPr>
      <w:r w:rsidRPr="0001795E">
        <w:rPr>
          <w:rFonts w:eastAsia="Times New Roman" w:cs="Times New Roman"/>
          <w:bCs/>
          <w:szCs w:val="24"/>
          <w:lang w:eastAsia="fr-FR"/>
        </w:rPr>
        <w:t xml:space="preserve">La contribution des centres de santé intégrés à l’atteinte des </w:t>
      </w:r>
      <w:proofErr w:type="spellStart"/>
      <w:r w:rsidRPr="0001795E">
        <w:rPr>
          <w:rFonts w:eastAsia="Times New Roman" w:cs="Times New Roman"/>
          <w:bCs/>
          <w:szCs w:val="24"/>
          <w:lang w:eastAsia="fr-FR"/>
        </w:rPr>
        <w:t>ODD</w:t>
      </w:r>
      <w:proofErr w:type="spellEnd"/>
      <w:r w:rsidRPr="0001795E">
        <w:rPr>
          <w:rFonts w:eastAsia="Times New Roman" w:cs="Times New Roman"/>
          <w:bCs/>
          <w:szCs w:val="24"/>
          <w:lang w:eastAsia="fr-FR"/>
        </w:rPr>
        <w:t xml:space="preserve"> à travers les activités primaires ciblées est fonction de leur statut et des directives nationales en vigueur. Ainsi pour l’offre des services, 208 développent des activités de CTA, TPI, dépistage VIH et les services de </w:t>
      </w:r>
      <w:proofErr w:type="spellStart"/>
      <w:r w:rsidRPr="0001795E">
        <w:rPr>
          <w:rFonts w:eastAsia="Times New Roman" w:cs="Times New Roman"/>
          <w:bCs/>
          <w:szCs w:val="24"/>
          <w:lang w:eastAsia="fr-FR"/>
        </w:rPr>
        <w:t>PCIMNE</w:t>
      </w:r>
      <w:proofErr w:type="spellEnd"/>
      <w:r w:rsidRPr="0001795E">
        <w:rPr>
          <w:rFonts w:eastAsia="Times New Roman" w:cs="Times New Roman"/>
          <w:bCs/>
          <w:szCs w:val="24"/>
          <w:lang w:eastAsia="fr-FR"/>
        </w:rPr>
        <w:t xml:space="preserve">. 207 distribuent le MII et 24 les </w:t>
      </w:r>
      <w:proofErr w:type="spellStart"/>
      <w:r w:rsidRPr="0001795E">
        <w:rPr>
          <w:rFonts w:eastAsia="Times New Roman" w:cs="Times New Roman"/>
          <w:bCs/>
          <w:szCs w:val="24"/>
          <w:lang w:eastAsia="fr-FR"/>
        </w:rPr>
        <w:t>ARV</w:t>
      </w:r>
      <w:proofErr w:type="spellEnd"/>
      <w:r w:rsidRPr="0001795E">
        <w:rPr>
          <w:rFonts w:eastAsia="Times New Roman" w:cs="Times New Roman"/>
          <w:bCs/>
          <w:szCs w:val="24"/>
          <w:lang w:eastAsia="fr-FR"/>
        </w:rPr>
        <w:t>.</w:t>
      </w:r>
    </w:p>
    <w:p w14:paraId="615DD852" w14:textId="7E03CBC2" w:rsidR="00F5338C" w:rsidRPr="0001795E" w:rsidRDefault="00B35E12" w:rsidP="0016106A">
      <w:r w:rsidRPr="0001795E">
        <w:rPr>
          <w:rFonts w:eastAsia="Times New Roman" w:cs="Times New Roman"/>
          <w:bCs/>
          <w:szCs w:val="24"/>
          <w:lang w:eastAsia="fr-FR"/>
        </w:rPr>
        <w:t>Aucun centre de santé intégré ne dispose de lit d’hospitalisation et n’offre des services de DOTS, encore limité à certaines structures spécifiques (</w:t>
      </w:r>
      <w:proofErr w:type="spellStart"/>
      <w:r w:rsidRPr="0001795E">
        <w:rPr>
          <w:rFonts w:eastAsia="Times New Roman" w:cs="Times New Roman"/>
          <w:b/>
          <w:bCs/>
          <w:szCs w:val="24"/>
          <w:lang w:eastAsia="fr-FR"/>
        </w:rPr>
        <w:t>LTO</w:t>
      </w:r>
      <w:proofErr w:type="spellEnd"/>
      <w:r w:rsidRPr="0001795E">
        <w:rPr>
          <w:rFonts w:eastAsia="Times New Roman" w:cs="Times New Roman"/>
          <w:bCs/>
          <w:szCs w:val="24"/>
          <w:lang w:eastAsia="fr-FR"/>
        </w:rPr>
        <w:t>) directement rattachées aux DPS.</w:t>
      </w:r>
    </w:p>
    <w:p w14:paraId="740E890E" w14:textId="77777777" w:rsidR="00F9309B" w:rsidRPr="0001795E" w:rsidRDefault="00F9309B" w:rsidP="006A44DA">
      <w:pPr>
        <w:pStyle w:val="Titre1"/>
        <w:sectPr w:rsidR="00F9309B" w:rsidRPr="0001795E" w:rsidSect="007127F6">
          <w:pgSz w:w="11906" w:h="16838" w:code="9"/>
          <w:pgMar w:top="1417" w:right="1417" w:bottom="1417" w:left="1417" w:header="510" w:footer="567" w:gutter="0"/>
          <w:pgBorders>
            <w:top w:val="single" w:sz="4" w:space="1" w:color="auto"/>
            <w:bottom w:val="single" w:sz="4" w:space="1" w:color="auto"/>
          </w:pgBorders>
          <w:cols w:space="708"/>
          <w:docGrid w:linePitch="360"/>
        </w:sectPr>
      </w:pPr>
    </w:p>
    <w:p w14:paraId="077F0DA3" w14:textId="77777777" w:rsidR="001B4265" w:rsidRDefault="001B4265" w:rsidP="006A44DA">
      <w:pPr>
        <w:pStyle w:val="Titre1"/>
        <w:sectPr w:rsidR="001B4265" w:rsidSect="001B4265">
          <w:type w:val="continuous"/>
          <w:pgSz w:w="11906" w:h="16838" w:code="9"/>
          <w:pgMar w:top="1417" w:right="1417" w:bottom="1417" w:left="1417" w:header="510" w:footer="567" w:gutter="0"/>
          <w:pgBorders>
            <w:top w:val="single" w:sz="4" w:space="1" w:color="auto"/>
            <w:bottom w:val="single" w:sz="4" w:space="1" w:color="auto"/>
          </w:pgBorders>
          <w:cols w:space="708"/>
          <w:vAlign w:val="center"/>
          <w:docGrid w:linePitch="360"/>
        </w:sectPr>
      </w:pPr>
    </w:p>
    <w:p w14:paraId="633CDC3C" w14:textId="77777777" w:rsidR="00364CF7" w:rsidRDefault="00364CF7" w:rsidP="006A44DA">
      <w:pPr>
        <w:pStyle w:val="Titre1"/>
        <w:sectPr w:rsidR="00364CF7" w:rsidSect="007127F6">
          <w:type w:val="continuous"/>
          <w:pgSz w:w="11906" w:h="16838" w:code="9"/>
          <w:pgMar w:top="1417" w:right="1417" w:bottom="1417" w:left="1417" w:header="510" w:footer="567" w:gutter="0"/>
          <w:pgBorders>
            <w:top w:val="single" w:sz="4" w:space="1" w:color="auto"/>
            <w:bottom w:val="single" w:sz="4" w:space="1" w:color="auto"/>
          </w:pgBorders>
          <w:cols w:space="708"/>
          <w:docGrid w:linePitch="360"/>
        </w:sectPr>
      </w:pPr>
    </w:p>
    <w:p w14:paraId="735F7136" w14:textId="344A60F5" w:rsidR="00E23B98" w:rsidRDefault="00AF29C6" w:rsidP="006A44DA">
      <w:pPr>
        <w:pStyle w:val="Titre1"/>
      </w:pPr>
      <w:bookmarkStart w:id="278" w:name="_Toc63233239"/>
      <w:r w:rsidRPr="0001795E">
        <w:t xml:space="preserve">CHAPITRE </w:t>
      </w:r>
      <w:r w:rsidR="001104B2">
        <w:t>I</w:t>
      </w:r>
      <w:r w:rsidRPr="0001795E">
        <w:t>V : COMPARAISON</w:t>
      </w:r>
      <w:r w:rsidR="0014513D" w:rsidRPr="0014513D">
        <w:rPr>
          <w:rFonts w:eastAsia="Times New Roman" w:cs="Times New Roman"/>
          <w:bCs/>
          <w:color w:val="000000"/>
          <w:szCs w:val="24"/>
          <w:lang w:eastAsia="fr-FR"/>
        </w:rPr>
        <w:t xml:space="preserve"> </w:t>
      </w:r>
      <w:r w:rsidR="00E401BA" w:rsidRPr="00E401BA">
        <w:t>DES PRINCIPAUX INDICATEURS</w:t>
      </w:r>
      <w:r w:rsidR="00E401BA" w:rsidRPr="0001795E">
        <w:t xml:space="preserve"> </w:t>
      </w:r>
      <w:r w:rsidR="00E401BA" w:rsidRPr="00E401BA">
        <w:t xml:space="preserve">DE </w:t>
      </w:r>
      <w:proofErr w:type="spellStart"/>
      <w:r w:rsidR="00E401BA" w:rsidRPr="00E401BA">
        <w:t>FONCTIONNALITE</w:t>
      </w:r>
      <w:proofErr w:type="spellEnd"/>
      <w:r w:rsidR="00E401BA" w:rsidRPr="00E401BA">
        <w:t xml:space="preserve"> </w:t>
      </w:r>
      <w:r w:rsidR="00CC78EA">
        <w:t xml:space="preserve">AUX </w:t>
      </w:r>
      <w:proofErr w:type="spellStart"/>
      <w:r w:rsidR="00CC78EA">
        <w:t>ANNEES</w:t>
      </w:r>
      <w:proofErr w:type="spellEnd"/>
      <w:r w:rsidR="00CC78EA">
        <w:t xml:space="preserve"> 2007</w:t>
      </w:r>
      <w:r w:rsidR="00E401BA">
        <w:t xml:space="preserve"> ET 2020</w:t>
      </w:r>
      <w:bookmarkEnd w:id="278"/>
    </w:p>
    <w:p w14:paraId="4B243446" w14:textId="6FB9D5CB" w:rsidR="001B4265" w:rsidRPr="004A7969" w:rsidRDefault="001B4265" w:rsidP="001B4265">
      <w:pPr>
        <w:pStyle w:val="Lgende"/>
        <w:rPr>
          <w:rFonts w:eastAsia="Times New Roman" w:cs="Times New Roman"/>
          <w:b/>
          <w:bCs/>
          <w:i w:val="0"/>
          <w:iCs w:val="0"/>
          <w:color w:val="000000"/>
          <w:sz w:val="24"/>
          <w:szCs w:val="36"/>
          <w:lang w:eastAsia="fr-FR"/>
        </w:rPr>
      </w:pPr>
      <w:bookmarkStart w:id="279" w:name="_Toc58674295"/>
      <w:r w:rsidRPr="004A7969">
        <w:rPr>
          <w:b/>
          <w:bCs/>
          <w:i w:val="0"/>
          <w:iCs w:val="0"/>
          <w:sz w:val="24"/>
          <w:szCs w:val="24"/>
        </w:rPr>
        <w:t xml:space="preserve">Tableau </w:t>
      </w:r>
      <w:r w:rsidRPr="004A7969">
        <w:rPr>
          <w:b/>
          <w:bCs/>
          <w:i w:val="0"/>
          <w:iCs w:val="0"/>
          <w:sz w:val="24"/>
          <w:szCs w:val="24"/>
        </w:rPr>
        <w:fldChar w:fldCharType="begin"/>
      </w:r>
      <w:r w:rsidRPr="004A7969">
        <w:rPr>
          <w:b/>
          <w:bCs/>
          <w:i w:val="0"/>
          <w:iCs w:val="0"/>
          <w:sz w:val="24"/>
          <w:szCs w:val="24"/>
        </w:rPr>
        <w:instrText xml:space="preserve"> SEQ Tableau \* ARABIC </w:instrText>
      </w:r>
      <w:r w:rsidRPr="004A7969">
        <w:rPr>
          <w:b/>
          <w:bCs/>
          <w:i w:val="0"/>
          <w:iCs w:val="0"/>
          <w:sz w:val="24"/>
          <w:szCs w:val="24"/>
        </w:rPr>
        <w:fldChar w:fldCharType="separate"/>
      </w:r>
      <w:r w:rsidRPr="004A7969">
        <w:rPr>
          <w:b/>
          <w:bCs/>
          <w:i w:val="0"/>
          <w:iCs w:val="0"/>
          <w:noProof/>
          <w:sz w:val="24"/>
          <w:szCs w:val="24"/>
        </w:rPr>
        <w:t>2</w:t>
      </w:r>
      <w:r w:rsidRPr="004A7969">
        <w:rPr>
          <w:b/>
          <w:bCs/>
          <w:i w:val="0"/>
          <w:iCs w:val="0"/>
          <w:sz w:val="24"/>
          <w:szCs w:val="24"/>
        </w:rPr>
        <w:fldChar w:fldCharType="end"/>
      </w:r>
      <w:r w:rsidRPr="004A7969">
        <w:rPr>
          <w:b/>
          <w:bCs/>
          <w:i w:val="0"/>
          <w:iCs w:val="0"/>
          <w:sz w:val="24"/>
          <w:szCs w:val="24"/>
        </w:rPr>
        <w:t xml:space="preserve"> ; </w:t>
      </w:r>
      <w:proofErr w:type="spellStart"/>
      <w:r w:rsidRPr="004A7969">
        <w:rPr>
          <w:b/>
          <w:bCs/>
          <w:i w:val="0"/>
          <w:iCs w:val="0"/>
          <w:sz w:val="24"/>
          <w:szCs w:val="24"/>
        </w:rPr>
        <w:t>Evolution</w:t>
      </w:r>
      <w:proofErr w:type="spellEnd"/>
      <w:r w:rsidRPr="004A7969">
        <w:rPr>
          <w:b/>
          <w:bCs/>
          <w:i w:val="0"/>
          <w:iCs w:val="0"/>
          <w:sz w:val="24"/>
          <w:szCs w:val="24"/>
        </w:rPr>
        <w:t xml:space="preserve"> des principaux indicateurs</w:t>
      </w:r>
      <w:r w:rsidR="001C5563">
        <w:rPr>
          <w:b/>
          <w:bCs/>
          <w:i w:val="0"/>
          <w:iCs w:val="0"/>
          <w:sz w:val="24"/>
          <w:szCs w:val="24"/>
        </w:rPr>
        <w:t>*</w:t>
      </w:r>
      <w:r w:rsidRPr="004A7969">
        <w:rPr>
          <w:b/>
          <w:bCs/>
          <w:i w:val="0"/>
          <w:iCs w:val="0"/>
          <w:sz w:val="24"/>
          <w:szCs w:val="24"/>
        </w:rPr>
        <w:t xml:space="preserve"> de la fonctionnal</w:t>
      </w:r>
      <w:r w:rsidR="00CC78EA">
        <w:rPr>
          <w:b/>
          <w:bCs/>
          <w:i w:val="0"/>
          <w:iCs w:val="0"/>
          <w:sz w:val="24"/>
          <w:szCs w:val="24"/>
        </w:rPr>
        <w:t>ité des districts de 2007</w:t>
      </w:r>
      <w:r w:rsidRPr="004A7969">
        <w:rPr>
          <w:b/>
          <w:bCs/>
          <w:i w:val="0"/>
          <w:iCs w:val="0"/>
          <w:sz w:val="24"/>
          <w:szCs w:val="24"/>
        </w:rPr>
        <w:t xml:space="preserve"> et 2020</w:t>
      </w:r>
      <w:bookmarkEnd w:id="279"/>
      <w:r w:rsidR="001C5563">
        <w:rPr>
          <w:b/>
          <w:bCs/>
          <w:i w:val="0"/>
          <w:iCs w:val="0"/>
          <w:sz w:val="24"/>
          <w:szCs w:val="24"/>
        </w:rPr>
        <w:t xml:space="preserve"> </w:t>
      </w:r>
    </w:p>
    <w:tbl>
      <w:tblPr>
        <w:tblW w:w="5551" w:type="pct"/>
        <w:tblCellMar>
          <w:left w:w="70" w:type="dxa"/>
          <w:right w:w="70" w:type="dxa"/>
        </w:tblCellMar>
        <w:tblLook w:val="04A0" w:firstRow="1" w:lastRow="0" w:firstColumn="1" w:lastColumn="0" w:noHBand="0" w:noVBand="1"/>
      </w:tblPr>
      <w:tblGrid>
        <w:gridCol w:w="5805"/>
        <w:gridCol w:w="2010"/>
        <w:gridCol w:w="2243"/>
      </w:tblGrid>
      <w:tr w:rsidR="00C2388D" w14:paraId="2FCF6A0F" w14:textId="77777777" w:rsidTr="00C2388D">
        <w:trPr>
          <w:trHeight w:val="630"/>
        </w:trPr>
        <w:tc>
          <w:tcPr>
            <w:tcW w:w="2886" w:type="pct"/>
            <w:tcBorders>
              <w:top w:val="single" w:sz="4" w:space="0" w:color="auto"/>
              <w:left w:val="single" w:sz="4" w:space="0" w:color="auto"/>
              <w:bottom w:val="single" w:sz="4" w:space="0" w:color="auto"/>
              <w:right w:val="single" w:sz="4" w:space="0" w:color="auto"/>
            </w:tcBorders>
            <w:vAlign w:val="center"/>
            <w:hideMark/>
          </w:tcPr>
          <w:p w14:paraId="700F8A1B" w14:textId="77777777" w:rsidR="00C2388D" w:rsidRDefault="00C2388D">
            <w:pPr>
              <w:spacing w:after="0" w:line="240" w:lineRule="auto"/>
              <w:jc w:val="center"/>
              <w:rPr>
                <w:rFonts w:eastAsia="Times New Roman" w:cs="Calibri"/>
                <w:b/>
                <w:bCs/>
                <w:color w:val="000000"/>
                <w:szCs w:val="24"/>
                <w:lang w:eastAsia="fr-FR"/>
              </w:rPr>
            </w:pPr>
            <w:r>
              <w:rPr>
                <w:rFonts w:eastAsia="Times New Roman" w:cs="Calibri"/>
                <w:b/>
                <w:bCs/>
                <w:color w:val="000000"/>
                <w:szCs w:val="24"/>
                <w:lang w:eastAsia="fr-FR"/>
              </w:rPr>
              <w:t>Indicateurs de fonctionnalité</w:t>
            </w:r>
          </w:p>
        </w:tc>
        <w:tc>
          <w:tcPr>
            <w:tcW w:w="999" w:type="pct"/>
            <w:tcBorders>
              <w:top w:val="single" w:sz="4" w:space="0" w:color="auto"/>
              <w:left w:val="nil"/>
              <w:bottom w:val="single" w:sz="4" w:space="0" w:color="auto"/>
              <w:right w:val="single" w:sz="4" w:space="0" w:color="auto"/>
            </w:tcBorders>
            <w:vAlign w:val="center"/>
            <w:hideMark/>
          </w:tcPr>
          <w:p w14:paraId="1F322B64" w14:textId="77777777" w:rsidR="00C2388D" w:rsidRDefault="00C2388D">
            <w:pPr>
              <w:spacing w:after="0" w:line="240" w:lineRule="auto"/>
              <w:jc w:val="center"/>
              <w:rPr>
                <w:rFonts w:eastAsia="Times New Roman" w:cs="Calibri"/>
                <w:b/>
                <w:bCs/>
                <w:color w:val="000000"/>
                <w:szCs w:val="24"/>
                <w:lang w:eastAsia="fr-FR"/>
              </w:rPr>
            </w:pPr>
            <w:r>
              <w:rPr>
                <w:rFonts w:eastAsia="Times New Roman" w:cs="Calibri"/>
                <w:b/>
                <w:bCs/>
                <w:color w:val="000000"/>
                <w:szCs w:val="24"/>
                <w:lang w:eastAsia="fr-FR"/>
              </w:rPr>
              <w:t>Evaluation 2007</w:t>
            </w:r>
          </w:p>
        </w:tc>
        <w:tc>
          <w:tcPr>
            <w:tcW w:w="1115" w:type="pct"/>
            <w:tcBorders>
              <w:top w:val="single" w:sz="4" w:space="0" w:color="auto"/>
              <w:left w:val="nil"/>
              <w:bottom w:val="single" w:sz="4" w:space="0" w:color="auto"/>
              <w:right w:val="single" w:sz="4" w:space="0" w:color="auto"/>
            </w:tcBorders>
            <w:vAlign w:val="center"/>
            <w:hideMark/>
          </w:tcPr>
          <w:p w14:paraId="62B75F49" w14:textId="77777777" w:rsidR="00C2388D" w:rsidRDefault="00C2388D">
            <w:pPr>
              <w:spacing w:after="0" w:line="240" w:lineRule="auto"/>
              <w:jc w:val="center"/>
              <w:rPr>
                <w:rFonts w:eastAsia="Times New Roman" w:cs="Calibri"/>
                <w:b/>
                <w:bCs/>
                <w:color w:val="000000"/>
                <w:szCs w:val="24"/>
                <w:lang w:eastAsia="fr-FR"/>
              </w:rPr>
            </w:pPr>
            <w:r>
              <w:rPr>
                <w:rFonts w:eastAsia="Times New Roman" w:cs="Calibri"/>
                <w:b/>
                <w:bCs/>
                <w:color w:val="000000"/>
                <w:szCs w:val="24"/>
                <w:lang w:eastAsia="fr-FR"/>
              </w:rPr>
              <w:t>Evaluation 2020</w:t>
            </w:r>
          </w:p>
        </w:tc>
      </w:tr>
      <w:tr w:rsidR="00C2388D" w14:paraId="6AB1A23B" w14:textId="77777777" w:rsidTr="00C2388D">
        <w:trPr>
          <w:trHeight w:val="630"/>
        </w:trPr>
        <w:tc>
          <w:tcPr>
            <w:tcW w:w="5000" w:type="pct"/>
            <w:gridSpan w:val="3"/>
            <w:tcBorders>
              <w:top w:val="single" w:sz="4" w:space="0" w:color="auto"/>
              <w:left w:val="single" w:sz="4" w:space="0" w:color="auto"/>
              <w:bottom w:val="single" w:sz="4" w:space="0" w:color="auto"/>
              <w:right w:val="single" w:sz="4" w:space="0" w:color="000000"/>
            </w:tcBorders>
            <w:shd w:val="clear" w:color="auto" w:fill="FBE4D5"/>
            <w:vAlign w:val="center"/>
            <w:hideMark/>
          </w:tcPr>
          <w:p w14:paraId="43248290" w14:textId="77777777" w:rsidR="00C2388D" w:rsidRDefault="00C2388D">
            <w:pPr>
              <w:spacing w:after="0" w:line="240" w:lineRule="auto"/>
              <w:rPr>
                <w:rFonts w:eastAsia="Times New Roman" w:cs="Calibri"/>
                <w:b/>
                <w:bCs/>
                <w:color w:val="000000"/>
                <w:szCs w:val="24"/>
                <w:lang w:eastAsia="fr-FR"/>
              </w:rPr>
            </w:pPr>
            <w:r>
              <w:rPr>
                <w:rFonts w:eastAsia="Times New Roman" w:cs="Calibri"/>
                <w:b/>
                <w:bCs/>
                <w:color w:val="000000"/>
                <w:szCs w:val="24"/>
                <w:lang w:eastAsia="fr-FR"/>
              </w:rPr>
              <w:t>1. Caractéristiques, structures et activités et gestion des districts  pour chaque échantillon par enquête</w:t>
            </w:r>
          </w:p>
        </w:tc>
      </w:tr>
      <w:tr w:rsidR="00C2388D" w14:paraId="6AC3D176"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3BA99C0F"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Population desservie </w:t>
            </w:r>
          </w:p>
        </w:tc>
        <w:tc>
          <w:tcPr>
            <w:tcW w:w="999" w:type="pct"/>
            <w:tcBorders>
              <w:top w:val="nil"/>
              <w:left w:val="nil"/>
              <w:bottom w:val="single" w:sz="4" w:space="0" w:color="auto"/>
              <w:right w:val="single" w:sz="4" w:space="0" w:color="auto"/>
            </w:tcBorders>
            <w:vAlign w:val="center"/>
            <w:hideMark/>
          </w:tcPr>
          <w:p w14:paraId="74D4B121"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2987126</w:t>
            </w:r>
          </w:p>
        </w:tc>
        <w:tc>
          <w:tcPr>
            <w:tcW w:w="1115" w:type="pct"/>
            <w:tcBorders>
              <w:top w:val="nil"/>
              <w:left w:val="nil"/>
              <w:bottom w:val="single" w:sz="4" w:space="0" w:color="auto"/>
              <w:right w:val="single" w:sz="4" w:space="0" w:color="auto"/>
            </w:tcBorders>
            <w:vAlign w:val="center"/>
            <w:hideMark/>
          </w:tcPr>
          <w:p w14:paraId="1E9C3C58"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5735667</w:t>
            </w:r>
          </w:p>
        </w:tc>
      </w:tr>
      <w:tr w:rsidR="00C2388D" w14:paraId="1E2E3A2A"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75477F5E"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Superficie couverte</w:t>
            </w:r>
          </w:p>
        </w:tc>
        <w:tc>
          <w:tcPr>
            <w:tcW w:w="999" w:type="pct"/>
            <w:tcBorders>
              <w:top w:val="nil"/>
              <w:left w:val="nil"/>
              <w:bottom w:val="single" w:sz="4" w:space="0" w:color="auto"/>
              <w:right w:val="single" w:sz="4" w:space="0" w:color="auto"/>
            </w:tcBorders>
            <w:vAlign w:val="center"/>
            <w:hideMark/>
          </w:tcPr>
          <w:p w14:paraId="52EE41BE"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70285</w:t>
            </w:r>
          </w:p>
        </w:tc>
        <w:tc>
          <w:tcPr>
            <w:tcW w:w="1115" w:type="pct"/>
            <w:tcBorders>
              <w:top w:val="nil"/>
              <w:left w:val="nil"/>
              <w:bottom w:val="single" w:sz="4" w:space="0" w:color="auto"/>
              <w:right w:val="single" w:sz="4" w:space="0" w:color="auto"/>
            </w:tcBorders>
            <w:vAlign w:val="center"/>
            <w:hideMark/>
          </w:tcPr>
          <w:p w14:paraId="195CF4F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120713</w:t>
            </w:r>
          </w:p>
        </w:tc>
      </w:tr>
      <w:tr w:rsidR="00C2388D" w14:paraId="78EC163D"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6E7A2AF5"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Nombre d'aires de santé (FS)</w:t>
            </w:r>
          </w:p>
        </w:tc>
        <w:tc>
          <w:tcPr>
            <w:tcW w:w="999" w:type="pct"/>
            <w:tcBorders>
              <w:top w:val="nil"/>
              <w:left w:val="nil"/>
              <w:bottom w:val="single" w:sz="4" w:space="0" w:color="auto"/>
              <w:right w:val="single" w:sz="4" w:space="0" w:color="auto"/>
            </w:tcBorders>
            <w:vAlign w:val="center"/>
            <w:hideMark/>
          </w:tcPr>
          <w:p w14:paraId="5FCEE0B4"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118</w:t>
            </w:r>
          </w:p>
        </w:tc>
        <w:tc>
          <w:tcPr>
            <w:tcW w:w="1115" w:type="pct"/>
            <w:tcBorders>
              <w:top w:val="nil"/>
              <w:left w:val="nil"/>
              <w:bottom w:val="single" w:sz="4" w:space="0" w:color="auto"/>
              <w:right w:val="single" w:sz="4" w:space="0" w:color="auto"/>
            </w:tcBorders>
            <w:vAlign w:val="center"/>
            <w:hideMark/>
          </w:tcPr>
          <w:p w14:paraId="1E8F4238"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206</w:t>
            </w:r>
          </w:p>
        </w:tc>
      </w:tr>
      <w:tr w:rsidR="00C2388D" w14:paraId="1CD265CF"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141E0F55"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Ratio population/</w:t>
            </w:r>
            <w:proofErr w:type="spellStart"/>
            <w:r>
              <w:rPr>
                <w:rFonts w:eastAsia="Times New Roman" w:cs="Calibri"/>
                <w:color w:val="000000"/>
                <w:szCs w:val="24"/>
                <w:lang w:eastAsia="fr-FR"/>
              </w:rPr>
              <w:t>FoSa</w:t>
            </w:r>
            <w:proofErr w:type="spellEnd"/>
          </w:p>
        </w:tc>
        <w:tc>
          <w:tcPr>
            <w:tcW w:w="999" w:type="pct"/>
            <w:tcBorders>
              <w:top w:val="nil"/>
              <w:left w:val="nil"/>
              <w:bottom w:val="single" w:sz="4" w:space="0" w:color="auto"/>
              <w:right w:val="single" w:sz="4" w:space="0" w:color="auto"/>
            </w:tcBorders>
            <w:vAlign w:val="center"/>
            <w:hideMark/>
          </w:tcPr>
          <w:p w14:paraId="603EFC61"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25315</w:t>
            </w:r>
          </w:p>
        </w:tc>
        <w:tc>
          <w:tcPr>
            <w:tcW w:w="1115" w:type="pct"/>
            <w:tcBorders>
              <w:top w:val="nil"/>
              <w:left w:val="nil"/>
              <w:bottom w:val="single" w:sz="4" w:space="0" w:color="auto"/>
              <w:right w:val="single" w:sz="4" w:space="0" w:color="auto"/>
            </w:tcBorders>
            <w:vAlign w:val="center"/>
            <w:hideMark/>
          </w:tcPr>
          <w:p w14:paraId="6B650089"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27843</w:t>
            </w:r>
          </w:p>
        </w:tc>
      </w:tr>
      <w:tr w:rsidR="00C2388D" w14:paraId="65572FEC"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4E98682D"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Nombre Comités de santé de district (comité préfectoral de coordination de la santé)</w:t>
            </w:r>
          </w:p>
        </w:tc>
        <w:tc>
          <w:tcPr>
            <w:tcW w:w="999" w:type="pct"/>
            <w:tcBorders>
              <w:top w:val="nil"/>
              <w:left w:val="nil"/>
              <w:bottom w:val="single" w:sz="4" w:space="0" w:color="auto"/>
              <w:right w:val="single" w:sz="4" w:space="0" w:color="auto"/>
            </w:tcBorders>
            <w:vAlign w:val="center"/>
            <w:hideMark/>
          </w:tcPr>
          <w:p w14:paraId="47E1661B"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w:t>
            </w:r>
          </w:p>
        </w:tc>
        <w:tc>
          <w:tcPr>
            <w:tcW w:w="1115" w:type="pct"/>
            <w:tcBorders>
              <w:top w:val="nil"/>
              <w:left w:val="nil"/>
              <w:bottom w:val="single" w:sz="4" w:space="0" w:color="auto"/>
              <w:right w:val="single" w:sz="4" w:space="0" w:color="auto"/>
            </w:tcBorders>
            <w:vAlign w:val="center"/>
            <w:hideMark/>
          </w:tcPr>
          <w:p w14:paraId="2D16F8E5"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16</w:t>
            </w:r>
          </w:p>
        </w:tc>
      </w:tr>
      <w:tr w:rsidR="00C2388D" w14:paraId="0353B924"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CD65C8E"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Fréquence de la réalisation des réunions de staff</w:t>
            </w:r>
          </w:p>
        </w:tc>
        <w:tc>
          <w:tcPr>
            <w:tcW w:w="999" w:type="pct"/>
            <w:tcBorders>
              <w:top w:val="nil"/>
              <w:left w:val="nil"/>
              <w:bottom w:val="single" w:sz="4" w:space="0" w:color="auto"/>
              <w:right w:val="single" w:sz="4" w:space="0" w:color="auto"/>
            </w:tcBorders>
            <w:vAlign w:val="center"/>
            <w:hideMark/>
          </w:tcPr>
          <w:p w14:paraId="26A99C0A"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74%</w:t>
            </w:r>
          </w:p>
        </w:tc>
        <w:tc>
          <w:tcPr>
            <w:tcW w:w="1115" w:type="pct"/>
            <w:tcBorders>
              <w:top w:val="nil"/>
              <w:left w:val="nil"/>
              <w:bottom w:val="single" w:sz="4" w:space="0" w:color="auto"/>
              <w:right w:val="single" w:sz="4" w:space="0" w:color="auto"/>
            </w:tcBorders>
            <w:vAlign w:val="center"/>
            <w:hideMark/>
          </w:tcPr>
          <w:p w14:paraId="53D3E70D"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94%</w:t>
            </w:r>
          </w:p>
        </w:tc>
      </w:tr>
      <w:tr w:rsidR="00C2388D" w14:paraId="4F2C3E4E" w14:textId="77777777" w:rsidTr="00C2388D">
        <w:trPr>
          <w:trHeight w:val="315"/>
        </w:trPr>
        <w:tc>
          <w:tcPr>
            <w:tcW w:w="2886" w:type="pct"/>
            <w:tcBorders>
              <w:top w:val="nil"/>
              <w:left w:val="single" w:sz="4" w:space="0" w:color="auto"/>
              <w:bottom w:val="single" w:sz="4" w:space="0" w:color="auto"/>
              <w:right w:val="single" w:sz="4" w:space="0" w:color="auto"/>
            </w:tcBorders>
            <w:shd w:val="clear" w:color="auto" w:fill="FFFFFF"/>
            <w:vAlign w:val="center"/>
            <w:hideMark/>
          </w:tcPr>
          <w:p w14:paraId="3DF23E45"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Plan annuel</w:t>
            </w:r>
          </w:p>
        </w:tc>
        <w:tc>
          <w:tcPr>
            <w:tcW w:w="999" w:type="pct"/>
            <w:tcBorders>
              <w:top w:val="nil"/>
              <w:left w:val="nil"/>
              <w:bottom w:val="single" w:sz="4" w:space="0" w:color="auto"/>
              <w:right w:val="single" w:sz="4" w:space="0" w:color="auto"/>
            </w:tcBorders>
            <w:vAlign w:val="center"/>
            <w:hideMark/>
          </w:tcPr>
          <w:p w14:paraId="114BACA5"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w:t>
            </w:r>
          </w:p>
        </w:tc>
        <w:tc>
          <w:tcPr>
            <w:tcW w:w="1115" w:type="pct"/>
            <w:tcBorders>
              <w:top w:val="nil"/>
              <w:left w:val="nil"/>
              <w:bottom w:val="single" w:sz="4" w:space="0" w:color="auto"/>
              <w:right w:val="single" w:sz="4" w:space="0" w:color="auto"/>
            </w:tcBorders>
            <w:vAlign w:val="center"/>
            <w:hideMark/>
          </w:tcPr>
          <w:p w14:paraId="1F2AFCAD"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w:t>
            </w:r>
          </w:p>
        </w:tc>
      </w:tr>
      <w:tr w:rsidR="00C2388D" w14:paraId="3BE6ABE4" w14:textId="77777777" w:rsidTr="00C2388D">
        <w:trPr>
          <w:trHeight w:val="630"/>
        </w:trPr>
        <w:tc>
          <w:tcPr>
            <w:tcW w:w="2886" w:type="pct"/>
            <w:tcBorders>
              <w:top w:val="nil"/>
              <w:left w:val="single" w:sz="4" w:space="0" w:color="auto"/>
              <w:bottom w:val="single" w:sz="4" w:space="0" w:color="auto"/>
              <w:right w:val="single" w:sz="4" w:space="0" w:color="auto"/>
            </w:tcBorders>
            <w:vAlign w:val="center"/>
            <w:hideMark/>
          </w:tcPr>
          <w:p w14:paraId="6F5F1EC9"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des districts sanitaires disposant d’un document national de procédures financières</w:t>
            </w:r>
          </w:p>
        </w:tc>
        <w:tc>
          <w:tcPr>
            <w:tcW w:w="999" w:type="pct"/>
            <w:tcBorders>
              <w:top w:val="nil"/>
              <w:left w:val="nil"/>
              <w:bottom w:val="single" w:sz="4" w:space="0" w:color="auto"/>
              <w:right w:val="single" w:sz="4" w:space="0" w:color="auto"/>
            </w:tcBorders>
            <w:vAlign w:val="center"/>
            <w:hideMark/>
          </w:tcPr>
          <w:p w14:paraId="2F2CE6CD"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41%</w:t>
            </w:r>
          </w:p>
        </w:tc>
        <w:tc>
          <w:tcPr>
            <w:tcW w:w="1115" w:type="pct"/>
            <w:tcBorders>
              <w:top w:val="nil"/>
              <w:left w:val="nil"/>
              <w:bottom w:val="single" w:sz="4" w:space="0" w:color="auto"/>
              <w:right w:val="single" w:sz="4" w:space="0" w:color="auto"/>
            </w:tcBorders>
            <w:vAlign w:val="center"/>
            <w:hideMark/>
          </w:tcPr>
          <w:p w14:paraId="689F21F5"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43%</w:t>
            </w:r>
          </w:p>
        </w:tc>
      </w:tr>
      <w:tr w:rsidR="00C2388D" w14:paraId="5D06419F" w14:textId="77777777" w:rsidTr="00C2388D">
        <w:trPr>
          <w:trHeight w:val="630"/>
        </w:trPr>
        <w:tc>
          <w:tcPr>
            <w:tcW w:w="5000" w:type="pct"/>
            <w:gridSpan w:val="3"/>
            <w:tcBorders>
              <w:top w:val="single" w:sz="4" w:space="0" w:color="auto"/>
              <w:left w:val="single" w:sz="4" w:space="0" w:color="auto"/>
              <w:bottom w:val="single" w:sz="4" w:space="0" w:color="auto"/>
              <w:right w:val="single" w:sz="4" w:space="0" w:color="000000"/>
            </w:tcBorders>
            <w:shd w:val="clear" w:color="auto" w:fill="FCE4D6"/>
            <w:vAlign w:val="center"/>
            <w:hideMark/>
          </w:tcPr>
          <w:p w14:paraId="1B5D1549" w14:textId="77777777" w:rsidR="00C2388D" w:rsidRDefault="00C2388D">
            <w:pPr>
              <w:spacing w:after="0" w:line="240" w:lineRule="auto"/>
              <w:rPr>
                <w:rFonts w:eastAsia="Times New Roman" w:cs="Calibri"/>
                <w:b/>
                <w:bCs/>
                <w:color w:val="000000"/>
                <w:szCs w:val="24"/>
                <w:lang w:eastAsia="fr-FR"/>
              </w:rPr>
            </w:pPr>
            <w:r>
              <w:rPr>
                <w:rFonts w:eastAsia="Times New Roman" w:cs="Calibri"/>
                <w:b/>
                <w:bCs/>
                <w:color w:val="000000"/>
                <w:szCs w:val="24"/>
                <w:lang w:eastAsia="fr-FR"/>
              </w:rPr>
              <w:t>2. Ressources Humaines pour la Santé pour chaque échantillon par enquête</w:t>
            </w:r>
          </w:p>
        </w:tc>
      </w:tr>
      <w:tr w:rsidR="00C2388D" w14:paraId="754F6046"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4106221"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Nombre total Médecins </w:t>
            </w:r>
          </w:p>
        </w:tc>
        <w:tc>
          <w:tcPr>
            <w:tcW w:w="999" w:type="pct"/>
            <w:tcBorders>
              <w:top w:val="nil"/>
              <w:left w:val="nil"/>
              <w:bottom w:val="single" w:sz="4" w:space="0" w:color="auto"/>
              <w:right w:val="single" w:sz="4" w:space="0" w:color="auto"/>
            </w:tcBorders>
            <w:vAlign w:val="center"/>
            <w:hideMark/>
          </w:tcPr>
          <w:p w14:paraId="13915F03"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151</w:t>
            </w:r>
          </w:p>
        </w:tc>
        <w:tc>
          <w:tcPr>
            <w:tcW w:w="1115" w:type="pct"/>
            <w:tcBorders>
              <w:top w:val="nil"/>
              <w:left w:val="nil"/>
              <w:bottom w:val="single" w:sz="4" w:space="0" w:color="auto"/>
              <w:right w:val="single" w:sz="4" w:space="0" w:color="auto"/>
            </w:tcBorders>
            <w:vAlign w:val="center"/>
            <w:hideMark/>
          </w:tcPr>
          <w:p w14:paraId="4AF6B375"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518</w:t>
            </w:r>
          </w:p>
        </w:tc>
      </w:tr>
      <w:tr w:rsidR="00C2388D" w14:paraId="3CCC6140"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012D564B"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Nombre de médecins santé publique </w:t>
            </w:r>
          </w:p>
        </w:tc>
        <w:tc>
          <w:tcPr>
            <w:tcW w:w="999" w:type="pct"/>
            <w:tcBorders>
              <w:top w:val="nil"/>
              <w:left w:val="nil"/>
              <w:bottom w:val="single" w:sz="4" w:space="0" w:color="auto"/>
              <w:right w:val="single" w:sz="4" w:space="0" w:color="auto"/>
            </w:tcBorders>
            <w:vAlign w:val="center"/>
            <w:hideMark/>
          </w:tcPr>
          <w:p w14:paraId="43542E4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11</w:t>
            </w:r>
          </w:p>
        </w:tc>
        <w:tc>
          <w:tcPr>
            <w:tcW w:w="1115" w:type="pct"/>
            <w:tcBorders>
              <w:top w:val="nil"/>
              <w:left w:val="nil"/>
              <w:bottom w:val="single" w:sz="4" w:space="0" w:color="auto"/>
              <w:right w:val="single" w:sz="4" w:space="0" w:color="auto"/>
            </w:tcBorders>
            <w:vAlign w:val="center"/>
            <w:hideMark/>
          </w:tcPr>
          <w:p w14:paraId="0F8001A9"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58</w:t>
            </w:r>
          </w:p>
        </w:tc>
      </w:tr>
      <w:tr w:rsidR="00C2388D" w14:paraId="6AC31ED7"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07BB9837"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Total Médecins généralistes</w:t>
            </w:r>
          </w:p>
        </w:tc>
        <w:tc>
          <w:tcPr>
            <w:tcW w:w="999" w:type="pct"/>
            <w:tcBorders>
              <w:top w:val="nil"/>
              <w:left w:val="nil"/>
              <w:bottom w:val="single" w:sz="4" w:space="0" w:color="auto"/>
              <w:right w:val="single" w:sz="4" w:space="0" w:color="auto"/>
            </w:tcBorders>
            <w:vAlign w:val="center"/>
            <w:hideMark/>
          </w:tcPr>
          <w:p w14:paraId="42CB1FCA"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144</w:t>
            </w:r>
          </w:p>
        </w:tc>
        <w:tc>
          <w:tcPr>
            <w:tcW w:w="1115" w:type="pct"/>
            <w:tcBorders>
              <w:top w:val="nil"/>
              <w:left w:val="nil"/>
              <w:bottom w:val="single" w:sz="4" w:space="0" w:color="auto"/>
              <w:right w:val="single" w:sz="4" w:space="0" w:color="auto"/>
            </w:tcBorders>
            <w:vAlign w:val="center"/>
            <w:hideMark/>
          </w:tcPr>
          <w:p w14:paraId="058F6FDD"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503</w:t>
            </w:r>
          </w:p>
        </w:tc>
      </w:tr>
      <w:tr w:rsidR="00C2388D" w14:paraId="03AD50D3"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A8308BA"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Médecins généralistes à compétence chirurgicale</w:t>
            </w:r>
          </w:p>
        </w:tc>
        <w:tc>
          <w:tcPr>
            <w:tcW w:w="999" w:type="pct"/>
            <w:tcBorders>
              <w:top w:val="nil"/>
              <w:left w:val="nil"/>
              <w:bottom w:val="single" w:sz="4" w:space="0" w:color="auto"/>
              <w:right w:val="single" w:sz="4" w:space="0" w:color="auto"/>
            </w:tcBorders>
            <w:vAlign w:val="center"/>
            <w:hideMark/>
          </w:tcPr>
          <w:p w14:paraId="6FF2B39D"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42</w:t>
            </w:r>
          </w:p>
        </w:tc>
        <w:tc>
          <w:tcPr>
            <w:tcW w:w="1115" w:type="pct"/>
            <w:tcBorders>
              <w:top w:val="nil"/>
              <w:left w:val="nil"/>
              <w:bottom w:val="single" w:sz="4" w:space="0" w:color="auto"/>
              <w:right w:val="single" w:sz="4" w:space="0" w:color="auto"/>
            </w:tcBorders>
            <w:vAlign w:val="center"/>
            <w:hideMark/>
          </w:tcPr>
          <w:p w14:paraId="4CE18B64"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58</w:t>
            </w:r>
          </w:p>
        </w:tc>
      </w:tr>
      <w:tr w:rsidR="00C2388D" w14:paraId="208A5867"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2B026BCC"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Total médecins spécialistes</w:t>
            </w:r>
          </w:p>
        </w:tc>
        <w:tc>
          <w:tcPr>
            <w:tcW w:w="999" w:type="pct"/>
            <w:tcBorders>
              <w:top w:val="nil"/>
              <w:left w:val="nil"/>
              <w:bottom w:val="single" w:sz="4" w:space="0" w:color="auto"/>
              <w:right w:val="single" w:sz="4" w:space="0" w:color="auto"/>
            </w:tcBorders>
            <w:vAlign w:val="center"/>
            <w:hideMark/>
          </w:tcPr>
          <w:p w14:paraId="16EE2CFB"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7</w:t>
            </w:r>
          </w:p>
        </w:tc>
        <w:tc>
          <w:tcPr>
            <w:tcW w:w="1115" w:type="pct"/>
            <w:tcBorders>
              <w:top w:val="nil"/>
              <w:left w:val="nil"/>
              <w:bottom w:val="single" w:sz="4" w:space="0" w:color="auto"/>
              <w:right w:val="single" w:sz="4" w:space="0" w:color="auto"/>
            </w:tcBorders>
            <w:vAlign w:val="center"/>
            <w:hideMark/>
          </w:tcPr>
          <w:p w14:paraId="4A4051AE"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15</w:t>
            </w:r>
          </w:p>
        </w:tc>
      </w:tr>
      <w:tr w:rsidR="00C2388D" w14:paraId="49D36C23"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766E393D"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Médecins chirurgiens spécialistes</w:t>
            </w:r>
          </w:p>
        </w:tc>
        <w:tc>
          <w:tcPr>
            <w:tcW w:w="999" w:type="pct"/>
            <w:tcBorders>
              <w:top w:val="nil"/>
              <w:left w:val="nil"/>
              <w:bottom w:val="single" w:sz="4" w:space="0" w:color="auto"/>
              <w:right w:val="single" w:sz="4" w:space="0" w:color="auto"/>
            </w:tcBorders>
            <w:vAlign w:val="center"/>
            <w:hideMark/>
          </w:tcPr>
          <w:p w14:paraId="7D96C07C"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3</w:t>
            </w:r>
          </w:p>
        </w:tc>
        <w:tc>
          <w:tcPr>
            <w:tcW w:w="1115" w:type="pct"/>
            <w:tcBorders>
              <w:top w:val="nil"/>
              <w:left w:val="nil"/>
              <w:bottom w:val="single" w:sz="4" w:space="0" w:color="auto"/>
              <w:right w:val="single" w:sz="4" w:space="0" w:color="auto"/>
            </w:tcBorders>
            <w:vAlign w:val="center"/>
            <w:hideMark/>
          </w:tcPr>
          <w:p w14:paraId="1B634178"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11</w:t>
            </w:r>
          </w:p>
        </w:tc>
      </w:tr>
      <w:tr w:rsidR="00C2388D" w14:paraId="3998B953"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4EE868DC"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Nombre infirmiers</w:t>
            </w:r>
          </w:p>
        </w:tc>
        <w:tc>
          <w:tcPr>
            <w:tcW w:w="999" w:type="pct"/>
            <w:tcBorders>
              <w:top w:val="nil"/>
              <w:left w:val="nil"/>
              <w:bottom w:val="single" w:sz="4" w:space="0" w:color="auto"/>
              <w:right w:val="single" w:sz="4" w:space="0" w:color="auto"/>
            </w:tcBorders>
            <w:vAlign w:val="center"/>
            <w:hideMark/>
          </w:tcPr>
          <w:p w14:paraId="450B9A3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1 259</w:t>
            </w:r>
          </w:p>
        </w:tc>
        <w:tc>
          <w:tcPr>
            <w:tcW w:w="1115" w:type="pct"/>
            <w:tcBorders>
              <w:top w:val="nil"/>
              <w:left w:val="nil"/>
              <w:bottom w:val="single" w:sz="4" w:space="0" w:color="auto"/>
              <w:right w:val="single" w:sz="4" w:space="0" w:color="auto"/>
            </w:tcBorders>
            <w:vAlign w:val="center"/>
            <w:hideMark/>
          </w:tcPr>
          <w:p w14:paraId="6927DEBC"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897</w:t>
            </w:r>
          </w:p>
        </w:tc>
      </w:tr>
      <w:tr w:rsidR="00C2388D" w14:paraId="7FAEFD36"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330A75A0"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Nombre Sages-femmes</w:t>
            </w:r>
          </w:p>
        </w:tc>
        <w:tc>
          <w:tcPr>
            <w:tcW w:w="999" w:type="pct"/>
            <w:tcBorders>
              <w:top w:val="nil"/>
              <w:left w:val="nil"/>
              <w:bottom w:val="single" w:sz="4" w:space="0" w:color="auto"/>
              <w:right w:val="single" w:sz="4" w:space="0" w:color="auto"/>
            </w:tcBorders>
            <w:vAlign w:val="center"/>
            <w:hideMark/>
          </w:tcPr>
          <w:p w14:paraId="334F581D"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108</w:t>
            </w:r>
          </w:p>
        </w:tc>
        <w:tc>
          <w:tcPr>
            <w:tcW w:w="1115" w:type="pct"/>
            <w:tcBorders>
              <w:top w:val="nil"/>
              <w:left w:val="nil"/>
              <w:bottom w:val="single" w:sz="4" w:space="0" w:color="auto"/>
              <w:right w:val="single" w:sz="4" w:space="0" w:color="auto"/>
            </w:tcBorders>
            <w:vAlign w:val="center"/>
            <w:hideMark/>
          </w:tcPr>
          <w:p w14:paraId="05F413F9"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464</w:t>
            </w:r>
          </w:p>
        </w:tc>
      </w:tr>
      <w:tr w:rsidR="00C2388D" w14:paraId="29E53E82"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773504F0"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Densité Médecins/ 10000 hbts</w:t>
            </w:r>
          </w:p>
        </w:tc>
        <w:tc>
          <w:tcPr>
            <w:tcW w:w="999" w:type="pct"/>
            <w:tcBorders>
              <w:top w:val="nil"/>
              <w:left w:val="nil"/>
              <w:bottom w:val="single" w:sz="4" w:space="0" w:color="auto"/>
              <w:right w:val="single" w:sz="4" w:space="0" w:color="auto"/>
            </w:tcBorders>
            <w:vAlign w:val="center"/>
            <w:hideMark/>
          </w:tcPr>
          <w:p w14:paraId="480B62FF"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0,8</w:t>
            </w:r>
          </w:p>
        </w:tc>
        <w:tc>
          <w:tcPr>
            <w:tcW w:w="1115" w:type="pct"/>
            <w:tcBorders>
              <w:top w:val="nil"/>
              <w:left w:val="nil"/>
              <w:bottom w:val="single" w:sz="4" w:space="0" w:color="auto"/>
              <w:right w:val="single" w:sz="4" w:space="0" w:color="auto"/>
            </w:tcBorders>
            <w:vAlign w:val="center"/>
            <w:hideMark/>
          </w:tcPr>
          <w:p w14:paraId="77E1BB8E"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w:t>
            </w:r>
          </w:p>
        </w:tc>
      </w:tr>
      <w:tr w:rsidR="00C2388D" w14:paraId="6D109706"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A9BC7E2"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Densité Infirmiers / 10000 hbts</w:t>
            </w:r>
          </w:p>
        </w:tc>
        <w:tc>
          <w:tcPr>
            <w:tcW w:w="999" w:type="pct"/>
            <w:tcBorders>
              <w:top w:val="nil"/>
              <w:left w:val="nil"/>
              <w:bottom w:val="single" w:sz="4" w:space="0" w:color="auto"/>
              <w:right w:val="single" w:sz="4" w:space="0" w:color="auto"/>
            </w:tcBorders>
            <w:vAlign w:val="center"/>
            <w:hideMark/>
          </w:tcPr>
          <w:p w14:paraId="25500DF5"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4,21</w:t>
            </w:r>
          </w:p>
        </w:tc>
        <w:tc>
          <w:tcPr>
            <w:tcW w:w="1115" w:type="pct"/>
            <w:tcBorders>
              <w:top w:val="nil"/>
              <w:left w:val="nil"/>
              <w:bottom w:val="single" w:sz="4" w:space="0" w:color="auto"/>
              <w:right w:val="single" w:sz="4" w:space="0" w:color="auto"/>
            </w:tcBorders>
            <w:vAlign w:val="center"/>
            <w:hideMark/>
          </w:tcPr>
          <w:p w14:paraId="0B343637"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15,64</w:t>
            </w:r>
          </w:p>
        </w:tc>
      </w:tr>
      <w:tr w:rsidR="00C2388D" w14:paraId="016CE261"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307EA01D"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Densité Sages-femmes / 10000 hbts</w:t>
            </w:r>
          </w:p>
        </w:tc>
        <w:tc>
          <w:tcPr>
            <w:tcW w:w="999" w:type="pct"/>
            <w:tcBorders>
              <w:top w:val="nil"/>
              <w:left w:val="nil"/>
              <w:bottom w:val="single" w:sz="4" w:space="0" w:color="auto"/>
              <w:right w:val="single" w:sz="4" w:space="0" w:color="auto"/>
            </w:tcBorders>
            <w:vAlign w:val="center"/>
            <w:hideMark/>
          </w:tcPr>
          <w:p w14:paraId="04D157C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0,36</w:t>
            </w:r>
          </w:p>
        </w:tc>
        <w:tc>
          <w:tcPr>
            <w:tcW w:w="1115" w:type="pct"/>
            <w:tcBorders>
              <w:top w:val="nil"/>
              <w:left w:val="nil"/>
              <w:bottom w:val="single" w:sz="4" w:space="0" w:color="auto"/>
              <w:right w:val="single" w:sz="4" w:space="0" w:color="auto"/>
            </w:tcBorders>
            <w:vAlign w:val="center"/>
            <w:hideMark/>
          </w:tcPr>
          <w:p w14:paraId="6E20F53C"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0.8</w:t>
            </w:r>
          </w:p>
        </w:tc>
      </w:tr>
      <w:tr w:rsidR="00C2388D" w14:paraId="209CA184" w14:textId="77777777" w:rsidTr="00C2388D">
        <w:trPr>
          <w:trHeight w:val="630"/>
        </w:trPr>
        <w:tc>
          <w:tcPr>
            <w:tcW w:w="5000" w:type="pct"/>
            <w:gridSpan w:val="3"/>
            <w:tcBorders>
              <w:top w:val="single" w:sz="4" w:space="0" w:color="auto"/>
              <w:left w:val="single" w:sz="4" w:space="0" w:color="auto"/>
              <w:bottom w:val="single" w:sz="4" w:space="0" w:color="auto"/>
              <w:right w:val="single" w:sz="4" w:space="0" w:color="000000"/>
            </w:tcBorders>
            <w:shd w:val="clear" w:color="auto" w:fill="FCE4D6"/>
            <w:vAlign w:val="center"/>
            <w:hideMark/>
          </w:tcPr>
          <w:p w14:paraId="49356626" w14:textId="77777777" w:rsidR="00C2388D" w:rsidRDefault="00C2388D">
            <w:pPr>
              <w:spacing w:after="0" w:line="240" w:lineRule="auto"/>
              <w:rPr>
                <w:rFonts w:eastAsia="Times New Roman" w:cs="Calibri"/>
                <w:b/>
                <w:bCs/>
                <w:color w:val="000000"/>
                <w:szCs w:val="24"/>
                <w:lang w:eastAsia="fr-FR"/>
              </w:rPr>
            </w:pPr>
            <w:r>
              <w:rPr>
                <w:rFonts w:eastAsia="Times New Roman" w:cs="Calibri"/>
                <w:b/>
                <w:bCs/>
                <w:color w:val="000000"/>
                <w:szCs w:val="24"/>
                <w:lang w:eastAsia="fr-FR"/>
              </w:rPr>
              <w:t>3. Ressources Financières de la santé pour chaque échantillon par enquête</w:t>
            </w:r>
          </w:p>
        </w:tc>
      </w:tr>
      <w:tr w:rsidR="00C2388D" w14:paraId="71B3662C"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33ECFE80"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Recettes annuelles </w:t>
            </w:r>
            <w:proofErr w:type="spellStart"/>
            <w:r>
              <w:rPr>
                <w:rFonts w:eastAsia="Times New Roman" w:cs="Calibri"/>
                <w:color w:val="000000"/>
                <w:szCs w:val="24"/>
                <w:lang w:eastAsia="fr-FR"/>
              </w:rPr>
              <w:t>Etat</w:t>
            </w:r>
            <w:proofErr w:type="spellEnd"/>
          </w:p>
        </w:tc>
        <w:tc>
          <w:tcPr>
            <w:tcW w:w="999" w:type="pct"/>
            <w:tcBorders>
              <w:top w:val="nil"/>
              <w:left w:val="nil"/>
              <w:bottom w:val="single" w:sz="4" w:space="0" w:color="auto"/>
              <w:right w:val="single" w:sz="4" w:space="0" w:color="auto"/>
            </w:tcBorders>
            <w:noWrap/>
            <w:vAlign w:val="center"/>
            <w:hideMark/>
          </w:tcPr>
          <w:p w14:paraId="25EC3B29"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8 044 023 455</w:t>
            </w:r>
          </w:p>
        </w:tc>
        <w:tc>
          <w:tcPr>
            <w:tcW w:w="1115" w:type="pct"/>
            <w:tcBorders>
              <w:top w:val="nil"/>
              <w:left w:val="nil"/>
              <w:bottom w:val="single" w:sz="4" w:space="0" w:color="auto"/>
              <w:right w:val="single" w:sz="4" w:space="0" w:color="auto"/>
            </w:tcBorders>
            <w:vAlign w:val="center"/>
            <w:hideMark/>
          </w:tcPr>
          <w:p w14:paraId="72A65262"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50 627 949 967</w:t>
            </w:r>
          </w:p>
        </w:tc>
      </w:tr>
      <w:tr w:rsidR="00C2388D" w14:paraId="4392F14B"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0A638778"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Partenaires (aide publique)</w:t>
            </w:r>
          </w:p>
        </w:tc>
        <w:tc>
          <w:tcPr>
            <w:tcW w:w="999" w:type="pct"/>
            <w:tcBorders>
              <w:top w:val="nil"/>
              <w:left w:val="nil"/>
              <w:bottom w:val="single" w:sz="4" w:space="0" w:color="auto"/>
              <w:right w:val="single" w:sz="4" w:space="0" w:color="auto"/>
            </w:tcBorders>
            <w:vAlign w:val="center"/>
            <w:hideMark/>
          </w:tcPr>
          <w:p w14:paraId="2750C63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461 523 320</w:t>
            </w:r>
          </w:p>
        </w:tc>
        <w:tc>
          <w:tcPr>
            <w:tcW w:w="1115" w:type="pct"/>
            <w:tcBorders>
              <w:top w:val="nil"/>
              <w:left w:val="nil"/>
              <w:bottom w:val="single" w:sz="4" w:space="0" w:color="auto"/>
              <w:right w:val="single" w:sz="4" w:space="0" w:color="auto"/>
            </w:tcBorders>
            <w:vAlign w:val="center"/>
            <w:hideMark/>
          </w:tcPr>
          <w:p w14:paraId="60D0C142"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25 535 372 904</w:t>
            </w:r>
          </w:p>
        </w:tc>
      </w:tr>
      <w:tr w:rsidR="00C2388D" w14:paraId="00624CE6"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773FAECC"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Communautés (recouvrement)</w:t>
            </w:r>
          </w:p>
        </w:tc>
        <w:tc>
          <w:tcPr>
            <w:tcW w:w="999" w:type="pct"/>
            <w:tcBorders>
              <w:top w:val="nil"/>
              <w:left w:val="nil"/>
              <w:bottom w:val="single" w:sz="4" w:space="0" w:color="auto"/>
              <w:right w:val="single" w:sz="4" w:space="0" w:color="auto"/>
            </w:tcBorders>
            <w:vAlign w:val="center"/>
            <w:hideMark/>
          </w:tcPr>
          <w:p w14:paraId="6121BF2B"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2 586 847 747</w:t>
            </w:r>
          </w:p>
        </w:tc>
        <w:tc>
          <w:tcPr>
            <w:tcW w:w="1115" w:type="pct"/>
            <w:tcBorders>
              <w:top w:val="nil"/>
              <w:left w:val="nil"/>
              <w:bottom w:val="single" w:sz="4" w:space="0" w:color="auto"/>
              <w:right w:val="single" w:sz="4" w:space="0" w:color="auto"/>
            </w:tcBorders>
            <w:vAlign w:val="center"/>
            <w:hideMark/>
          </w:tcPr>
          <w:p w14:paraId="66AFC69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6 862 746 767</w:t>
            </w:r>
          </w:p>
        </w:tc>
      </w:tr>
      <w:tr w:rsidR="00C2388D" w14:paraId="0F1B2F4B"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62CD651"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Collectivités décentralisées </w:t>
            </w:r>
          </w:p>
        </w:tc>
        <w:tc>
          <w:tcPr>
            <w:tcW w:w="999" w:type="pct"/>
            <w:tcBorders>
              <w:top w:val="nil"/>
              <w:left w:val="nil"/>
              <w:bottom w:val="single" w:sz="4" w:space="0" w:color="auto"/>
              <w:right w:val="single" w:sz="4" w:space="0" w:color="auto"/>
            </w:tcBorders>
            <w:vAlign w:val="center"/>
            <w:hideMark/>
          </w:tcPr>
          <w:p w14:paraId="1126B533"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29 759 500</w:t>
            </w:r>
          </w:p>
        </w:tc>
        <w:tc>
          <w:tcPr>
            <w:tcW w:w="1115" w:type="pct"/>
            <w:tcBorders>
              <w:top w:val="nil"/>
              <w:left w:val="nil"/>
              <w:bottom w:val="single" w:sz="4" w:space="0" w:color="auto"/>
              <w:right w:val="single" w:sz="4" w:space="0" w:color="auto"/>
            </w:tcBorders>
            <w:vAlign w:val="center"/>
            <w:hideMark/>
          </w:tcPr>
          <w:p w14:paraId="15022A3D"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4 235 650</w:t>
            </w:r>
          </w:p>
        </w:tc>
      </w:tr>
      <w:tr w:rsidR="00C2388D" w14:paraId="2637F36A"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20F20E84"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Recettes totales </w:t>
            </w:r>
          </w:p>
        </w:tc>
        <w:tc>
          <w:tcPr>
            <w:tcW w:w="999" w:type="pct"/>
            <w:tcBorders>
              <w:top w:val="nil"/>
              <w:left w:val="nil"/>
              <w:bottom w:val="single" w:sz="4" w:space="0" w:color="auto"/>
              <w:right w:val="single" w:sz="4" w:space="0" w:color="auto"/>
            </w:tcBorders>
            <w:vAlign w:val="center"/>
            <w:hideMark/>
          </w:tcPr>
          <w:p w14:paraId="01238F43"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11 122 154 022</w:t>
            </w:r>
          </w:p>
        </w:tc>
        <w:tc>
          <w:tcPr>
            <w:tcW w:w="1115" w:type="pct"/>
            <w:tcBorders>
              <w:top w:val="nil"/>
              <w:left w:val="nil"/>
              <w:bottom w:val="single" w:sz="4" w:space="0" w:color="auto"/>
              <w:right w:val="single" w:sz="4" w:space="0" w:color="auto"/>
            </w:tcBorders>
            <w:vAlign w:val="center"/>
            <w:hideMark/>
          </w:tcPr>
          <w:p w14:paraId="4C3B9E62"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83 030 305 288</w:t>
            </w:r>
          </w:p>
        </w:tc>
      </w:tr>
      <w:tr w:rsidR="00C2388D" w14:paraId="6BDDC688"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4B81F855"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Dépenses annuelles totales</w:t>
            </w:r>
          </w:p>
        </w:tc>
        <w:tc>
          <w:tcPr>
            <w:tcW w:w="999" w:type="pct"/>
            <w:tcBorders>
              <w:top w:val="nil"/>
              <w:left w:val="nil"/>
              <w:bottom w:val="single" w:sz="4" w:space="0" w:color="auto"/>
              <w:right w:val="single" w:sz="4" w:space="0" w:color="auto"/>
            </w:tcBorders>
            <w:vAlign w:val="center"/>
            <w:hideMark/>
          </w:tcPr>
          <w:p w14:paraId="5420B204"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10 173 603 251</w:t>
            </w:r>
          </w:p>
        </w:tc>
        <w:tc>
          <w:tcPr>
            <w:tcW w:w="1115" w:type="pct"/>
            <w:tcBorders>
              <w:top w:val="nil"/>
              <w:left w:val="nil"/>
              <w:bottom w:val="single" w:sz="4" w:space="0" w:color="auto"/>
              <w:right w:val="single" w:sz="4" w:space="0" w:color="auto"/>
            </w:tcBorders>
            <w:vAlign w:val="center"/>
            <w:hideMark/>
          </w:tcPr>
          <w:p w14:paraId="055A14D4"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54 661 888 768</w:t>
            </w:r>
          </w:p>
        </w:tc>
      </w:tr>
      <w:tr w:rsidR="00C2388D" w14:paraId="7E229F02"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36162E1E"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Salaires annuelles Personnel</w:t>
            </w:r>
          </w:p>
        </w:tc>
        <w:tc>
          <w:tcPr>
            <w:tcW w:w="999" w:type="pct"/>
            <w:tcBorders>
              <w:top w:val="nil"/>
              <w:left w:val="nil"/>
              <w:bottom w:val="single" w:sz="4" w:space="0" w:color="auto"/>
              <w:right w:val="single" w:sz="4" w:space="0" w:color="auto"/>
            </w:tcBorders>
            <w:vAlign w:val="center"/>
            <w:hideMark/>
          </w:tcPr>
          <w:p w14:paraId="0BF3FF28"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7 075 833 715</w:t>
            </w:r>
          </w:p>
        </w:tc>
        <w:tc>
          <w:tcPr>
            <w:tcW w:w="1115" w:type="pct"/>
            <w:tcBorders>
              <w:top w:val="nil"/>
              <w:left w:val="nil"/>
              <w:bottom w:val="single" w:sz="4" w:space="0" w:color="auto"/>
              <w:right w:val="single" w:sz="4" w:space="0" w:color="auto"/>
            </w:tcBorders>
            <w:vAlign w:val="center"/>
            <w:hideMark/>
          </w:tcPr>
          <w:p w14:paraId="2A90553C"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52 547 389 967</w:t>
            </w:r>
          </w:p>
        </w:tc>
      </w:tr>
      <w:tr w:rsidR="00C2388D" w14:paraId="65F6E893"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113B031F"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Dépenses annuelles Réapprovisionnement en MEG</w:t>
            </w:r>
          </w:p>
        </w:tc>
        <w:tc>
          <w:tcPr>
            <w:tcW w:w="999" w:type="pct"/>
            <w:tcBorders>
              <w:top w:val="nil"/>
              <w:left w:val="nil"/>
              <w:bottom w:val="single" w:sz="4" w:space="0" w:color="auto"/>
              <w:right w:val="single" w:sz="4" w:space="0" w:color="auto"/>
            </w:tcBorders>
            <w:vAlign w:val="center"/>
            <w:hideMark/>
          </w:tcPr>
          <w:p w14:paraId="1FF36540"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1 553 786 757</w:t>
            </w:r>
          </w:p>
        </w:tc>
        <w:tc>
          <w:tcPr>
            <w:tcW w:w="1115" w:type="pct"/>
            <w:tcBorders>
              <w:top w:val="nil"/>
              <w:left w:val="nil"/>
              <w:bottom w:val="single" w:sz="4" w:space="0" w:color="auto"/>
              <w:right w:val="single" w:sz="4" w:space="0" w:color="auto"/>
            </w:tcBorders>
            <w:vAlign w:val="center"/>
            <w:hideMark/>
          </w:tcPr>
          <w:p w14:paraId="57800970"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ND</w:t>
            </w:r>
          </w:p>
        </w:tc>
      </w:tr>
      <w:tr w:rsidR="00C2388D" w14:paraId="6F3A6C13"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4C4535E7"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Dépenses annuelles Fonctionnement</w:t>
            </w:r>
          </w:p>
        </w:tc>
        <w:tc>
          <w:tcPr>
            <w:tcW w:w="999" w:type="pct"/>
            <w:tcBorders>
              <w:top w:val="nil"/>
              <w:left w:val="nil"/>
              <w:bottom w:val="single" w:sz="4" w:space="0" w:color="auto"/>
              <w:right w:val="single" w:sz="4" w:space="0" w:color="auto"/>
            </w:tcBorders>
            <w:vAlign w:val="center"/>
            <w:hideMark/>
          </w:tcPr>
          <w:p w14:paraId="1631CB58"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1 490 865 504</w:t>
            </w:r>
          </w:p>
        </w:tc>
        <w:tc>
          <w:tcPr>
            <w:tcW w:w="1115" w:type="pct"/>
            <w:tcBorders>
              <w:top w:val="nil"/>
              <w:left w:val="nil"/>
              <w:bottom w:val="single" w:sz="4" w:space="0" w:color="auto"/>
              <w:right w:val="single" w:sz="4" w:space="0" w:color="auto"/>
            </w:tcBorders>
            <w:vAlign w:val="center"/>
            <w:hideMark/>
          </w:tcPr>
          <w:p w14:paraId="0F529C14"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2 113 266 928</w:t>
            </w:r>
          </w:p>
        </w:tc>
      </w:tr>
      <w:tr w:rsidR="00C2388D" w14:paraId="0DAFD980"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2F5119AD"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Dépenses annuelles Investissement</w:t>
            </w:r>
          </w:p>
        </w:tc>
        <w:tc>
          <w:tcPr>
            <w:tcW w:w="999" w:type="pct"/>
            <w:tcBorders>
              <w:top w:val="nil"/>
              <w:left w:val="nil"/>
              <w:bottom w:val="single" w:sz="4" w:space="0" w:color="auto"/>
              <w:right w:val="single" w:sz="4" w:space="0" w:color="auto"/>
            </w:tcBorders>
            <w:vAlign w:val="center"/>
            <w:hideMark/>
          </w:tcPr>
          <w:p w14:paraId="5552D697"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w:t>
            </w:r>
          </w:p>
        </w:tc>
        <w:tc>
          <w:tcPr>
            <w:tcW w:w="1115" w:type="pct"/>
            <w:tcBorders>
              <w:top w:val="nil"/>
              <w:left w:val="nil"/>
              <w:bottom w:val="single" w:sz="4" w:space="0" w:color="auto"/>
              <w:right w:val="single" w:sz="4" w:space="0" w:color="auto"/>
            </w:tcBorders>
            <w:vAlign w:val="center"/>
            <w:hideMark/>
          </w:tcPr>
          <w:p w14:paraId="65FF4967"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1 230 875</w:t>
            </w:r>
          </w:p>
        </w:tc>
      </w:tr>
      <w:tr w:rsidR="00C2388D" w14:paraId="2AA4444C" w14:textId="77777777" w:rsidTr="00C2388D">
        <w:trPr>
          <w:trHeight w:val="630"/>
        </w:trPr>
        <w:tc>
          <w:tcPr>
            <w:tcW w:w="5000" w:type="pct"/>
            <w:gridSpan w:val="3"/>
            <w:tcBorders>
              <w:top w:val="single" w:sz="4" w:space="0" w:color="auto"/>
              <w:left w:val="single" w:sz="4" w:space="0" w:color="auto"/>
              <w:bottom w:val="single" w:sz="4" w:space="0" w:color="auto"/>
              <w:right w:val="single" w:sz="4" w:space="0" w:color="000000"/>
            </w:tcBorders>
            <w:shd w:val="clear" w:color="auto" w:fill="FCE4D6"/>
            <w:vAlign w:val="center"/>
            <w:hideMark/>
          </w:tcPr>
          <w:p w14:paraId="2E37B840" w14:textId="77777777" w:rsidR="00C2388D" w:rsidRDefault="00C2388D">
            <w:pPr>
              <w:spacing w:after="0" w:line="240" w:lineRule="auto"/>
              <w:rPr>
                <w:rFonts w:eastAsia="Times New Roman" w:cs="Calibri"/>
                <w:b/>
                <w:bCs/>
                <w:color w:val="000000"/>
                <w:szCs w:val="24"/>
                <w:lang w:eastAsia="fr-FR"/>
              </w:rPr>
            </w:pPr>
            <w:r>
              <w:rPr>
                <w:rFonts w:eastAsia="Times New Roman" w:cs="Calibri"/>
                <w:b/>
                <w:bCs/>
                <w:color w:val="000000"/>
                <w:szCs w:val="24"/>
                <w:lang w:eastAsia="fr-FR"/>
              </w:rPr>
              <w:t xml:space="preserve">4. Infrastructures, </w:t>
            </w:r>
            <w:proofErr w:type="spellStart"/>
            <w:r>
              <w:rPr>
                <w:rFonts w:eastAsia="Times New Roman" w:cs="Calibri"/>
                <w:b/>
                <w:bCs/>
                <w:color w:val="000000"/>
                <w:szCs w:val="24"/>
                <w:lang w:eastAsia="fr-FR"/>
              </w:rPr>
              <w:t>Equipements</w:t>
            </w:r>
            <w:proofErr w:type="spellEnd"/>
            <w:r>
              <w:rPr>
                <w:rFonts w:eastAsia="Times New Roman" w:cs="Calibri"/>
                <w:b/>
                <w:bCs/>
                <w:color w:val="000000"/>
                <w:szCs w:val="24"/>
                <w:lang w:eastAsia="fr-FR"/>
              </w:rPr>
              <w:t>, MEG, Vaccins, Technologies pour chaque échantillon par enquête</w:t>
            </w:r>
          </w:p>
        </w:tc>
      </w:tr>
      <w:tr w:rsidR="00C2388D" w14:paraId="380943BB"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7ADCD14D"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Infrastructures Bâtiments requis</w:t>
            </w:r>
          </w:p>
        </w:tc>
        <w:tc>
          <w:tcPr>
            <w:tcW w:w="999" w:type="pct"/>
            <w:tcBorders>
              <w:top w:val="nil"/>
              <w:left w:val="nil"/>
              <w:bottom w:val="single" w:sz="4" w:space="0" w:color="auto"/>
              <w:right w:val="single" w:sz="4" w:space="0" w:color="auto"/>
            </w:tcBorders>
            <w:vAlign w:val="center"/>
            <w:hideMark/>
          </w:tcPr>
          <w:p w14:paraId="045671EF"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51%</w:t>
            </w:r>
          </w:p>
        </w:tc>
        <w:tc>
          <w:tcPr>
            <w:tcW w:w="1115" w:type="pct"/>
            <w:tcBorders>
              <w:top w:val="nil"/>
              <w:left w:val="nil"/>
              <w:bottom w:val="single" w:sz="4" w:space="0" w:color="auto"/>
              <w:right w:val="single" w:sz="4" w:space="0" w:color="auto"/>
            </w:tcBorders>
            <w:vAlign w:val="center"/>
            <w:hideMark/>
          </w:tcPr>
          <w:p w14:paraId="035D9427"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r>
      <w:tr w:rsidR="00C2388D" w14:paraId="4033F3BC" w14:textId="77777777" w:rsidTr="00C2388D">
        <w:trPr>
          <w:trHeight w:val="630"/>
        </w:trPr>
        <w:tc>
          <w:tcPr>
            <w:tcW w:w="2886" w:type="pct"/>
            <w:tcBorders>
              <w:top w:val="nil"/>
              <w:left w:val="single" w:sz="4" w:space="0" w:color="auto"/>
              <w:bottom w:val="single" w:sz="4" w:space="0" w:color="auto"/>
              <w:right w:val="single" w:sz="4" w:space="0" w:color="auto"/>
            </w:tcBorders>
            <w:vAlign w:val="center"/>
            <w:hideMark/>
          </w:tcPr>
          <w:p w14:paraId="5678332D"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districts sanitaires équipés de mobiliers de bureau adéquats</w:t>
            </w:r>
          </w:p>
        </w:tc>
        <w:tc>
          <w:tcPr>
            <w:tcW w:w="999" w:type="pct"/>
            <w:tcBorders>
              <w:top w:val="nil"/>
              <w:left w:val="nil"/>
              <w:bottom w:val="single" w:sz="4" w:space="0" w:color="auto"/>
              <w:right w:val="single" w:sz="4" w:space="0" w:color="auto"/>
            </w:tcBorders>
            <w:vAlign w:val="center"/>
            <w:hideMark/>
          </w:tcPr>
          <w:p w14:paraId="5C5021CF"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c>
          <w:tcPr>
            <w:tcW w:w="1115" w:type="pct"/>
            <w:tcBorders>
              <w:top w:val="nil"/>
              <w:left w:val="nil"/>
              <w:bottom w:val="single" w:sz="4" w:space="0" w:color="auto"/>
              <w:right w:val="single" w:sz="4" w:space="0" w:color="auto"/>
            </w:tcBorders>
            <w:vAlign w:val="center"/>
            <w:hideMark/>
          </w:tcPr>
          <w:p w14:paraId="092DE19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r>
      <w:tr w:rsidR="00C2388D" w14:paraId="10C35958" w14:textId="77777777" w:rsidTr="00C2388D">
        <w:trPr>
          <w:trHeight w:val="630"/>
        </w:trPr>
        <w:tc>
          <w:tcPr>
            <w:tcW w:w="2886" w:type="pct"/>
            <w:tcBorders>
              <w:top w:val="nil"/>
              <w:left w:val="single" w:sz="4" w:space="0" w:color="auto"/>
              <w:bottom w:val="single" w:sz="4" w:space="0" w:color="auto"/>
              <w:right w:val="single" w:sz="4" w:space="0" w:color="auto"/>
            </w:tcBorders>
            <w:vAlign w:val="center"/>
            <w:hideMark/>
          </w:tcPr>
          <w:p w14:paraId="241A4EA3"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districts sanitaires disposant  de salles de réunion adéquates</w:t>
            </w:r>
          </w:p>
        </w:tc>
        <w:tc>
          <w:tcPr>
            <w:tcW w:w="999" w:type="pct"/>
            <w:tcBorders>
              <w:top w:val="nil"/>
              <w:left w:val="nil"/>
              <w:bottom w:val="single" w:sz="4" w:space="0" w:color="auto"/>
              <w:right w:val="single" w:sz="4" w:space="0" w:color="auto"/>
            </w:tcBorders>
            <w:vAlign w:val="center"/>
            <w:hideMark/>
          </w:tcPr>
          <w:p w14:paraId="204786CD"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c>
          <w:tcPr>
            <w:tcW w:w="1115" w:type="pct"/>
            <w:tcBorders>
              <w:top w:val="nil"/>
              <w:left w:val="nil"/>
              <w:bottom w:val="single" w:sz="4" w:space="0" w:color="auto"/>
              <w:right w:val="single" w:sz="4" w:space="0" w:color="auto"/>
            </w:tcBorders>
            <w:vAlign w:val="center"/>
            <w:hideMark/>
          </w:tcPr>
          <w:p w14:paraId="730B3A2A"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r>
      <w:tr w:rsidR="00C2388D" w14:paraId="779FD0BC" w14:textId="77777777" w:rsidTr="00C2388D">
        <w:trPr>
          <w:trHeight w:val="630"/>
        </w:trPr>
        <w:tc>
          <w:tcPr>
            <w:tcW w:w="2886" w:type="pct"/>
            <w:tcBorders>
              <w:top w:val="nil"/>
              <w:left w:val="single" w:sz="4" w:space="0" w:color="auto"/>
              <w:bottom w:val="single" w:sz="4" w:space="0" w:color="auto"/>
              <w:right w:val="single" w:sz="4" w:space="0" w:color="auto"/>
            </w:tcBorders>
            <w:vAlign w:val="center"/>
            <w:hideMark/>
          </w:tcPr>
          <w:p w14:paraId="314730A7"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districts sanitaires disposant  d'ordinateurs fonctionnels</w:t>
            </w:r>
          </w:p>
        </w:tc>
        <w:tc>
          <w:tcPr>
            <w:tcW w:w="999" w:type="pct"/>
            <w:tcBorders>
              <w:top w:val="nil"/>
              <w:left w:val="nil"/>
              <w:bottom w:val="single" w:sz="4" w:space="0" w:color="auto"/>
              <w:right w:val="single" w:sz="4" w:space="0" w:color="auto"/>
            </w:tcBorders>
            <w:vAlign w:val="center"/>
            <w:hideMark/>
          </w:tcPr>
          <w:p w14:paraId="13224C8A"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c>
          <w:tcPr>
            <w:tcW w:w="1115" w:type="pct"/>
            <w:tcBorders>
              <w:top w:val="nil"/>
              <w:left w:val="nil"/>
              <w:bottom w:val="single" w:sz="4" w:space="0" w:color="auto"/>
              <w:right w:val="single" w:sz="4" w:space="0" w:color="auto"/>
            </w:tcBorders>
            <w:vAlign w:val="center"/>
            <w:hideMark/>
          </w:tcPr>
          <w:p w14:paraId="25DF03C1"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94%</w:t>
            </w:r>
          </w:p>
        </w:tc>
      </w:tr>
      <w:tr w:rsidR="00C2388D" w14:paraId="4A1B26A5" w14:textId="77777777" w:rsidTr="00C2388D">
        <w:trPr>
          <w:trHeight w:val="630"/>
        </w:trPr>
        <w:tc>
          <w:tcPr>
            <w:tcW w:w="2886" w:type="pct"/>
            <w:tcBorders>
              <w:top w:val="nil"/>
              <w:left w:val="single" w:sz="4" w:space="0" w:color="auto"/>
              <w:bottom w:val="single" w:sz="4" w:space="0" w:color="auto"/>
              <w:right w:val="single" w:sz="4" w:space="0" w:color="auto"/>
            </w:tcBorders>
            <w:vAlign w:val="center"/>
            <w:hideMark/>
          </w:tcPr>
          <w:p w14:paraId="4917C364"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districts sanitaires disposant  de véhicules de supervision</w:t>
            </w:r>
          </w:p>
        </w:tc>
        <w:tc>
          <w:tcPr>
            <w:tcW w:w="999" w:type="pct"/>
            <w:tcBorders>
              <w:top w:val="nil"/>
              <w:left w:val="nil"/>
              <w:bottom w:val="single" w:sz="4" w:space="0" w:color="auto"/>
              <w:right w:val="single" w:sz="4" w:space="0" w:color="auto"/>
            </w:tcBorders>
            <w:vAlign w:val="center"/>
            <w:hideMark/>
          </w:tcPr>
          <w:p w14:paraId="2FAFC05A"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c>
          <w:tcPr>
            <w:tcW w:w="1115" w:type="pct"/>
            <w:tcBorders>
              <w:top w:val="nil"/>
              <w:left w:val="nil"/>
              <w:bottom w:val="single" w:sz="4" w:space="0" w:color="auto"/>
              <w:right w:val="single" w:sz="4" w:space="0" w:color="auto"/>
            </w:tcBorders>
            <w:vAlign w:val="center"/>
            <w:hideMark/>
          </w:tcPr>
          <w:p w14:paraId="0472FB31"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r>
      <w:tr w:rsidR="00C2388D" w14:paraId="60C508FC"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0EA6695A"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Disponibilité de lits d'hospitalisations pour 10 000 hbts</w:t>
            </w:r>
          </w:p>
        </w:tc>
        <w:tc>
          <w:tcPr>
            <w:tcW w:w="999" w:type="pct"/>
            <w:tcBorders>
              <w:top w:val="nil"/>
              <w:left w:val="nil"/>
              <w:bottom w:val="single" w:sz="4" w:space="0" w:color="auto"/>
              <w:right w:val="single" w:sz="4" w:space="0" w:color="auto"/>
            </w:tcBorders>
            <w:vAlign w:val="center"/>
            <w:hideMark/>
          </w:tcPr>
          <w:p w14:paraId="21245A45"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w:t>
            </w:r>
          </w:p>
        </w:tc>
        <w:tc>
          <w:tcPr>
            <w:tcW w:w="1115" w:type="pct"/>
            <w:tcBorders>
              <w:top w:val="nil"/>
              <w:left w:val="nil"/>
              <w:bottom w:val="single" w:sz="4" w:space="0" w:color="auto"/>
              <w:right w:val="single" w:sz="4" w:space="0" w:color="auto"/>
            </w:tcBorders>
            <w:vAlign w:val="center"/>
            <w:hideMark/>
          </w:tcPr>
          <w:p w14:paraId="0AA7C1DE"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2,5</w:t>
            </w:r>
          </w:p>
        </w:tc>
      </w:tr>
      <w:tr w:rsidR="00C2388D" w14:paraId="6EF23B1F"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01F69340"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disposant d’eau potable</w:t>
            </w:r>
          </w:p>
        </w:tc>
        <w:tc>
          <w:tcPr>
            <w:tcW w:w="999" w:type="pct"/>
            <w:tcBorders>
              <w:top w:val="nil"/>
              <w:left w:val="nil"/>
              <w:bottom w:val="single" w:sz="4" w:space="0" w:color="auto"/>
              <w:right w:val="single" w:sz="4" w:space="0" w:color="auto"/>
            </w:tcBorders>
            <w:vAlign w:val="center"/>
            <w:hideMark/>
          </w:tcPr>
          <w:p w14:paraId="6B7BC0B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59%</w:t>
            </w:r>
          </w:p>
        </w:tc>
        <w:tc>
          <w:tcPr>
            <w:tcW w:w="1115" w:type="pct"/>
            <w:tcBorders>
              <w:top w:val="nil"/>
              <w:left w:val="nil"/>
              <w:bottom w:val="single" w:sz="4" w:space="0" w:color="auto"/>
              <w:right w:val="single" w:sz="4" w:space="0" w:color="auto"/>
            </w:tcBorders>
            <w:vAlign w:val="center"/>
            <w:hideMark/>
          </w:tcPr>
          <w:p w14:paraId="059CE462"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88%</w:t>
            </w:r>
          </w:p>
        </w:tc>
      </w:tr>
      <w:tr w:rsidR="00C2388D" w14:paraId="5AA9BFF3"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DD304F4"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disposant d’électricité</w:t>
            </w:r>
          </w:p>
        </w:tc>
        <w:tc>
          <w:tcPr>
            <w:tcW w:w="999" w:type="pct"/>
            <w:tcBorders>
              <w:top w:val="nil"/>
              <w:left w:val="nil"/>
              <w:bottom w:val="single" w:sz="4" w:space="0" w:color="auto"/>
              <w:right w:val="single" w:sz="4" w:space="0" w:color="auto"/>
            </w:tcBorders>
            <w:vAlign w:val="center"/>
            <w:hideMark/>
          </w:tcPr>
          <w:p w14:paraId="0371E5AD"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65%</w:t>
            </w:r>
          </w:p>
        </w:tc>
        <w:tc>
          <w:tcPr>
            <w:tcW w:w="1115" w:type="pct"/>
            <w:tcBorders>
              <w:top w:val="nil"/>
              <w:left w:val="nil"/>
              <w:bottom w:val="single" w:sz="4" w:space="0" w:color="auto"/>
              <w:right w:val="single" w:sz="4" w:space="0" w:color="auto"/>
            </w:tcBorders>
            <w:vAlign w:val="center"/>
            <w:hideMark/>
          </w:tcPr>
          <w:p w14:paraId="4384D9F1"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99%</w:t>
            </w:r>
          </w:p>
        </w:tc>
      </w:tr>
      <w:tr w:rsidR="00C2388D" w14:paraId="4864C116" w14:textId="77777777" w:rsidTr="00C2388D">
        <w:trPr>
          <w:trHeight w:val="630"/>
        </w:trPr>
        <w:tc>
          <w:tcPr>
            <w:tcW w:w="2886" w:type="pct"/>
            <w:tcBorders>
              <w:top w:val="nil"/>
              <w:left w:val="single" w:sz="4" w:space="0" w:color="auto"/>
              <w:bottom w:val="single" w:sz="4" w:space="0" w:color="auto"/>
              <w:right w:val="single" w:sz="4" w:space="0" w:color="auto"/>
            </w:tcBorders>
            <w:vAlign w:val="center"/>
            <w:hideMark/>
          </w:tcPr>
          <w:p w14:paraId="3D35BF78"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disposant de moyen de communication</w:t>
            </w:r>
          </w:p>
        </w:tc>
        <w:tc>
          <w:tcPr>
            <w:tcW w:w="999" w:type="pct"/>
            <w:tcBorders>
              <w:top w:val="nil"/>
              <w:left w:val="nil"/>
              <w:bottom w:val="single" w:sz="4" w:space="0" w:color="auto"/>
              <w:right w:val="single" w:sz="4" w:space="0" w:color="auto"/>
            </w:tcBorders>
            <w:vAlign w:val="center"/>
            <w:hideMark/>
          </w:tcPr>
          <w:p w14:paraId="51FF318A"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33%</w:t>
            </w:r>
          </w:p>
        </w:tc>
        <w:tc>
          <w:tcPr>
            <w:tcW w:w="1115" w:type="pct"/>
            <w:tcBorders>
              <w:top w:val="nil"/>
              <w:left w:val="nil"/>
              <w:bottom w:val="single" w:sz="4" w:space="0" w:color="auto"/>
              <w:right w:val="single" w:sz="4" w:space="0" w:color="auto"/>
            </w:tcBorders>
            <w:vAlign w:val="center"/>
            <w:hideMark/>
          </w:tcPr>
          <w:p w14:paraId="461C57E5"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r>
      <w:tr w:rsidR="00C2388D" w14:paraId="15CFACE1" w14:textId="77777777" w:rsidTr="00C2388D">
        <w:trPr>
          <w:trHeight w:val="630"/>
        </w:trPr>
        <w:tc>
          <w:tcPr>
            <w:tcW w:w="2886" w:type="pct"/>
            <w:tcBorders>
              <w:top w:val="nil"/>
              <w:left w:val="single" w:sz="4" w:space="0" w:color="auto"/>
              <w:bottom w:val="single" w:sz="4" w:space="0" w:color="auto"/>
              <w:right w:val="single" w:sz="4" w:space="0" w:color="auto"/>
            </w:tcBorders>
            <w:vAlign w:val="center"/>
            <w:hideMark/>
          </w:tcPr>
          <w:p w14:paraId="5C503B1D"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disposant des équipements requis</w:t>
            </w:r>
          </w:p>
        </w:tc>
        <w:tc>
          <w:tcPr>
            <w:tcW w:w="999" w:type="pct"/>
            <w:tcBorders>
              <w:top w:val="nil"/>
              <w:left w:val="nil"/>
              <w:bottom w:val="single" w:sz="4" w:space="0" w:color="auto"/>
              <w:right w:val="single" w:sz="4" w:space="0" w:color="auto"/>
            </w:tcBorders>
            <w:vAlign w:val="center"/>
            <w:hideMark/>
          </w:tcPr>
          <w:p w14:paraId="0CF8A460"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41%</w:t>
            </w:r>
          </w:p>
        </w:tc>
        <w:tc>
          <w:tcPr>
            <w:tcW w:w="1115" w:type="pct"/>
            <w:tcBorders>
              <w:top w:val="nil"/>
              <w:left w:val="nil"/>
              <w:bottom w:val="single" w:sz="4" w:space="0" w:color="auto"/>
              <w:right w:val="single" w:sz="4" w:space="0" w:color="auto"/>
            </w:tcBorders>
            <w:vAlign w:val="center"/>
            <w:hideMark/>
          </w:tcPr>
          <w:p w14:paraId="39C6AC60"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95%</w:t>
            </w:r>
          </w:p>
        </w:tc>
      </w:tr>
      <w:tr w:rsidR="00C2388D" w14:paraId="0556D0CE"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B27EA96"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disposant de chaine froid</w:t>
            </w:r>
          </w:p>
        </w:tc>
        <w:tc>
          <w:tcPr>
            <w:tcW w:w="999" w:type="pct"/>
            <w:tcBorders>
              <w:top w:val="nil"/>
              <w:left w:val="nil"/>
              <w:bottom w:val="single" w:sz="4" w:space="0" w:color="auto"/>
              <w:right w:val="single" w:sz="4" w:space="0" w:color="auto"/>
            </w:tcBorders>
            <w:vAlign w:val="center"/>
            <w:hideMark/>
          </w:tcPr>
          <w:p w14:paraId="255F54D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83%</w:t>
            </w:r>
          </w:p>
        </w:tc>
        <w:tc>
          <w:tcPr>
            <w:tcW w:w="1115" w:type="pct"/>
            <w:tcBorders>
              <w:top w:val="nil"/>
              <w:left w:val="nil"/>
              <w:bottom w:val="single" w:sz="4" w:space="0" w:color="auto"/>
              <w:right w:val="single" w:sz="4" w:space="0" w:color="auto"/>
            </w:tcBorders>
            <w:vAlign w:val="center"/>
            <w:hideMark/>
          </w:tcPr>
          <w:p w14:paraId="55464F23"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98%</w:t>
            </w:r>
          </w:p>
        </w:tc>
      </w:tr>
      <w:tr w:rsidR="00C2388D" w14:paraId="40D46354"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6E950F34"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disposant de MEG requis</w:t>
            </w:r>
          </w:p>
        </w:tc>
        <w:tc>
          <w:tcPr>
            <w:tcW w:w="999" w:type="pct"/>
            <w:tcBorders>
              <w:top w:val="nil"/>
              <w:left w:val="nil"/>
              <w:bottom w:val="single" w:sz="4" w:space="0" w:color="auto"/>
              <w:right w:val="single" w:sz="4" w:space="0" w:color="auto"/>
            </w:tcBorders>
            <w:vAlign w:val="center"/>
            <w:hideMark/>
          </w:tcPr>
          <w:p w14:paraId="677529B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15%</w:t>
            </w:r>
          </w:p>
        </w:tc>
        <w:tc>
          <w:tcPr>
            <w:tcW w:w="1115" w:type="pct"/>
            <w:tcBorders>
              <w:top w:val="nil"/>
              <w:left w:val="nil"/>
              <w:bottom w:val="single" w:sz="4" w:space="0" w:color="auto"/>
              <w:right w:val="single" w:sz="4" w:space="0" w:color="auto"/>
            </w:tcBorders>
            <w:vAlign w:val="center"/>
            <w:hideMark/>
          </w:tcPr>
          <w:p w14:paraId="14CE13A5"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63%</w:t>
            </w:r>
          </w:p>
        </w:tc>
      </w:tr>
      <w:tr w:rsidR="00C2388D" w14:paraId="4A6F2421" w14:textId="77777777" w:rsidTr="00C2388D">
        <w:trPr>
          <w:trHeight w:val="630"/>
        </w:trPr>
        <w:tc>
          <w:tcPr>
            <w:tcW w:w="5000" w:type="pct"/>
            <w:gridSpan w:val="3"/>
            <w:tcBorders>
              <w:top w:val="single" w:sz="4" w:space="0" w:color="auto"/>
              <w:left w:val="single" w:sz="4" w:space="0" w:color="auto"/>
              <w:bottom w:val="single" w:sz="4" w:space="0" w:color="auto"/>
              <w:right w:val="single" w:sz="4" w:space="0" w:color="000000"/>
            </w:tcBorders>
            <w:shd w:val="clear" w:color="auto" w:fill="FCE4D6"/>
            <w:vAlign w:val="center"/>
            <w:hideMark/>
          </w:tcPr>
          <w:p w14:paraId="2EF364CF" w14:textId="77777777" w:rsidR="00C2388D" w:rsidRDefault="00C2388D">
            <w:pPr>
              <w:spacing w:after="0" w:line="240" w:lineRule="auto"/>
              <w:rPr>
                <w:rFonts w:eastAsia="Times New Roman" w:cs="Calibri"/>
                <w:b/>
                <w:bCs/>
                <w:color w:val="000000"/>
                <w:szCs w:val="24"/>
                <w:lang w:eastAsia="fr-FR"/>
              </w:rPr>
            </w:pPr>
            <w:r>
              <w:rPr>
                <w:rFonts w:eastAsia="Times New Roman" w:cs="Calibri"/>
                <w:b/>
                <w:bCs/>
                <w:color w:val="000000"/>
                <w:szCs w:val="24"/>
                <w:lang w:eastAsia="fr-FR"/>
              </w:rPr>
              <w:t>5. Information sanitaire pour chaque échantillon par enquête</w:t>
            </w:r>
          </w:p>
        </w:tc>
      </w:tr>
      <w:tr w:rsidR="00C2388D" w14:paraId="51DE9582"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24C9D20B"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Taux de complétude de Rapport annuel</w:t>
            </w:r>
          </w:p>
        </w:tc>
        <w:tc>
          <w:tcPr>
            <w:tcW w:w="999" w:type="pct"/>
            <w:tcBorders>
              <w:top w:val="nil"/>
              <w:left w:val="nil"/>
              <w:bottom w:val="single" w:sz="4" w:space="0" w:color="auto"/>
              <w:right w:val="single" w:sz="4" w:space="0" w:color="auto"/>
            </w:tcBorders>
            <w:vAlign w:val="center"/>
            <w:hideMark/>
          </w:tcPr>
          <w:p w14:paraId="6D8BB17B"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c>
          <w:tcPr>
            <w:tcW w:w="1115" w:type="pct"/>
            <w:tcBorders>
              <w:top w:val="nil"/>
              <w:left w:val="nil"/>
              <w:bottom w:val="single" w:sz="4" w:space="0" w:color="auto"/>
              <w:right w:val="single" w:sz="4" w:space="0" w:color="auto"/>
            </w:tcBorders>
            <w:vAlign w:val="center"/>
            <w:hideMark/>
          </w:tcPr>
          <w:p w14:paraId="2324B272"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w:t>
            </w:r>
          </w:p>
        </w:tc>
      </w:tr>
      <w:tr w:rsidR="00C2388D" w14:paraId="1BEE8351"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631A6AC0"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Taux de complétude de Rapports </w:t>
            </w:r>
            <w:proofErr w:type="spellStart"/>
            <w:r>
              <w:rPr>
                <w:rFonts w:eastAsia="Times New Roman" w:cs="Calibri"/>
                <w:color w:val="000000"/>
                <w:szCs w:val="24"/>
                <w:lang w:eastAsia="fr-FR"/>
              </w:rPr>
              <w:t>SNIS</w:t>
            </w:r>
            <w:proofErr w:type="spellEnd"/>
          </w:p>
        </w:tc>
        <w:tc>
          <w:tcPr>
            <w:tcW w:w="999" w:type="pct"/>
            <w:tcBorders>
              <w:top w:val="nil"/>
              <w:left w:val="nil"/>
              <w:bottom w:val="single" w:sz="4" w:space="0" w:color="auto"/>
              <w:right w:val="single" w:sz="4" w:space="0" w:color="auto"/>
            </w:tcBorders>
            <w:vAlign w:val="center"/>
            <w:hideMark/>
          </w:tcPr>
          <w:p w14:paraId="077E2F61"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c>
          <w:tcPr>
            <w:tcW w:w="1115" w:type="pct"/>
            <w:tcBorders>
              <w:top w:val="nil"/>
              <w:left w:val="nil"/>
              <w:bottom w:val="single" w:sz="4" w:space="0" w:color="auto"/>
              <w:right w:val="single" w:sz="4" w:space="0" w:color="auto"/>
            </w:tcBorders>
            <w:vAlign w:val="center"/>
            <w:hideMark/>
          </w:tcPr>
          <w:p w14:paraId="0EEC57BC"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r>
      <w:tr w:rsidR="00C2388D" w14:paraId="20CC1C6A"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283080DC"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Taux de fourniture de Rapport de recherche</w:t>
            </w:r>
          </w:p>
        </w:tc>
        <w:tc>
          <w:tcPr>
            <w:tcW w:w="999" w:type="pct"/>
            <w:tcBorders>
              <w:top w:val="nil"/>
              <w:left w:val="nil"/>
              <w:bottom w:val="single" w:sz="4" w:space="0" w:color="auto"/>
              <w:right w:val="single" w:sz="4" w:space="0" w:color="auto"/>
            </w:tcBorders>
            <w:vAlign w:val="center"/>
            <w:hideMark/>
          </w:tcPr>
          <w:p w14:paraId="67CC47DE"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83%</w:t>
            </w:r>
          </w:p>
        </w:tc>
        <w:tc>
          <w:tcPr>
            <w:tcW w:w="1115" w:type="pct"/>
            <w:tcBorders>
              <w:top w:val="nil"/>
              <w:left w:val="nil"/>
              <w:bottom w:val="single" w:sz="4" w:space="0" w:color="auto"/>
              <w:right w:val="single" w:sz="4" w:space="0" w:color="auto"/>
            </w:tcBorders>
            <w:vAlign w:val="center"/>
            <w:hideMark/>
          </w:tcPr>
          <w:p w14:paraId="22EE089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w:t>
            </w:r>
          </w:p>
        </w:tc>
      </w:tr>
      <w:tr w:rsidR="00C2388D" w14:paraId="38D15FE7"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16AD1A5"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Fréquence de réalisation des monitorages</w:t>
            </w:r>
          </w:p>
        </w:tc>
        <w:tc>
          <w:tcPr>
            <w:tcW w:w="999" w:type="pct"/>
            <w:tcBorders>
              <w:top w:val="nil"/>
              <w:left w:val="nil"/>
              <w:bottom w:val="single" w:sz="4" w:space="0" w:color="auto"/>
              <w:right w:val="single" w:sz="4" w:space="0" w:color="auto"/>
            </w:tcBorders>
            <w:vAlign w:val="center"/>
            <w:hideMark/>
          </w:tcPr>
          <w:p w14:paraId="09F97731"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c>
          <w:tcPr>
            <w:tcW w:w="1115" w:type="pct"/>
            <w:tcBorders>
              <w:top w:val="nil"/>
              <w:left w:val="nil"/>
              <w:bottom w:val="single" w:sz="4" w:space="0" w:color="auto"/>
              <w:right w:val="single" w:sz="4" w:space="0" w:color="auto"/>
            </w:tcBorders>
            <w:vAlign w:val="center"/>
            <w:hideMark/>
          </w:tcPr>
          <w:p w14:paraId="425E5AE2"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r>
      <w:tr w:rsidR="00C2388D" w14:paraId="1B5B0802"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358E58D"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Fréquence de réalisation des supervisions intégrées</w:t>
            </w:r>
          </w:p>
        </w:tc>
        <w:tc>
          <w:tcPr>
            <w:tcW w:w="999" w:type="pct"/>
            <w:tcBorders>
              <w:top w:val="nil"/>
              <w:left w:val="nil"/>
              <w:bottom w:val="single" w:sz="4" w:space="0" w:color="auto"/>
              <w:right w:val="single" w:sz="4" w:space="0" w:color="auto"/>
            </w:tcBorders>
            <w:vAlign w:val="center"/>
            <w:hideMark/>
          </w:tcPr>
          <w:p w14:paraId="146B3AC0"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62%</w:t>
            </w:r>
          </w:p>
        </w:tc>
        <w:tc>
          <w:tcPr>
            <w:tcW w:w="1115" w:type="pct"/>
            <w:tcBorders>
              <w:top w:val="nil"/>
              <w:left w:val="nil"/>
              <w:bottom w:val="single" w:sz="4" w:space="0" w:color="auto"/>
              <w:right w:val="single" w:sz="4" w:space="0" w:color="auto"/>
            </w:tcBorders>
            <w:vAlign w:val="center"/>
            <w:hideMark/>
          </w:tcPr>
          <w:p w14:paraId="70B99A22"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50%</w:t>
            </w:r>
          </w:p>
        </w:tc>
      </w:tr>
      <w:tr w:rsidR="00C2388D" w14:paraId="07B57BF5" w14:textId="77777777" w:rsidTr="00C2388D">
        <w:trPr>
          <w:trHeight w:val="630"/>
        </w:trPr>
        <w:tc>
          <w:tcPr>
            <w:tcW w:w="5000" w:type="pct"/>
            <w:gridSpan w:val="3"/>
            <w:tcBorders>
              <w:top w:val="single" w:sz="4" w:space="0" w:color="auto"/>
              <w:left w:val="single" w:sz="4" w:space="0" w:color="auto"/>
              <w:bottom w:val="single" w:sz="4" w:space="0" w:color="auto"/>
              <w:right w:val="single" w:sz="4" w:space="0" w:color="000000"/>
            </w:tcBorders>
            <w:shd w:val="clear" w:color="auto" w:fill="FCE4D6"/>
            <w:vAlign w:val="center"/>
            <w:hideMark/>
          </w:tcPr>
          <w:p w14:paraId="0E4EFFBC" w14:textId="77777777" w:rsidR="00C2388D" w:rsidRDefault="00C2388D">
            <w:pPr>
              <w:spacing w:after="0" w:line="240" w:lineRule="auto"/>
              <w:rPr>
                <w:rFonts w:eastAsia="Times New Roman" w:cs="Calibri"/>
                <w:b/>
                <w:bCs/>
                <w:color w:val="000000"/>
                <w:szCs w:val="24"/>
                <w:lang w:eastAsia="fr-FR"/>
              </w:rPr>
            </w:pPr>
            <w:r>
              <w:rPr>
                <w:rFonts w:eastAsia="Times New Roman" w:cs="Calibri"/>
                <w:b/>
                <w:bCs/>
                <w:color w:val="000000"/>
                <w:szCs w:val="24"/>
                <w:lang w:eastAsia="fr-FR"/>
              </w:rPr>
              <w:t>6. Prestations de services pour chaque échantillon par enquête</w:t>
            </w:r>
          </w:p>
        </w:tc>
      </w:tr>
      <w:tr w:rsidR="00C2388D" w14:paraId="63B52DC4"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861235E"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Consultation curative NC/an/hbt</w:t>
            </w:r>
          </w:p>
        </w:tc>
        <w:tc>
          <w:tcPr>
            <w:tcW w:w="999" w:type="pct"/>
            <w:tcBorders>
              <w:top w:val="nil"/>
              <w:left w:val="nil"/>
              <w:bottom w:val="single" w:sz="4" w:space="0" w:color="auto"/>
              <w:right w:val="single" w:sz="4" w:space="0" w:color="auto"/>
            </w:tcBorders>
            <w:vAlign w:val="center"/>
            <w:hideMark/>
          </w:tcPr>
          <w:p w14:paraId="2196C449"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0,3</w:t>
            </w:r>
          </w:p>
        </w:tc>
        <w:tc>
          <w:tcPr>
            <w:tcW w:w="1115" w:type="pct"/>
            <w:tcBorders>
              <w:top w:val="nil"/>
              <w:left w:val="nil"/>
              <w:bottom w:val="single" w:sz="4" w:space="0" w:color="auto"/>
              <w:right w:val="single" w:sz="4" w:space="0" w:color="auto"/>
            </w:tcBorders>
            <w:vAlign w:val="center"/>
            <w:hideMark/>
          </w:tcPr>
          <w:p w14:paraId="2FF4F704"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0,45</w:t>
            </w:r>
          </w:p>
        </w:tc>
      </w:tr>
      <w:tr w:rsidR="00C2388D" w14:paraId="35596359" w14:textId="77777777" w:rsidTr="00C2388D">
        <w:trPr>
          <w:trHeight w:val="630"/>
        </w:trPr>
        <w:tc>
          <w:tcPr>
            <w:tcW w:w="2886" w:type="pct"/>
            <w:tcBorders>
              <w:top w:val="nil"/>
              <w:left w:val="single" w:sz="4" w:space="0" w:color="auto"/>
              <w:bottom w:val="single" w:sz="4" w:space="0" w:color="auto"/>
              <w:right w:val="single" w:sz="4" w:space="0" w:color="auto"/>
            </w:tcBorders>
            <w:vAlign w:val="center"/>
            <w:hideMark/>
          </w:tcPr>
          <w:p w14:paraId="38A9A5D3"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offrant le paquet de services essentiels de santé (PMA)</w:t>
            </w:r>
          </w:p>
        </w:tc>
        <w:tc>
          <w:tcPr>
            <w:tcW w:w="999" w:type="pct"/>
            <w:tcBorders>
              <w:top w:val="nil"/>
              <w:left w:val="nil"/>
              <w:bottom w:val="single" w:sz="4" w:space="0" w:color="auto"/>
              <w:right w:val="single" w:sz="4" w:space="0" w:color="auto"/>
            </w:tcBorders>
            <w:vAlign w:val="center"/>
            <w:hideMark/>
          </w:tcPr>
          <w:p w14:paraId="5F4B5F8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85%</w:t>
            </w:r>
          </w:p>
        </w:tc>
        <w:tc>
          <w:tcPr>
            <w:tcW w:w="1115" w:type="pct"/>
            <w:tcBorders>
              <w:top w:val="nil"/>
              <w:left w:val="nil"/>
              <w:bottom w:val="single" w:sz="4" w:space="0" w:color="auto"/>
              <w:right w:val="single" w:sz="4" w:space="0" w:color="auto"/>
            </w:tcBorders>
            <w:vAlign w:val="center"/>
            <w:hideMark/>
          </w:tcPr>
          <w:p w14:paraId="699C89A5"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100%</w:t>
            </w:r>
          </w:p>
        </w:tc>
      </w:tr>
      <w:tr w:rsidR="00C2388D" w14:paraId="0494E103"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41451018"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 de formations sanitaires offrant un </w:t>
            </w:r>
            <w:proofErr w:type="spellStart"/>
            <w:r>
              <w:rPr>
                <w:rFonts w:eastAsia="Times New Roman" w:cs="Calibri"/>
                <w:color w:val="000000"/>
                <w:szCs w:val="24"/>
                <w:lang w:eastAsia="fr-FR"/>
              </w:rPr>
              <w:t>SONUC</w:t>
            </w:r>
            <w:proofErr w:type="spellEnd"/>
            <w:r>
              <w:rPr>
                <w:rFonts w:eastAsia="Times New Roman" w:cs="Calibri"/>
                <w:color w:val="000000"/>
                <w:szCs w:val="24"/>
                <w:lang w:eastAsia="fr-FR"/>
              </w:rPr>
              <w:t xml:space="preserve"> complet</w:t>
            </w:r>
          </w:p>
        </w:tc>
        <w:tc>
          <w:tcPr>
            <w:tcW w:w="999" w:type="pct"/>
            <w:tcBorders>
              <w:top w:val="nil"/>
              <w:left w:val="nil"/>
              <w:bottom w:val="single" w:sz="4" w:space="0" w:color="auto"/>
              <w:right w:val="single" w:sz="4" w:space="0" w:color="auto"/>
            </w:tcBorders>
            <w:vAlign w:val="center"/>
            <w:hideMark/>
          </w:tcPr>
          <w:p w14:paraId="11873C7E"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76%</w:t>
            </w:r>
          </w:p>
        </w:tc>
        <w:tc>
          <w:tcPr>
            <w:tcW w:w="1115" w:type="pct"/>
            <w:tcBorders>
              <w:top w:val="nil"/>
              <w:left w:val="nil"/>
              <w:bottom w:val="single" w:sz="4" w:space="0" w:color="auto"/>
              <w:right w:val="single" w:sz="4" w:space="0" w:color="auto"/>
            </w:tcBorders>
            <w:vAlign w:val="center"/>
            <w:hideMark/>
          </w:tcPr>
          <w:p w14:paraId="0C28641A"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95%</w:t>
            </w:r>
          </w:p>
        </w:tc>
      </w:tr>
      <w:tr w:rsidR="00C2388D" w14:paraId="5ED6EBB3"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E88DFF8"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offrant MII</w:t>
            </w:r>
          </w:p>
        </w:tc>
        <w:tc>
          <w:tcPr>
            <w:tcW w:w="999" w:type="pct"/>
            <w:tcBorders>
              <w:top w:val="nil"/>
              <w:left w:val="nil"/>
              <w:bottom w:val="single" w:sz="4" w:space="0" w:color="auto"/>
              <w:right w:val="single" w:sz="4" w:space="0" w:color="auto"/>
            </w:tcBorders>
            <w:vAlign w:val="center"/>
            <w:hideMark/>
          </w:tcPr>
          <w:p w14:paraId="4405098E"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91%</w:t>
            </w:r>
          </w:p>
        </w:tc>
        <w:tc>
          <w:tcPr>
            <w:tcW w:w="1115" w:type="pct"/>
            <w:tcBorders>
              <w:top w:val="nil"/>
              <w:left w:val="nil"/>
              <w:bottom w:val="single" w:sz="4" w:space="0" w:color="auto"/>
              <w:right w:val="single" w:sz="4" w:space="0" w:color="auto"/>
            </w:tcBorders>
            <w:vAlign w:val="center"/>
            <w:hideMark/>
          </w:tcPr>
          <w:p w14:paraId="104C6BF9"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92%</w:t>
            </w:r>
          </w:p>
        </w:tc>
      </w:tr>
      <w:tr w:rsidR="00C2388D" w14:paraId="47F9EABC"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761D0D5D"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offrant CTA</w:t>
            </w:r>
          </w:p>
        </w:tc>
        <w:tc>
          <w:tcPr>
            <w:tcW w:w="999" w:type="pct"/>
            <w:tcBorders>
              <w:top w:val="nil"/>
              <w:left w:val="nil"/>
              <w:bottom w:val="single" w:sz="4" w:space="0" w:color="auto"/>
              <w:right w:val="single" w:sz="4" w:space="0" w:color="auto"/>
            </w:tcBorders>
            <w:vAlign w:val="center"/>
            <w:hideMark/>
          </w:tcPr>
          <w:p w14:paraId="539692BC"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98%</w:t>
            </w:r>
          </w:p>
        </w:tc>
        <w:tc>
          <w:tcPr>
            <w:tcW w:w="1115" w:type="pct"/>
            <w:tcBorders>
              <w:top w:val="nil"/>
              <w:left w:val="nil"/>
              <w:bottom w:val="single" w:sz="4" w:space="0" w:color="auto"/>
              <w:right w:val="single" w:sz="4" w:space="0" w:color="auto"/>
            </w:tcBorders>
            <w:vAlign w:val="center"/>
            <w:hideMark/>
          </w:tcPr>
          <w:p w14:paraId="52880A24"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98%</w:t>
            </w:r>
          </w:p>
        </w:tc>
      </w:tr>
      <w:tr w:rsidR="00C2388D" w14:paraId="6C01B0E4"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9AEF81A"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offrant TPI</w:t>
            </w:r>
          </w:p>
        </w:tc>
        <w:tc>
          <w:tcPr>
            <w:tcW w:w="999" w:type="pct"/>
            <w:tcBorders>
              <w:top w:val="nil"/>
              <w:left w:val="nil"/>
              <w:bottom w:val="single" w:sz="4" w:space="0" w:color="auto"/>
              <w:right w:val="single" w:sz="4" w:space="0" w:color="auto"/>
            </w:tcBorders>
            <w:vAlign w:val="center"/>
            <w:hideMark/>
          </w:tcPr>
          <w:p w14:paraId="2870D410"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92%</w:t>
            </w:r>
          </w:p>
        </w:tc>
        <w:tc>
          <w:tcPr>
            <w:tcW w:w="1115" w:type="pct"/>
            <w:tcBorders>
              <w:top w:val="nil"/>
              <w:left w:val="nil"/>
              <w:bottom w:val="single" w:sz="4" w:space="0" w:color="auto"/>
              <w:right w:val="single" w:sz="4" w:space="0" w:color="auto"/>
            </w:tcBorders>
            <w:vAlign w:val="center"/>
            <w:hideMark/>
          </w:tcPr>
          <w:p w14:paraId="0B8442C2"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92%</w:t>
            </w:r>
          </w:p>
        </w:tc>
      </w:tr>
      <w:tr w:rsidR="00C2388D" w14:paraId="147A81A0"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17EBFF4F"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offrant Dépistage VIH</w:t>
            </w:r>
          </w:p>
        </w:tc>
        <w:tc>
          <w:tcPr>
            <w:tcW w:w="999" w:type="pct"/>
            <w:tcBorders>
              <w:top w:val="nil"/>
              <w:left w:val="nil"/>
              <w:bottom w:val="single" w:sz="4" w:space="0" w:color="auto"/>
              <w:right w:val="single" w:sz="4" w:space="0" w:color="auto"/>
            </w:tcBorders>
            <w:vAlign w:val="center"/>
            <w:hideMark/>
          </w:tcPr>
          <w:p w14:paraId="53AE4381"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98%</w:t>
            </w:r>
          </w:p>
        </w:tc>
        <w:tc>
          <w:tcPr>
            <w:tcW w:w="1115" w:type="pct"/>
            <w:tcBorders>
              <w:top w:val="nil"/>
              <w:left w:val="nil"/>
              <w:bottom w:val="single" w:sz="4" w:space="0" w:color="auto"/>
              <w:right w:val="single" w:sz="4" w:space="0" w:color="auto"/>
            </w:tcBorders>
            <w:vAlign w:val="center"/>
            <w:hideMark/>
          </w:tcPr>
          <w:p w14:paraId="5F60827B"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98%</w:t>
            </w:r>
          </w:p>
        </w:tc>
      </w:tr>
      <w:tr w:rsidR="00C2388D" w14:paraId="7712AFAA"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3ACBA1E7"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 de formations sanitaires offrant </w:t>
            </w:r>
            <w:proofErr w:type="spellStart"/>
            <w:r>
              <w:rPr>
                <w:rFonts w:eastAsia="Times New Roman" w:cs="Calibri"/>
                <w:color w:val="000000"/>
                <w:szCs w:val="24"/>
                <w:lang w:eastAsia="fr-FR"/>
              </w:rPr>
              <w:t>ARV</w:t>
            </w:r>
            <w:proofErr w:type="spellEnd"/>
          </w:p>
        </w:tc>
        <w:tc>
          <w:tcPr>
            <w:tcW w:w="999" w:type="pct"/>
            <w:tcBorders>
              <w:top w:val="nil"/>
              <w:left w:val="nil"/>
              <w:bottom w:val="single" w:sz="4" w:space="0" w:color="auto"/>
              <w:right w:val="single" w:sz="4" w:space="0" w:color="auto"/>
            </w:tcBorders>
            <w:vAlign w:val="center"/>
            <w:hideMark/>
          </w:tcPr>
          <w:p w14:paraId="310EFF66"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21%</w:t>
            </w:r>
          </w:p>
        </w:tc>
        <w:tc>
          <w:tcPr>
            <w:tcW w:w="1115" w:type="pct"/>
            <w:tcBorders>
              <w:top w:val="nil"/>
              <w:left w:val="nil"/>
              <w:bottom w:val="single" w:sz="4" w:space="0" w:color="auto"/>
              <w:right w:val="single" w:sz="4" w:space="0" w:color="auto"/>
            </w:tcBorders>
            <w:vAlign w:val="center"/>
            <w:hideMark/>
          </w:tcPr>
          <w:p w14:paraId="2768B5C9"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21%</w:t>
            </w:r>
          </w:p>
        </w:tc>
      </w:tr>
      <w:tr w:rsidR="00C2388D" w14:paraId="7FFFF8E7"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22EA102F"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de formations sanitaires offrant DOTS</w:t>
            </w:r>
          </w:p>
        </w:tc>
        <w:tc>
          <w:tcPr>
            <w:tcW w:w="999" w:type="pct"/>
            <w:tcBorders>
              <w:top w:val="nil"/>
              <w:left w:val="nil"/>
              <w:bottom w:val="single" w:sz="4" w:space="0" w:color="auto"/>
              <w:right w:val="single" w:sz="4" w:space="0" w:color="auto"/>
            </w:tcBorders>
            <w:vAlign w:val="center"/>
            <w:hideMark/>
          </w:tcPr>
          <w:p w14:paraId="087BA5A2"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w:t>
            </w:r>
          </w:p>
        </w:tc>
        <w:tc>
          <w:tcPr>
            <w:tcW w:w="1115" w:type="pct"/>
            <w:tcBorders>
              <w:top w:val="nil"/>
              <w:left w:val="nil"/>
              <w:bottom w:val="single" w:sz="4" w:space="0" w:color="auto"/>
              <w:right w:val="single" w:sz="4" w:space="0" w:color="auto"/>
            </w:tcBorders>
            <w:vAlign w:val="center"/>
            <w:hideMark/>
          </w:tcPr>
          <w:p w14:paraId="0A8DE111"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0</w:t>
            </w:r>
          </w:p>
        </w:tc>
      </w:tr>
      <w:tr w:rsidR="00C2388D" w14:paraId="63EEB396"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19FCAACF"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 de formations sanitaires offrant </w:t>
            </w:r>
            <w:proofErr w:type="spellStart"/>
            <w:r>
              <w:rPr>
                <w:rFonts w:eastAsia="Times New Roman" w:cs="Calibri"/>
                <w:color w:val="000000"/>
                <w:szCs w:val="24"/>
                <w:lang w:eastAsia="fr-FR"/>
              </w:rPr>
              <w:t>PCIME</w:t>
            </w:r>
            <w:proofErr w:type="spellEnd"/>
          </w:p>
        </w:tc>
        <w:tc>
          <w:tcPr>
            <w:tcW w:w="999" w:type="pct"/>
            <w:tcBorders>
              <w:top w:val="nil"/>
              <w:left w:val="nil"/>
              <w:bottom w:val="single" w:sz="4" w:space="0" w:color="auto"/>
              <w:right w:val="single" w:sz="4" w:space="0" w:color="auto"/>
            </w:tcBorders>
            <w:vAlign w:val="center"/>
            <w:hideMark/>
          </w:tcPr>
          <w:p w14:paraId="0D318877"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98%</w:t>
            </w:r>
          </w:p>
        </w:tc>
        <w:tc>
          <w:tcPr>
            <w:tcW w:w="1115" w:type="pct"/>
            <w:tcBorders>
              <w:top w:val="nil"/>
              <w:left w:val="nil"/>
              <w:bottom w:val="single" w:sz="4" w:space="0" w:color="auto"/>
              <w:right w:val="single" w:sz="4" w:space="0" w:color="auto"/>
            </w:tcBorders>
            <w:vAlign w:val="center"/>
            <w:hideMark/>
          </w:tcPr>
          <w:p w14:paraId="404CF8B9"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98%</w:t>
            </w:r>
          </w:p>
        </w:tc>
      </w:tr>
      <w:tr w:rsidR="00C2388D" w14:paraId="381FAFB6"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576C6E49"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Taux couverture DTC3/Penta3</w:t>
            </w:r>
          </w:p>
        </w:tc>
        <w:tc>
          <w:tcPr>
            <w:tcW w:w="999" w:type="pct"/>
            <w:tcBorders>
              <w:top w:val="nil"/>
              <w:left w:val="nil"/>
              <w:bottom w:val="single" w:sz="4" w:space="0" w:color="auto"/>
              <w:right w:val="single" w:sz="4" w:space="0" w:color="auto"/>
            </w:tcBorders>
            <w:vAlign w:val="center"/>
            <w:hideMark/>
          </w:tcPr>
          <w:p w14:paraId="75CFDCD4"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90%</w:t>
            </w:r>
          </w:p>
        </w:tc>
        <w:tc>
          <w:tcPr>
            <w:tcW w:w="1115" w:type="pct"/>
            <w:tcBorders>
              <w:top w:val="nil"/>
              <w:left w:val="nil"/>
              <w:bottom w:val="single" w:sz="4" w:space="0" w:color="auto"/>
              <w:right w:val="single" w:sz="4" w:space="0" w:color="auto"/>
            </w:tcBorders>
            <w:vAlign w:val="center"/>
            <w:hideMark/>
          </w:tcPr>
          <w:p w14:paraId="4257A9F3"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81%</w:t>
            </w:r>
          </w:p>
        </w:tc>
      </w:tr>
      <w:tr w:rsidR="00C2388D" w14:paraId="79427AA9"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32A4AA31"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Taux couverture rougeole </w:t>
            </w:r>
          </w:p>
        </w:tc>
        <w:tc>
          <w:tcPr>
            <w:tcW w:w="999" w:type="pct"/>
            <w:tcBorders>
              <w:top w:val="nil"/>
              <w:left w:val="nil"/>
              <w:bottom w:val="single" w:sz="4" w:space="0" w:color="auto"/>
              <w:right w:val="single" w:sz="4" w:space="0" w:color="auto"/>
            </w:tcBorders>
            <w:vAlign w:val="center"/>
            <w:hideMark/>
          </w:tcPr>
          <w:p w14:paraId="7221E1CE"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81%</w:t>
            </w:r>
          </w:p>
        </w:tc>
        <w:tc>
          <w:tcPr>
            <w:tcW w:w="1115" w:type="pct"/>
            <w:tcBorders>
              <w:top w:val="nil"/>
              <w:left w:val="nil"/>
              <w:bottom w:val="single" w:sz="4" w:space="0" w:color="auto"/>
              <w:right w:val="single" w:sz="4" w:space="0" w:color="auto"/>
            </w:tcBorders>
            <w:vAlign w:val="center"/>
            <w:hideMark/>
          </w:tcPr>
          <w:p w14:paraId="18E08B08"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91%</w:t>
            </w:r>
          </w:p>
        </w:tc>
      </w:tr>
      <w:tr w:rsidR="00C2388D" w14:paraId="1A8F426F"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06688D8C"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Taux couverture CPN </w:t>
            </w:r>
          </w:p>
        </w:tc>
        <w:tc>
          <w:tcPr>
            <w:tcW w:w="999" w:type="pct"/>
            <w:tcBorders>
              <w:top w:val="nil"/>
              <w:left w:val="nil"/>
              <w:bottom w:val="single" w:sz="4" w:space="0" w:color="auto"/>
              <w:right w:val="single" w:sz="4" w:space="0" w:color="auto"/>
            </w:tcBorders>
            <w:vAlign w:val="center"/>
            <w:hideMark/>
          </w:tcPr>
          <w:p w14:paraId="740AF9EA"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89%</w:t>
            </w:r>
          </w:p>
        </w:tc>
        <w:tc>
          <w:tcPr>
            <w:tcW w:w="1115" w:type="pct"/>
            <w:tcBorders>
              <w:top w:val="nil"/>
              <w:left w:val="nil"/>
              <w:bottom w:val="single" w:sz="4" w:space="0" w:color="auto"/>
              <w:right w:val="single" w:sz="4" w:space="0" w:color="auto"/>
            </w:tcBorders>
            <w:vAlign w:val="center"/>
            <w:hideMark/>
          </w:tcPr>
          <w:p w14:paraId="64227FD7"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89%</w:t>
            </w:r>
          </w:p>
        </w:tc>
      </w:tr>
      <w:tr w:rsidR="00C2388D" w14:paraId="5DE354B0"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04F46250"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Taux couverture accouchement assisté </w:t>
            </w:r>
          </w:p>
        </w:tc>
        <w:tc>
          <w:tcPr>
            <w:tcW w:w="999" w:type="pct"/>
            <w:tcBorders>
              <w:top w:val="nil"/>
              <w:left w:val="nil"/>
              <w:bottom w:val="single" w:sz="4" w:space="0" w:color="auto"/>
              <w:right w:val="single" w:sz="4" w:space="0" w:color="auto"/>
            </w:tcBorders>
            <w:vAlign w:val="center"/>
            <w:hideMark/>
          </w:tcPr>
          <w:p w14:paraId="2E6C3D34"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90%</w:t>
            </w:r>
          </w:p>
        </w:tc>
        <w:tc>
          <w:tcPr>
            <w:tcW w:w="1115" w:type="pct"/>
            <w:tcBorders>
              <w:top w:val="nil"/>
              <w:left w:val="nil"/>
              <w:bottom w:val="single" w:sz="4" w:space="0" w:color="auto"/>
              <w:right w:val="single" w:sz="4" w:space="0" w:color="auto"/>
            </w:tcBorders>
            <w:vAlign w:val="center"/>
            <w:hideMark/>
          </w:tcPr>
          <w:p w14:paraId="0974B8D4"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90%</w:t>
            </w:r>
          </w:p>
        </w:tc>
      </w:tr>
      <w:tr w:rsidR="00C2388D" w14:paraId="4E3DB41A"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7534BC33"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Taux couverture PF </w:t>
            </w:r>
          </w:p>
        </w:tc>
        <w:tc>
          <w:tcPr>
            <w:tcW w:w="999" w:type="pct"/>
            <w:tcBorders>
              <w:top w:val="nil"/>
              <w:left w:val="nil"/>
              <w:bottom w:val="single" w:sz="4" w:space="0" w:color="auto"/>
              <w:right w:val="single" w:sz="4" w:space="0" w:color="auto"/>
            </w:tcBorders>
            <w:vAlign w:val="center"/>
            <w:hideMark/>
          </w:tcPr>
          <w:p w14:paraId="0324EFAF"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3,75%</w:t>
            </w:r>
          </w:p>
        </w:tc>
        <w:tc>
          <w:tcPr>
            <w:tcW w:w="1115" w:type="pct"/>
            <w:tcBorders>
              <w:top w:val="nil"/>
              <w:left w:val="nil"/>
              <w:bottom w:val="single" w:sz="4" w:space="0" w:color="auto"/>
              <w:right w:val="single" w:sz="4" w:space="0" w:color="auto"/>
            </w:tcBorders>
            <w:vAlign w:val="center"/>
            <w:hideMark/>
          </w:tcPr>
          <w:p w14:paraId="3B0BC97E"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38%</w:t>
            </w:r>
          </w:p>
        </w:tc>
      </w:tr>
      <w:tr w:rsidR="00C2388D" w14:paraId="14F56981" w14:textId="77777777" w:rsidTr="00C2388D">
        <w:trPr>
          <w:trHeight w:val="315"/>
        </w:trPr>
        <w:tc>
          <w:tcPr>
            <w:tcW w:w="2886" w:type="pct"/>
            <w:tcBorders>
              <w:top w:val="nil"/>
              <w:left w:val="single" w:sz="4" w:space="0" w:color="auto"/>
              <w:bottom w:val="single" w:sz="4" w:space="0" w:color="auto"/>
              <w:right w:val="single" w:sz="4" w:space="0" w:color="auto"/>
            </w:tcBorders>
            <w:vAlign w:val="center"/>
            <w:hideMark/>
          </w:tcPr>
          <w:p w14:paraId="3033254F" w14:textId="77777777" w:rsidR="00C2388D" w:rsidRDefault="00C2388D">
            <w:pPr>
              <w:spacing w:after="0" w:line="240" w:lineRule="auto"/>
              <w:rPr>
                <w:rFonts w:eastAsia="Times New Roman" w:cs="Calibri"/>
                <w:color w:val="000000"/>
                <w:szCs w:val="24"/>
                <w:lang w:eastAsia="fr-FR"/>
              </w:rPr>
            </w:pPr>
            <w:r>
              <w:rPr>
                <w:rFonts w:eastAsia="Times New Roman" w:cs="Calibri"/>
                <w:color w:val="000000"/>
                <w:szCs w:val="24"/>
                <w:lang w:eastAsia="fr-FR"/>
              </w:rPr>
              <w:t xml:space="preserve">Taux de césarienne </w:t>
            </w:r>
          </w:p>
        </w:tc>
        <w:tc>
          <w:tcPr>
            <w:tcW w:w="999" w:type="pct"/>
            <w:tcBorders>
              <w:top w:val="nil"/>
              <w:left w:val="nil"/>
              <w:bottom w:val="single" w:sz="4" w:space="0" w:color="auto"/>
              <w:right w:val="single" w:sz="4" w:space="0" w:color="auto"/>
            </w:tcBorders>
            <w:vAlign w:val="center"/>
            <w:hideMark/>
          </w:tcPr>
          <w:p w14:paraId="352B15B3"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4,25%</w:t>
            </w:r>
          </w:p>
        </w:tc>
        <w:tc>
          <w:tcPr>
            <w:tcW w:w="1115" w:type="pct"/>
            <w:tcBorders>
              <w:top w:val="nil"/>
              <w:left w:val="nil"/>
              <w:bottom w:val="single" w:sz="4" w:space="0" w:color="auto"/>
              <w:right w:val="single" w:sz="4" w:space="0" w:color="auto"/>
            </w:tcBorders>
            <w:vAlign w:val="center"/>
            <w:hideMark/>
          </w:tcPr>
          <w:p w14:paraId="50EC513D" w14:textId="77777777" w:rsidR="00C2388D" w:rsidRDefault="00C2388D">
            <w:pPr>
              <w:spacing w:after="0" w:line="240" w:lineRule="auto"/>
              <w:jc w:val="center"/>
              <w:rPr>
                <w:rFonts w:eastAsia="Times New Roman" w:cs="Calibri"/>
                <w:color w:val="000000"/>
                <w:szCs w:val="24"/>
                <w:lang w:eastAsia="fr-FR"/>
              </w:rPr>
            </w:pPr>
            <w:r>
              <w:rPr>
                <w:rFonts w:eastAsia="Times New Roman" w:cs="Calibri"/>
                <w:color w:val="000000"/>
                <w:szCs w:val="24"/>
                <w:lang w:eastAsia="fr-FR"/>
              </w:rPr>
              <w:t>4%</w:t>
            </w:r>
          </w:p>
        </w:tc>
      </w:tr>
    </w:tbl>
    <w:p w14:paraId="25DD3343" w14:textId="77777777" w:rsidR="00C2388D" w:rsidRDefault="00C2388D" w:rsidP="00C2388D">
      <w:pPr>
        <w:rPr>
          <w:rFonts w:eastAsia="Times New Roman" w:cs="Times New Roman"/>
          <w:bCs/>
          <w:color w:val="000000"/>
          <w:szCs w:val="24"/>
          <w:lang w:eastAsia="fr-FR"/>
        </w:rPr>
      </w:pPr>
      <w:r>
        <w:rPr>
          <w:rFonts w:eastAsia="Times New Roman" w:cs="Times New Roman"/>
          <w:bCs/>
          <w:color w:val="000000"/>
          <w:szCs w:val="24"/>
          <w:lang w:eastAsia="fr-FR"/>
        </w:rPr>
        <w:t>Trois évaluations ont été réalisées au cours de ces dix dernières années (2007, 2014 et 2020). La méthodologie utilisée en 2014 a consisté à une évaluation exhaustive de tous les districts du pays (38) rendant non comparables ces résultats à ceux obtenus à partir d’un échantillon constitué en 2007 (12 districts) et 2020 (16 districts). Les comparaisons portent alors sur les progrès enregistrés en 2007  et en 2020 de l’évaluation de la fonctionnalité des districts.</w:t>
      </w:r>
    </w:p>
    <w:p w14:paraId="32044A10" w14:textId="77777777" w:rsidR="00C2388D" w:rsidRDefault="00C2388D" w:rsidP="00C2388D">
      <w:pPr>
        <w:rPr>
          <w:rFonts w:eastAsia="Times New Roman" w:cs="Times New Roman"/>
          <w:bCs/>
          <w:color w:val="000000"/>
          <w:szCs w:val="24"/>
          <w:lang w:eastAsia="fr-FR"/>
        </w:rPr>
      </w:pPr>
      <w:r>
        <w:rPr>
          <w:rFonts w:eastAsia="Times New Roman" w:cs="Times New Roman"/>
          <w:bCs/>
          <w:color w:val="000000"/>
          <w:szCs w:val="24"/>
          <w:lang w:eastAsia="fr-FR"/>
        </w:rPr>
        <w:t>Les indicateurs de la fonctionnalité des districts concernent six domaines ; les caractéristiques, les structures et activités et gestion des districts, les ressources humaines pour la santé, les ressources financières de la santé, les infrastructures, équipements, MEG, Vaccins et Technologies et les prestations de services.</w:t>
      </w:r>
    </w:p>
    <w:p w14:paraId="699A0E8B" w14:textId="77777777" w:rsidR="00C2388D" w:rsidRDefault="00C2388D" w:rsidP="00C2388D">
      <w:pPr>
        <w:pStyle w:val="Titre2"/>
        <w:numPr>
          <w:ilvl w:val="1"/>
          <w:numId w:val="39"/>
        </w:numPr>
        <w:ind w:left="426" w:hanging="426"/>
        <w:rPr>
          <w:rFonts w:eastAsia="Times New Roman"/>
          <w:lang w:eastAsia="fr-FR"/>
        </w:rPr>
      </w:pPr>
      <w:bookmarkStart w:id="280" w:name="_Toc63233240"/>
      <w:r>
        <w:rPr>
          <w:rFonts w:eastAsia="Times New Roman"/>
          <w:lang w:eastAsia="fr-FR"/>
        </w:rPr>
        <w:t>Caractéristiques, structures, activités et gestion des districts</w:t>
      </w:r>
      <w:bookmarkEnd w:id="280"/>
    </w:p>
    <w:p w14:paraId="1126C9E1" w14:textId="77777777" w:rsidR="00C2388D" w:rsidRDefault="00C2388D" w:rsidP="00C2388D">
      <w:pPr>
        <w:rPr>
          <w:rFonts w:eastAsia="Times New Roman" w:cs="Times New Roman"/>
          <w:bCs/>
          <w:color w:val="000000"/>
          <w:szCs w:val="24"/>
          <w:lang w:eastAsia="fr-FR"/>
        </w:rPr>
      </w:pPr>
      <w:r>
        <w:rPr>
          <w:rFonts w:eastAsia="Times New Roman" w:cs="Times New Roman"/>
          <w:bCs/>
          <w:color w:val="000000"/>
          <w:szCs w:val="24"/>
          <w:lang w:eastAsia="fr-FR"/>
        </w:rPr>
        <w:t>On note une légère augmentation de la population d’une aire de santé : 25 315 en 2007 et 27843 en 2020 ceci s’explique par le fait que le nombre de centre de santé est resté le même alors que la population croît de 2.7% par an.</w:t>
      </w:r>
    </w:p>
    <w:p w14:paraId="181B7829" w14:textId="77777777" w:rsidR="00C2388D" w:rsidRDefault="00C2388D" w:rsidP="00C2388D">
      <w:pPr>
        <w:pStyle w:val="Titre2"/>
        <w:numPr>
          <w:ilvl w:val="1"/>
          <w:numId w:val="39"/>
        </w:numPr>
        <w:ind w:left="426" w:hanging="426"/>
      </w:pPr>
      <w:bookmarkStart w:id="281" w:name="_Toc63233241"/>
      <w:r>
        <w:rPr>
          <w:rFonts w:eastAsia="Times New Roman"/>
          <w:lang w:eastAsia="fr-FR"/>
        </w:rPr>
        <w:t>Ressources</w:t>
      </w:r>
      <w:r>
        <w:t xml:space="preserve"> Humaines pour la Santé</w:t>
      </w:r>
      <w:bookmarkEnd w:id="281"/>
    </w:p>
    <w:p w14:paraId="70DD71F1" w14:textId="77777777" w:rsidR="00C2388D" w:rsidRDefault="00C2388D" w:rsidP="00C2388D">
      <w:pPr>
        <w:rPr>
          <w:rFonts w:eastAsia="Times New Roman" w:cs="Times New Roman"/>
          <w:bCs/>
          <w:color w:val="000000"/>
          <w:szCs w:val="24"/>
          <w:lang w:eastAsia="fr-FR"/>
        </w:rPr>
      </w:pPr>
      <w:r>
        <w:rPr>
          <w:rFonts w:eastAsia="Times New Roman" w:cs="Times New Roman"/>
          <w:bCs/>
          <w:color w:val="000000"/>
          <w:szCs w:val="24"/>
          <w:lang w:eastAsia="fr-FR"/>
        </w:rPr>
        <w:t>La densité en médecins pour 10000 habitants est passée  de 0,8 en 2007 à 1 en 2020 ;  pour les infirmiers (ATS et Aides de santé) elle a considérablement augmenté de 4 infirmiers pour 10000 habitants en 2007 à 16 infirmiers pour 10000 habitants en 2020. Quant à la densité en sages-femmes pour 10000 habitants, elle a doublé allant de 0,4 sages-femmes en 2007 à 0,8 sages-femmes en 2020.</w:t>
      </w:r>
    </w:p>
    <w:p w14:paraId="7A691B77" w14:textId="77777777" w:rsidR="00C2388D" w:rsidRDefault="00C2388D" w:rsidP="00C2388D">
      <w:pPr>
        <w:rPr>
          <w:rFonts w:eastAsia="Times New Roman" w:cs="Times New Roman"/>
          <w:bCs/>
          <w:color w:val="000000"/>
          <w:szCs w:val="24"/>
          <w:lang w:eastAsia="fr-FR"/>
        </w:rPr>
      </w:pPr>
      <w:r>
        <w:rPr>
          <w:rFonts w:eastAsia="Times New Roman" w:cs="Times New Roman"/>
          <w:bCs/>
          <w:color w:val="000000"/>
          <w:szCs w:val="24"/>
          <w:lang w:eastAsia="fr-FR"/>
        </w:rPr>
        <w:t xml:space="preserve">Cette situation plutôt acceptable pour un pays comme le nôtre cache, cependant, de sérieux problèmes liés à la  distribution et aux compétences requises déjà analysés dans les différents rapports.   </w:t>
      </w:r>
    </w:p>
    <w:p w14:paraId="2D4F9A3E" w14:textId="77777777" w:rsidR="00C2388D" w:rsidRDefault="00C2388D" w:rsidP="00C2388D">
      <w:pPr>
        <w:pStyle w:val="Titre2"/>
        <w:numPr>
          <w:ilvl w:val="1"/>
          <w:numId w:val="39"/>
        </w:numPr>
        <w:ind w:left="426" w:hanging="426"/>
        <w:rPr>
          <w:rFonts w:eastAsia="Times New Roman"/>
          <w:lang w:eastAsia="fr-FR"/>
        </w:rPr>
      </w:pPr>
      <w:bookmarkStart w:id="282" w:name="_Toc63233242"/>
      <w:r>
        <w:rPr>
          <w:rFonts w:eastAsia="Times New Roman"/>
          <w:lang w:eastAsia="fr-FR"/>
        </w:rPr>
        <w:t>Ressources Financières de la santé</w:t>
      </w:r>
      <w:bookmarkEnd w:id="282"/>
    </w:p>
    <w:p w14:paraId="61DD19A8" w14:textId="77777777" w:rsidR="00C2388D" w:rsidRDefault="00C2388D" w:rsidP="00C2388D">
      <w:pPr>
        <w:rPr>
          <w:rFonts w:eastAsia="Times New Roman" w:cs="Times New Roman"/>
          <w:bCs/>
          <w:color w:val="000000"/>
          <w:szCs w:val="24"/>
          <w:lang w:eastAsia="fr-FR"/>
        </w:rPr>
      </w:pPr>
      <w:r>
        <w:rPr>
          <w:rFonts w:eastAsia="Times New Roman" w:cs="Times New Roman"/>
          <w:bCs/>
          <w:color w:val="000000"/>
          <w:szCs w:val="24"/>
          <w:lang w:eastAsia="fr-FR"/>
        </w:rPr>
        <w:t>Les documents de procédures de gestion financière ne sont pas systématique, les outils de gestion financière ne sont pas tenus régulièrement, il n’existe pas au niveau des DPS de comptable, la fonction est exécutée par des professionnels de la santé ou, au mieux, par les comptables des hôpitaux. Les montants inscrits pour les exercices budgétaires au profit des districts sont méconnus. Les états financiers de fin d’exercices budgétaires ne sont établis.</w:t>
      </w:r>
    </w:p>
    <w:p w14:paraId="7A2E39C3" w14:textId="77777777" w:rsidR="00C2388D" w:rsidRDefault="00C2388D" w:rsidP="00C2388D">
      <w:pPr>
        <w:pStyle w:val="Titre2"/>
        <w:numPr>
          <w:ilvl w:val="1"/>
          <w:numId w:val="39"/>
        </w:numPr>
        <w:ind w:left="426" w:hanging="426"/>
        <w:rPr>
          <w:rFonts w:eastAsia="Times New Roman"/>
          <w:lang w:eastAsia="fr-FR"/>
        </w:rPr>
      </w:pPr>
      <w:bookmarkStart w:id="283" w:name="_Toc63233243"/>
      <w:r>
        <w:rPr>
          <w:rFonts w:eastAsia="Times New Roman"/>
          <w:lang w:eastAsia="fr-FR"/>
        </w:rPr>
        <w:t xml:space="preserve">Infrastructures, </w:t>
      </w:r>
      <w:proofErr w:type="spellStart"/>
      <w:r>
        <w:rPr>
          <w:rFonts w:eastAsia="Times New Roman"/>
          <w:lang w:eastAsia="fr-FR"/>
        </w:rPr>
        <w:t>Equipements</w:t>
      </w:r>
      <w:proofErr w:type="spellEnd"/>
      <w:r>
        <w:rPr>
          <w:rFonts w:eastAsia="Times New Roman"/>
          <w:lang w:eastAsia="fr-FR"/>
        </w:rPr>
        <w:t>, MEG, Vaccins, Technologies</w:t>
      </w:r>
      <w:bookmarkEnd w:id="283"/>
    </w:p>
    <w:p w14:paraId="5A6AF815" w14:textId="77777777" w:rsidR="00C2388D" w:rsidRDefault="00C2388D" w:rsidP="00C2388D">
      <w:pPr>
        <w:rPr>
          <w:rFonts w:eastAsia="Times New Roman" w:cs="Times New Roman"/>
          <w:bCs/>
          <w:color w:val="000000"/>
          <w:szCs w:val="24"/>
          <w:lang w:eastAsia="fr-FR"/>
        </w:rPr>
      </w:pPr>
      <w:r>
        <w:rPr>
          <w:rFonts w:eastAsia="Times New Roman" w:cs="Times New Roman"/>
          <w:bCs/>
          <w:color w:val="000000"/>
          <w:szCs w:val="24"/>
          <w:lang w:eastAsia="fr-FR"/>
        </w:rPr>
        <w:t>La capacité d’hospitalisation a augmenté, allant de 1 lit à 2.5 lits pour 10000 habitants entre 2007 et 2020 ; pour les véhicules de supervision, les directions préfectorales de la santé disposent chacune au moins d’un véhicule de supervision pour les deux années d’évaluation.</w:t>
      </w:r>
    </w:p>
    <w:p w14:paraId="54BC1C6A" w14:textId="77777777" w:rsidR="00C2388D" w:rsidRDefault="00C2388D" w:rsidP="00C2388D">
      <w:pPr>
        <w:rPr>
          <w:rFonts w:eastAsia="Times New Roman" w:cs="Times New Roman"/>
          <w:bCs/>
          <w:color w:val="000000"/>
          <w:szCs w:val="24"/>
          <w:lang w:eastAsia="fr-FR"/>
        </w:rPr>
      </w:pPr>
      <w:r>
        <w:rPr>
          <w:rFonts w:eastAsia="Times New Roman" w:cs="Times New Roman"/>
          <w:bCs/>
          <w:color w:val="000000"/>
          <w:szCs w:val="24"/>
          <w:lang w:eastAsia="fr-FR"/>
        </w:rPr>
        <w:t>On note une disponibilité de médicaments très variable d’une préfecture à l’autre, aucune DPS ne dispose d’une pharmacie préfectorale qui faciliterait l’approvisionnement des formations sanitaires de base.</w:t>
      </w:r>
    </w:p>
    <w:p w14:paraId="4F9ADFBB" w14:textId="77777777" w:rsidR="00C2388D" w:rsidRDefault="00C2388D" w:rsidP="00C2388D">
      <w:pPr>
        <w:pStyle w:val="Titre2"/>
        <w:numPr>
          <w:ilvl w:val="1"/>
          <w:numId w:val="39"/>
        </w:numPr>
        <w:ind w:left="426" w:hanging="426"/>
        <w:rPr>
          <w:rFonts w:eastAsia="Times New Roman"/>
          <w:lang w:eastAsia="fr-FR"/>
        </w:rPr>
      </w:pPr>
      <w:bookmarkStart w:id="284" w:name="_Toc63233244"/>
      <w:r>
        <w:rPr>
          <w:rFonts w:eastAsia="Times New Roman"/>
          <w:lang w:eastAsia="fr-FR"/>
        </w:rPr>
        <w:t>Prestations de services</w:t>
      </w:r>
      <w:bookmarkEnd w:id="284"/>
    </w:p>
    <w:p w14:paraId="0385DEE1" w14:textId="77777777" w:rsidR="00C2388D" w:rsidRDefault="00C2388D" w:rsidP="00C2388D">
      <w:pPr>
        <w:rPr>
          <w:rFonts w:eastAsia="Times New Roman" w:cs="Times New Roman"/>
          <w:bCs/>
          <w:color w:val="000000"/>
          <w:szCs w:val="24"/>
          <w:lang w:eastAsia="fr-FR"/>
        </w:rPr>
      </w:pPr>
      <w:r>
        <w:rPr>
          <w:rFonts w:eastAsia="Times New Roman" w:cs="Times New Roman"/>
          <w:bCs/>
          <w:color w:val="000000"/>
          <w:szCs w:val="24"/>
          <w:lang w:eastAsia="fr-FR"/>
        </w:rPr>
        <w:t xml:space="preserve">Pour les prestations de services les données montrent le niveau de couverture des interventions à haut impact et la capacité des structures à fournir des soins en lien avec les </w:t>
      </w:r>
      <w:proofErr w:type="spellStart"/>
      <w:r>
        <w:rPr>
          <w:rFonts w:eastAsia="Times New Roman" w:cs="Times New Roman"/>
          <w:bCs/>
          <w:color w:val="000000"/>
          <w:szCs w:val="24"/>
          <w:lang w:eastAsia="fr-FR"/>
        </w:rPr>
        <w:t>ODD</w:t>
      </w:r>
      <w:proofErr w:type="spellEnd"/>
      <w:r>
        <w:rPr>
          <w:rFonts w:eastAsia="Times New Roman" w:cs="Times New Roman"/>
          <w:bCs/>
          <w:color w:val="000000"/>
          <w:szCs w:val="24"/>
          <w:lang w:eastAsia="fr-FR"/>
        </w:rPr>
        <w:t>.</w:t>
      </w:r>
    </w:p>
    <w:p w14:paraId="41C41E54" w14:textId="77777777" w:rsidR="00C2388D" w:rsidRDefault="00C2388D" w:rsidP="00C2388D">
      <w:pPr>
        <w:rPr>
          <w:rFonts w:eastAsia="Times New Roman" w:cs="Times New Roman"/>
          <w:bCs/>
          <w:color w:val="000000"/>
          <w:szCs w:val="24"/>
          <w:lang w:eastAsia="fr-FR"/>
        </w:rPr>
      </w:pPr>
      <w:r>
        <w:rPr>
          <w:rFonts w:eastAsia="Times New Roman" w:cs="Times New Roman"/>
          <w:bCs/>
          <w:color w:val="000000"/>
          <w:szCs w:val="24"/>
          <w:lang w:eastAsia="fr-FR"/>
        </w:rPr>
        <w:t>Le niveau de couverture des interventions à haut impact s’est amélioré à l’exception du DTC3/Penta3 comme le montre les résultats ci-après ;</w:t>
      </w:r>
    </w:p>
    <w:p w14:paraId="1BCC4606" w14:textId="77777777" w:rsidR="00C2388D" w:rsidRDefault="00C2388D" w:rsidP="00C2388D">
      <w:pPr>
        <w:pStyle w:val="Paragraphedeliste"/>
        <w:numPr>
          <w:ilvl w:val="0"/>
          <w:numId w:val="40"/>
        </w:numPr>
        <w:spacing w:before="40" w:after="40" w:line="240" w:lineRule="auto"/>
        <w:ind w:left="714" w:hanging="357"/>
        <w:rPr>
          <w:rFonts w:eastAsia="Times New Roman" w:cs="Times New Roman"/>
          <w:bCs/>
          <w:color w:val="000000"/>
          <w:szCs w:val="24"/>
          <w:lang w:eastAsia="fr-FR"/>
        </w:rPr>
      </w:pPr>
      <w:r>
        <w:rPr>
          <w:rFonts w:eastAsia="Times New Roman" w:cs="Times New Roman"/>
          <w:bCs/>
          <w:color w:val="000000"/>
          <w:szCs w:val="24"/>
          <w:lang w:eastAsia="fr-FR"/>
        </w:rPr>
        <w:t>Le DTC3/Penta3 est passé de 90% en 2007 à 81% en 2020;</w:t>
      </w:r>
    </w:p>
    <w:p w14:paraId="06A70EED" w14:textId="77777777" w:rsidR="00C2388D" w:rsidRDefault="00C2388D" w:rsidP="00C2388D">
      <w:pPr>
        <w:pStyle w:val="Paragraphedeliste"/>
        <w:numPr>
          <w:ilvl w:val="0"/>
          <w:numId w:val="40"/>
        </w:numPr>
        <w:spacing w:before="40" w:after="40" w:line="240" w:lineRule="auto"/>
        <w:ind w:left="714" w:hanging="357"/>
        <w:rPr>
          <w:szCs w:val="24"/>
        </w:rPr>
      </w:pPr>
      <w:r>
        <w:rPr>
          <w:rFonts w:eastAsia="Times New Roman" w:cs="Times New Roman"/>
          <w:bCs/>
          <w:color w:val="000000"/>
          <w:szCs w:val="24"/>
          <w:lang w:eastAsia="fr-FR"/>
        </w:rPr>
        <w:t xml:space="preserve">La </w:t>
      </w:r>
      <w:r>
        <w:rPr>
          <w:szCs w:val="24"/>
        </w:rPr>
        <w:t>Rougeole de 81% en 2007 à 91% en 2020 ;</w:t>
      </w:r>
    </w:p>
    <w:p w14:paraId="51F45D28" w14:textId="77777777" w:rsidR="00C2388D" w:rsidRDefault="00C2388D" w:rsidP="00C2388D">
      <w:pPr>
        <w:pStyle w:val="Paragraphedeliste"/>
        <w:numPr>
          <w:ilvl w:val="0"/>
          <w:numId w:val="40"/>
        </w:numPr>
        <w:spacing w:before="40" w:after="40" w:line="240" w:lineRule="auto"/>
        <w:ind w:left="714" w:hanging="357"/>
        <w:rPr>
          <w:szCs w:val="24"/>
        </w:rPr>
      </w:pPr>
      <w:r>
        <w:rPr>
          <w:szCs w:val="24"/>
        </w:rPr>
        <w:t>La CPN1 et l’accouchement assisté sont restées constantes respectivement à 89% en 2007 et 90% en 2020 ;</w:t>
      </w:r>
    </w:p>
    <w:p w14:paraId="26A6B72D" w14:textId="77777777" w:rsidR="00C2388D" w:rsidRDefault="00C2388D" w:rsidP="00C2388D">
      <w:pPr>
        <w:pStyle w:val="Paragraphedeliste"/>
        <w:numPr>
          <w:ilvl w:val="0"/>
          <w:numId w:val="40"/>
        </w:numPr>
        <w:spacing w:before="40" w:after="40" w:line="240" w:lineRule="auto"/>
        <w:ind w:left="714" w:hanging="357"/>
        <w:rPr>
          <w:szCs w:val="24"/>
        </w:rPr>
      </w:pPr>
      <w:r>
        <w:rPr>
          <w:szCs w:val="24"/>
        </w:rPr>
        <w:t>La PF a augmenté de 4% en 2007 à 38% en 2020 (données administratives) ;</w:t>
      </w:r>
    </w:p>
    <w:p w14:paraId="64CE058C" w14:textId="77777777" w:rsidR="00C2388D" w:rsidRDefault="00C2388D" w:rsidP="00C2388D">
      <w:pPr>
        <w:pStyle w:val="Paragraphedeliste"/>
        <w:numPr>
          <w:ilvl w:val="0"/>
          <w:numId w:val="40"/>
        </w:numPr>
        <w:spacing w:before="40" w:after="40" w:line="240" w:lineRule="auto"/>
        <w:ind w:left="714" w:hanging="357"/>
        <w:rPr>
          <w:szCs w:val="24"/>
        </w:rPr>
      </w:pPr>
      <w:r>
        <w:rPr>
          <w:szCs w:val="24"/>
        </w:rPr>
        <w:t>La Césarienne est restée autours de 3%.</w:t>
      </w:r>
    </w:p>
    <w:p w14:paraId="2A32AD20" w14:textId="77777777" w:rsidR="00C2388D" w:rsidRDefault="00C2388D" w:rsidP="00C2388D">
      <w:pPr>
        <w:pStyle w:val="Titre1"/>
        <w:rPr>
          <w:szCs w:val="24"/>
        </w:rPr>
      </w:pPr>
    </w:p>
    <w:p w14:paraId="7597E142" w14:textId="0A34DBD0" w:rsidR="00C2388D" w:rsidRPr="00C2388D" w:rsidRDefault="00C2388D" w:rsidP="00474F90">
      <w:pPr>
        <w:rPr>
          <w:b/>
        </w:rPr>
      </w:pPr>
      <w:r w:rsidRPr="00C2388D">
        <w:t xml:space="preserve">Pour la capacité des structures à réaliser les interventions en lien avec les </w:t>
      </w:r>
      <w:proofErr w:type="spellStart"/>
      <w:r w:rsidRPr="00C2388D">
        <w:t>ODD</w:t>
      </w:r>
      <w:proofErr w:type="spellEnd"/>
      <w:r w:rsidRPr="00C2388D">
        <w:t xml:space="preserve">, les variations des taux sont liées au fait que d’emblée dans </w:t>
      </w:r>
      <w:r>
        <w:t xml:space="preserve">les PMA des structures, ce type </w:t>
      </w:r>
      <w:r w:rsidRPr="00C2388D">
        <w:t>de service n’est pas officiellement retenu comme faisant partie du paquet d’activité de la structure.</w:t>
      </w:r>
    </w:p>
    <w:p w14:paraId="2AA22A04" w14:textId="77777777" w:rsidR="00C2388D" w:rsidRDefault="00C2388D">
      <w:pPr>
        <w:widowControl/>
        <w:spacing w:before="0" w:after="160" w:line="259" w:lineRule="auto"/>
        <w:jc w:val="left"/>
        <w:rPr>
          <w:rFonts w:eastAsiaTheme="majorEastAsia" w:cstheme="majorBidi"/>
          <w:b/>
          <w:color w:val="002060"/>
          <w:szCs w:val="24"/>
        </w:rPr>
      </w:pPr>
      <w:r>
        <w:rPr>
          <w:szCs w:val="24"/>
        </w:rPr>
        <w:br w:type="page"/>
      </w:r>
    </w:p>
    <w:p w14:paraId="25272A65" w14:textId="5EA99411" w:rsidR="00AF29C6" w:rsidRDefault="00E23B98" w:rsidP="00C2388D">
      <w:pPr>
        <w:pStyle w:val="Titre1"/>
      </w:pPr>
      <w:bookmarkStart w:id="285" w:name="_Toc63233245"/>
      <w:r w:rsidRPr="0001795E">
        <w:t xml:space="preserve">CHAPITRE V : </w:t>
      </w:r>
      <w:r w:rsidR="00F86AE6" w:rsidRPr="0001795E">
        <w:t xml:space="preserve">CONSTATS MAJEURS </w:t>
      </w:r>
      <w:r w:rsidR="00F86AE6">
        <w:t xml:space="preserve">ET </w:t>
      </w:r>
      <w:r w:rsidR="00AF29C6" w:rsidRPr="0001795E">
        <w:t>RECOMMANDATIONS</w:t>
      </w:r>
      <w:bookmarkEnd w:id="285"/>
    </w:p>
    <w:p w14:paraId="65110901" w14:textId="57637757" w:rsidR="007A7ED7" w:rsidRPr="00D0553F" w:rsidRDefault="007A7ED7" w:rsidP="00460F99">
      <w:pPr>
        <w:pStyle w:val="Titre2"/>
        <w:numPr>
          <w:ilvl w:val="1"/>
          <w:numId w:val="33"/>
        </w:numPr>
      </w:pPr>
      <w:bookmarkStart w:id="286" w:name="_Toc63233246"/>
      <w:r w:rsidRPr="004F3D7D">
        <w:rPr>
          <w:color w:val="2F5496" w:themeColor="accent5" w:themeShade="BF"/>
        </w:rPr>
        <w:t>Constats</w:t>
      </w:r>
      <w:bookmarkEnd w:id="286"/>
    </w:p>
    <w:p w14:paraId="0AA4032F" w14:textId="77777777" w:rsidR="00F86AE6" w:rsidRPr="009736D6" w:rsidRDefault="00F86AE6" w:rsidP="00F86AE6">
      <w:r>
        <w:t>Pour apprécier les résultats de cette évaluation, l’équipe a identifié les principales forces et faiblesses de l’organisation des services de santé du district.</w:t>
      </w:r>
    </w:p>
    <w:p w14:paraId="511AE4D6" w14:textId="77777777" w:rsidR="00F86AE6" w:rsidRPr="0001795E" w:rsidRDefault="00F86AE6" w:rsidP="00460F99">
      <w:pPr>
        <w:pStyle w:val="Paragraphedeliste"/>
        <w:numPr>
          <w:ilvl w:val="0"/>
          <w:numId w:val="17"/>
        </w:numPr>
        <w:contextualSpacing w:val="0"/>
        <w:outlineLvl w:val="1"/>
        <w:rPr>
          <w:rFonts w:eastAsiaTheme="majorEastAsia" w:cstheme="majorBidi"/>
          <w:b/>
          <w:vanish/>
          <w:color w:val="002060"/>
          <w:szCs w:val="24"/>
        </w:rPr>
      </w:pPr>
      <w:bookmarkStart w:id="287" w:name="_Toc58447078"/>
      <w:bookmarkStart w:id="288" w:name="_Toc58667732"/>
      <w:bookmarkStart w:id="289" w:name="_Toc58669897"/>
      <w:bookmarkStart w:id="290" w:name="_Toc58670516"/>
      <w:bookmarkStart w:id="291" w:name="_Toc58670590"/>
      <w:bookmarkStart w:id="292" w:name="_Toc58670669"/>
      <w:bookmarkStart w:id="293" w:name="_Toc58671742"/>
      <w:bookmarkStart w:id="294" w:name="_Toc58672208"/>
      <w:bookmarkStart w:id="295" w:name="_Toc58674288"/>
      <w:bookmarkStart w:id="296" w:name="_Toc58675024"/>
      <w:bookmarkStart w:id="297" w:name="_Toc58675912"/>
      <w:bookmarkStart w:id="298" w:name="_Toc63232654"/>
      <w:bookmarkStart w:id="299" w:name="_Toc63233247"/>
      <w:bookmarkEnd w:id="287"/>
      <w:bookmarkEnd w:id="288"/>
      <w:bookmarkEnd w:id="289"/>
      <w:bookmarkEnd w:id="290"/>
      <w:bookmarkEnd w:id="291"/>
      <w:bookmarkEnd w:id="292"/>
      <w:bookmarkEnd w:id="293"/>
      <w:bookmarkEnd w:id="294"/>
      <w:bookmarkEnd w:id="295"/>
      <w:bookmarkEnd w:id="296"/>
      <w:bookmarkEnd w:id="297"/>
      <w:bookmarkEnd w:id="298"/>
      <w:bookmarkEnd w:id="299"/>
    </w:p>
    <w:p w14:paraId="0FC9B984" w14:textId="74F4712E" w:rsidR="00F86AE6" w:rsidRDefault="00F86AE6" w:rsidP="00460F99">
      <w:pPr>
        <w:pStyle w:val="Titre3"/>
        <w:numPr>
          <w:ilvl w:val="2"/>
          <w:numId w:val="33"/>
        </w:numPr>
      </w:pPr>
      <w:bookmarkStart w:id="300" w:name="_Toc63233248"/>
      <w:r w:rsidRPr="0001795E">
        <w:t>Forces</w:t>
      </w:r>
      <w:bookmarkEnd w:id="300"/>
      <w:r w:rsidRPr="0001795E">
        <w:t xml:space="preserve"> </w:t>
      </w:r>
    </w:p>
    <w:p w14:paraId="48DEB347" w14:textId="77777777" w:rsidR="00F86AE6" w:rsidRDefault="00F86AE6" w:rsidP="00F86AE6">
      <w:r>
        <w:t>Les forces ont été classées dans les domaines de la gouvernance (structure et processus de planification), les ressources humaines, les infrastructures et les équipements.</w:t>
      </w:r>
    </w:p>
    <w:p w14:paraId="1B1F3EA8" w14:textId="77777777" w:rsidR="006D457D" w:rsidRDefault="00F86AE6" w:rsidP="00F86AE6">
      <w:pPr>
        <w:rPr>
          <w:rFonts w:cs="Arial"/>
          <w:bCs/>
          <w:szCs w:val="24"/>
        </w:rPr>
      </w:pPr>
      <w:r w:rsidRPr="006D457D">
        <w:rPr>
          <w:rFonts w:cs="Arial"/>
          <w:bCs/>
          <w:szCs w:val="24"/>
        </w:rPr>
        <w:t>En matière de gouvernance</w:t>
      </w:r>
      <w:r w:rsidR="006D457D">
        <w:rPr>
          <w:rFonts w:cs="Arial"/>
          <w:bCs/>
          <w:szCs w:val="24"/>
        </w:rPr>
        <w:t>,</w:t>
      </w:r>
      <w:r w:rsidRPr="006D457D">
        <w:rPr>
          <w:rFonts w:cs="Arial"/>
          <w:bCs/>
          <w:szCs w:val="24"/>
        </w:rPr>
        <w:t xml:space="preserve"> on note l’existence du Comité préfectoral de coordination du secteur de la santé et de l’équipe de gestion sanitaire </w:t>
      </w:r>
      <w:r w:rsidR="006D457D">
        <w:rPr>
          <w:rFonts w:cs="Arial"/>
          <w:bCs/>
          <w:szCs w:val="24"/>
        </w:rPr>
        <w:t xml:space="preserve">ainsi que </w:t>
      </w:r>
      <w:r w:rsidR="006D457D" w:rsidRPr="006D457D">
        <w:t>la disponibilité d’un</w:t>
      </w:r>
      <w:r w:rsidR="006D457D" w:rsidRPr="006D457D">
        <w:rPr>
          <w:rFonts w:cs="Arial"/>
          <w:bCs/>
          <w:szCs w:val="24"/>
        </w:rPr>
        <w:t xml:space="preserve"> PAO </w:t>
      </w:r>
      <w:r w:rsidRPr="006D457D">
        <w:rPr>
          <w:rFonts w:cs="Arial"/>
          <w:bCs/>
          <w:szCs w:val="24"/>
        </w:rPr>
        <w:t>dans 100% des districts enquêtés</w:t>
      </w:r>
      <w:r w:rsidR="006D457D">
        <w:rPr>
          <w:rFonts w:cs="Arial"/>
          <w:bCs/>
          <w:szCs w:val="24"/>
        </w:rPr>
        <w:t>.</w:t>
      </w:r>
    </w:p>
    <w:p w14:paraId="1B740117" w14:textId="42A69B1C" w:rsidR="00F86AE6" w:rsidRPr="00DB4305" w:rsidRDefault="00F86AE6" w:rsidP="00F86AE6">
      <w:pPr>
        <w:widowControl/>
        <w:spacing w:before="0" w:after="160" w:line="259" w:lineRule="auto"/>
        <w:rPr>
          <w:rFonts w:cs="Arial"/>
          <w:bCs/>
          <w:szCs w:val="24"/>
        </w:rPr>
      </w:pPr>
      <w:r>
        <w:rPr>
          <w:rFonts w:cs="Arial"/>
          <w:bCs/>
          <w:szCs w:val="24"/>
        </w:rPr>
        <w:t>Pour le personnel</w:t>
      </w:r>
      <w:r w:rsidR="006D457D">
        <w:rPr>
          <w:rFonts w:cs="Arial"/>
          <w:bCs/>
          <w:szCs w:val="24"/>
        </w:rPr>
        <w:t>,</w:t>
      </w:r>
      <w:r>
        <w:rPr>
          <w:rFonts w:cs="Arial"/>
          <w:bCs/>
          <w:szCs w:val="24"/>
        </w:rPr>
        <w:t xml:space="preserve"> l</w:t>
      </w:r>
      <w:r w:rsidRPr="00DB4305">
        <w:rPr>
          <w:rFonts w:cs="Arial"/>
          <w:bCs/>
          <w:szCs w:val="24"/>
        </w:rPr>
        <w:t>a disponibilité du personnel en nombre suffisant</w:t>
      </w:r>
      <w:r>
        <w:rPr>
          <w:rFonts w:cs="Arial"/>
          <w:bCs/>
          <w:szCs w:val="24"/>
        </w:rPr>
        <w:t xml:space="preserve"> aussi bien pour les structures de prestation des soins que pour les structures de gestion.</w:t>
      </w:r>
    </w:p>
    <w:p w14:paraId="4C5A8574" w14:textId="73705975" w:rsidR="00F86AE6" w:rsidRPr="006D457D" w:rsidRDefault="00F86AE6" w:rsidP="006D457D">
      <w:pPr>
        <w:widowControl/>
        <w:spacing w:before="0" w:after="160" w:line="259" w:lineRule="auto"/>
        <w:rPr>
          <w:rFonts w:cs="Arial"/>
          <w:bCs/>
          <w:szCs w:val="24"/>
        </w:rPr>
      </w:pPr>
      <w:r w:rsidRPr="006D457D">
        <w:rPr>
          <w:rFonts w:cs="Arial"/>
          <w:bCs/>
          <w:szCs w:val="24"/>
        </w:rPr>
        <w:t>En ce qui concerne le matériel</w:t>
      </w:r>
      <w:r w:rsidR="006D457D">
        <w:rPr>
          <w:rFonts w:cs="Arial"/>
          <w:bCs/>
          <w:szCs w:val="24"/>
        </w:rPr>
        <w:t>,</w:t>
      </w:r>
      <w:r w:rsidRPr="006D457D">
        <w:rPr>
          <w:rFonts w:cs="Arial"/>
          <w:bCs/>
          <w:szCs w:val="24"/>
        </w:rPr>
        <w:t xml:space="preserve"> il a été constaté l’existence de bureaux et de salles de réunion adéquats dans la totalité des districts enquêtés</w:t>
      </w:r>
      <w:r w:rsidR="006D457D">
        <w:rPr>
          <w:rFonts w:cs="Arial"/>
          <w:bCs/>
          <w:szCs w:val="24"/>
        </w:rPr>
        <w:t>.</w:t>
      </w:r>
    </w:p>
    <w:p w14:paraId="47BE9286" w14:textId="4F518DE0" w:rsidR="00F86AE6" w:rsidRPr="006D457D" w:rsidRDefault="00F86AE6" w:rsidP="006D457D">
      <w:pPr>
        <w:widowControl/>
        <w:spacing w:before="0" w:after="160" w:line="259" w:lineRule="auto"/>
        <w:rPr>
          <w:rFonts w:cs="Arial"/>
          <w:bCs/>
          <w:szCs w:val="24"/>
        </w:rPr>
      </w:pPr>
      <w:r w:rsidRPr="006D457D">
        <w:rPr>
          <w:rFonts w:cs="Arial"/>
          <w:bCs/>
          <w:szCs w:val="24"/>
        </w:rPr>
        <w:t>Pour la gestion</w:t>
      </w:r>
      <w:r w:rsidR="006D457D">
        <w:rPr>
          <w:rFonts w:cs="Arial"/>
          <w:bCs/>
          <w:szCs w:val="24"/>
        </w:rPr>
        <w:t>,</w:t>
      </w:r>
      <w:r w:rsidRPr="006D457D">
        <w:rPr>
          <w:rFonts w:cs="Arial"/>
          <w:bCs/>
          <w:szCs w:val="24"/>
        </w:rPr>
        <w:t xml:space="preserve"> il est apparu la disponibilité entière des plans annuels assortis de chronogramme ainsi que la production des rapports </w:t>
      </w:r>
      <w:proofErr w:type="spellStart"/>
      <w:r w:rsidRPr="006D457D">
        <w:rPr>
          <w:rFonts w:cs="Arial"/>
          <w:bCs/>
          <w:szCs w:val="24"/>
        </w:rPr>
        <w:t>SNIS</w:t>
      </w:r>
      <w:proofErr w:type="spellEnd"/>
      <w:r w:rsidRPr="006D457D">
        <w:rPr>
          <w:rFonts w:cs="Arial"/>
          <w:bCs/>
          <w:szCs w:val="24"/>
        </w:rPr>
        <w:t xml:space="preserve"> dans la totalité des districts enquêtés.</w:t>
      </w:r>
    </w:p>
    <w:p w14:paraId="75080148" w14:textId="77777777" w:rsidR="00F86AE6" w:rsidRPr="0001795E" w:rsidRDefault="00F86AE6" w:rsidP="00460F99">
      <w:pPr>
        <w:pStyle w:val="Titre3"/>
        <w:numPr>
          <w:ilvl w:val="2"/>
          <w:numId w:val="33"/>
        </w:numPr>
      </w:pPr>
      <w:r w:rsidRPr="0001795E">
        <w:t xml:space="preserve"> </w:t>
      </w:r>
      <w:bookmarkStart w:id="301" w:name="_Toc63233249"/>
      <w:r w:rsidRPr="0001795E">
        <w:t>Faiblesses</w:t>
      </w:r>
      <w:bookmarkEnd w:id="301"/>
    </w:p>
    <w:p w14:paraId="4F2628DB" w14:textId="19DFD15D" w:rsidR="00F86AE6" w:rsidRPr="00E84AA8" w:rsidRDefault="00F86AE6" w:rsidP="00F86AE6">
      <w:pPr>
        <w:widowControl/>
        <w:spacing w:before="40" w:after="40" w:line="259" w:lineRule="auto"/>
        <w:rPr>
          <w:szCs w:val="24"/>
        </w:rPr>
      </w:pPr>
      <w:r w:rsidRPr="00E84AA8">
        <w:rPr>
          <w:rFonts w:cs="Arial"/>
          <w:bCs/>
          <w:szCs w:val="24"/>
        </w:rPr>
        <w:t xml:space="preserve">La principale faiblesse identifiée est le </w:t>
      </w:r>
      <w:r w:rsidR="00D449CA">
        <w:rPr>
          <w:rFonts w:cs="Arial"/>
          <w:bCs/>
          <w:szCs w:val="24"/>
        </w:rPr>
        <w:t>nombre</w:t>
      </w:r>
      <w:r w:rsidRPr="00E84AA8">
        <w:rPr>
          <w:rFonts w:cs="Arial"/>
          <w:bCs/>
          <w:szCs w:val="24"/>
        </w:rPr>
        <w:t xml:space="preserve"> insuffisant des formations sanitaires </w:t>
      </w:r>
      <w:r w:rsidR="00A81AA6">
        <w:rPr>
          <w:rFonts w:cs="Arial"/>
          <w:bCs/>
          <w:szCs w:val="24"/>
        </w:rPr>
        <w:t xml:space="preserve">fonctionnelles </w:t>
      </w:r>
      <w:r w:rsidRPr="00E84AA8">
        <w:rPr>
          <w:rFonts w:cs="Arial"/>
          <w:bCs/>
          <w:szCs w:val="24"/>
        </w:rPr>
        <w:t>de base</w:t>
      </w:r>
      <w:r w:rsidR="006D457D">
        <w:rPr>
          <w:rFonts w:cs="Arial"/>
          <w:bCs/>
          <w:szCs w:val="24"/>
        </w:rPr>
        <w:t> ;</w:t>
      </w:r>
      <w:r w:rsidR="008D7F85">
        <w:rPr>
          <w:rFonts w:cs="Arial"/>
          <w:bCs/>
          <w:szCs w:val="24"/>
        </w:rPr>
        <w:t xml:space="preserve"> </w:t>
      </w:r>
      <w:r w:rsidRPr="00E84AA8">
        <w:rPr>
          <w:rFonts w:cs="Arial"/>
          <w:bCs/>
          <w:szCs w:val="24"/>
        </w:rPr>
        <w:t>le ratio habitant</w:t>
      </w:r>
      <w:r w:rsidR="006D457D">
        <w:rPr>
          <w:rFonts w:cs="Arial"/>
          <w:bCs/>
          <w:szCs w:val="24"/>
        </w:rPr>
        <w:t>/</w:t>
      </w:r>
      <w:r w:rsidRPr="00E84AA8">
        <w:rPr>
          <w:rFonts w:cs="Arial"/>
          <w:bCs/>
          <w:szCs w:val="24"/>
        </w:rPr>
        <w:t>aire de santé est en moyenne de 27 843 h</w:t>
      </w:r>
      <w:r w:rsidR="0004270E">
        <w:rPr>
          <w:rFonts w:cs="Arial"/>
          <w:bCs/>
          <w:szCs w:val="24"/>
        </w:rPr>
        <w:t>abitants</w:t>
      </w:r>
      <w:r w:rsidRPr="00E84AA8">
        <w:rPr>
          <w:rFonts w:cs="Arial"/>
          <w:bCs/>
          <w:szCs w:val="24"/>
        </w:rPr>
        <w:t xml:space="preserve"> avec des extrêmes allant de 15 115 à </w:t>
      </w:r>
      <w:proofErr w:type="spellStart"/>
      <w:r w:rsidRPr="00E84AA8">
        <w:rPr>
          <w:rFonts w:cs="Arial"/>
          <w:bCs/>
          <w:szCs w:val="24"/>
        </w:rPr>
        <w:t>Dalaba</w:t>
      </w:r>
      <w:proofErr w:type="spellEnd"/>
      <w:r w:rsidRPr="00E84AA8">
        <w:rPr>
          <w:rFonts w:cs="Arial"/>
          <w:bCs/>
          <w:szCs w:val="24"/>
        </w:rPr>
        <w:t xml:space="preserve"> à 94 868 à Ratoma </w:t>
      </w:r>
      <w:r w:rsidR="00927017">
        <w:rPr>
          <w:rFonts w:cs="Arial"/>
          <w:bCs/>
          <w:szCs w:val="24"/>
        </w:rPr>
        <w:t xml:space="preserve">; </w:t>
      </w:r>
      <w:r w:rsidR="008D7F85">
        <w:rPr>
          <w:rFonts w:cs="Arial"/>
          <w:bCs/>
          <w:szCs w:val="24"/>
        </w:rPr>
        <w:t xml:space="preserve">cela dénote </w:t>
      </w:r>
      <w:r w:rsidR="00927017">
        <w:rPr>
          <w:rFonts w:cs="Arial"/>
          <w:bCs/>
          <w:szCs w:val="24"/>
        </w:rPr>
        <w:t>à une</w:t>
      </w:r>
      <w:r w:rsidRPr="00E84AA8">
        <w:rPr>
          <w:rFonts w:cs="Arial"/>
          <w:bCs/>
          <w:szCs w:val="24"/>
        </w:rPr>
        <w:t xml:space="preserve"> disparité de l’offre entre les districts sanitaires</w:t>
      </w:r>
      <w:r w:rsidR="008D7F85">
        <w:rPr>
          <w:rFonts w:cs="Arial"/>
          <w:bCs/>
          <w:szCs w:val="24"/>
        </w:rPr>
        <w:t>.</w:t>
      </w:r>
    </w:p>
    <w:p w14:paraId="0696F248" w14:textId="77777777" w:rsidR="0004270E" w:rsidRDefault="00F86AE6" w:rsidP="00F86AE6">
      <w:pPr>
        <w:spacing w:before="40" w:after="40" w:line="259" w:lineRule="auto"/>
        <w:rPr>
          <w:szCs w:val="24"/>
        </w:rPr>
      </w:pPr>
      <w:r w:rsidRPr="0001795E">
        <w:rPr>
          <w:szCs w:val="24"/>
        </w:rPr>
        <w:t xml:space="preserve">Les causes principales de cette </w:t>
      </w:r>
      <w:r>
        <w:rPr>
          <w:szCs w:val="24"/>
        </w:rPr>
        <w:t>situation</w:t>
      </w:r>
      <w:r w:rsidRPr="0001795E">
        <w:rPr>
          <w:szCs w:val="24"/>
        </w:rPr>
        <w:t xml:space="preserve"> de l’offre des soins sont entre autres</w:t>
      </w:r>
      <w:r w:rsidR="0004270E">
        <w:rPr>
          <w:szCs w:val="24"/>
        </w:rPr>
        <w:t> :</w:t>
      </w:r>
    </w:p>
    <w:p w14:paraId="1B9755F2" w14:textId="158A0BBE" w:rsidR="0004270E" w:rsidRPr="0004270E" w:rsidRDefault="00F86AE6" w:rsidP="0004270E">
      <w:pPr>
        <w:pStyle w:val="Paragraphedeliste"/>
        <w:numPr>
          <w:ilvl w:val="0"/>
          <w:numId w:val="35"/>
        </w:numPr>
        <w:spacing w:before="40" w:after="40" w:line="259" w:lineRule="auto"/>
        <w:rPr>
          <w:rFonts w:cs="Arial"/>
          <w:bCs/>
          <w:szCs w:val="24"/>
        </w:rPr>
      </w:pPr>
      <w:r w:rsidRPr="0004270E">
        <w:rPr>
          <w:szCs w:val="24"/>
        </w:rPr>
        <w:t>l</w:t>
      </w:r>
      <w:r w:rsidRPr="0004270E">
        <w:rPr>
          <w:rFonts w:cs="Arial"/>
          <w:bCs/>
          <w:szCs w:val="24"/>
        </w:rPr>
        <w:t xml:space="preserve">a </w:t>
      </w:r>
      <w:r w:rsidR="00C472DB" w:rsidRPr="0004270E">
        <w:rPr>
          <w:rFonts w:cs="Arial"/>
          <w:bCs/>
          <w:szCs w:val="24"/>
        </w:rPr>
        <w:t>non mise</w:t>
      </w:r>
      <w:r w:rsidRPr="0004270E">
        <w:rPr>
          <w:rFonts w:cs="Arial"/>
          <w:bCs/>
          <w:szCs w:val="24"/>
        </w:rPr>
        <w:t xml:space="preserve"> à jour de l</w:t>
      </w:r>
      <w:r w:rsidR="0004270E">
        <w:rPr>
          <w:rFonts w:cs="Arial"/>
          <w:bCs/>
          <w:szCs w:val="24"/>
        </w:rPr>
        <w:t>a carte sanitaire depuis 2006 ;</w:t>
      </w:r>
    </w:p>
    <w:p w14:paraId="05FA4396" w14:textId="295F3F32" w:rsidR="00F86AE6" w:rsidRDefault="00EE0AF5" w:rsidP="0004270E">
      <w:pPr>
        <w:pStyle w:val="Paragraphedeliste"/>
        <w:numPr>
          <w:ilvl w:val="0"/>
          <w:numId w:val="35"/>
        </w:numPr>
        <w:spacing w:before="40" w:after="40" w:line="259" w:lineRule="auto"/>
        <w:rPr>
          <w:rFonts w:cs="Arial"/>
          <w:bCs/>
          <w:szCs w:val="24"/>
        </w:rPr>
      </w:pPr>
      <w:r>
        <w:rPr>
          <w:rFonts w:cs="Arial"/>
          <w:bCs/>
          <w:szCs w:val="24"/>
        </w:rPr>
        <w:t xml:space="preserve">le faible alignement des investissements publics à </w:t>
      </w:r>
      <w:r w:rsidR="00F86AE6" w:rsidRPr="0004270E">
        <w:rPr>
          <w:rFonts w:cs="Arial"/>
          <w:bCs/>
          <w:szCs w:val="24"/>
        </w:rPr>
        <w:t>l’</w:t>
      </w:r>
      <w:r w:rsidR="0004270E">
        <w:rPr>
          <w:rFonts w:cs="Arial"/>
          <w:bCs/>
          <w:szCs w:val="24"/>
        </w:rPr>
        <w:t>accroissement de la démographie</w:t>
      </w:r>
      <w:r>
        <w:rPr>
          <w:rFonts w:cs="Arial"/>
          <w:bCs/>
          <w:szCs w:val="24"/>
        </w:rPr>
        <w:t> ;</w:t>
      </w:r>
    </w:p>
    <w:p w14:paraId="46083336" w14:textId="26E87D9F" w:rsidR="00EE0AF5" w:rsidRDefault="00EE0AF5" w:rsidP="0004270E">
      <w:pPr>
        <w:pStyle w:val="Paragraphedeliste"/>
        <w:numPr>
          <w:ilvl w:val="0"/>
          <w:numId w:val="35"/>
        </w:numPr>
        <w:spacing w:before="40" w:after="40" w:line="259" w:lineRule="auto"/>
        <w:rPr>
          <w:rFonts w:cs="Arial"/>
          <w:bCs/>
          <w:szCs w:val="24"/>
        </w:rPr>
      </w:pPr>
      <w:r>
        <w:rPr>
          <w:rFonts w:cs="Arial"/>
          <w:bCs/>
          <w:szCs w:val="24"/>
        </w:rPr>
        <w:t>le retard dans l’exécution des marchés de construction des infrastructures</w:t>
      </w:r>
      <w:r w:rsidR="00983506">
        <w:rPr>
          <w:rFonts w:cs="Arial"/>
          <w:bCs/>
          <w:szCs w:val="24"/>
        </w:rPr>
        <w:t xml:space="preserve"> ; </w:t>
      </w:r>
    </w:p>
    <w:p w14:paraId="6BF12427" w14:textId="716AB1E9" w:rsidR="00C472DB" w:rsidRDefault="0004270E" w:rsidP="00C472DB">
      <w:pPr>
        <w:pStyle w:val="Paragraphedeliste"/>
        <w:numPr>
          <w:ilvl w:val="0"/>
          <w:numId w:val="35"/>
        </w:numPr>
        <w:spacing w:before="40" w:after="40" w:line="259" w:lineRule="auto"/>
        <w:rPr>
          <w:rFonts w:cs="Arial"/>
          <w:bCs/>
          <w:szCs w:val="24"/>
        </w:rPr>
      </w:pPr>
      <w:r>
        <w:rPr>
          <w:rFonts w:cs="Arial"/>
          <w:bCs/>
          <w:szCs w:val="24"/>
        </w:rPr>
        <w:t>le relâchement de la participation communautaire</w:t>
      </w:r>
      <w:r w:rsidR="00C472DB">
        <w:rPr>
          <w:rFonts w:cs="Arial"/>
          <w:bCs/>
          <w:szCs w:val="24"/>
        </w:rPr>
        <w:t xml:space="preserve"> dans la construction des infrastructures adaptées aux besoins</w:t>
      </w:r>
      <w:r w:rsidR="00C70A91">
        <w:rPr>
          <w:rFonts w:cs="Arial"/>
          <w:bCs/>
          <w:szCs w:val="24"/>
        </w:rPr>
        <w:t> ;</w:t>
      </w:r>
    </w:p>
    <w:p w14:paraId="233F84A7" w14:textId="55322125" w:rsidR="00EE0AF5" w:rsidRPr="00EE0AF5" w:rsidRDefault="00D449CA" w:rsidP="00EE0AF5">
      <w:pPr>
        <w:pStyle w:val="Paragraphedeliste"/>
        <w:numPr>
          <w:ilvl w:val="0"/>
          <w:numId w:val="35"/>
        </w:numPr>
        <w:spacing w:before="40" w:after="40" w:line="259" w:lineRule="auto"/>
        <w:rPr>
          <w:rFonts w:cs="Arial"/>
          <w:bCs/>
          <w:szCs w:val="24"/>
        </w:rPr>
      </w:pPr>
      <w:r>
        <w:rPr>
          <w:rFonts w:cs="Arial"/>
          <w:bCs/>
          <w:szCs w:val="24"/>
        </w:rPr>
        <w:t>l’</w:t>
      </w:r>
      <w:r w:rsidR="00C472DB">
        <w:rPr>
          <w:rFonts w:cs="Arial"/>
          <w:bCs/>
          <w:szCs w:val="24"/>
        </w:rPr>
        <w:t>absence de mécanismes suffisamment incitatifs</w:t>
      </w:r>
      <w:r w:rsidR="00C70A91">
        <w:rPr>
          <w:rFonts w:cs="Arial"/>
          <w:bCs/>
          <w:szCs w:val="24"/>
        </w:rPr>
        <w:t xml:space="preserve"> pour fidéliser les </w:t>
      </w:r>
      <w:proofErr w:type="spellStart"/>
      <w:r w:rsidR="00C70A91">
        <w:rPr>
          <w:rFonts w:cs="Arial"/>
          <w:bCs/>
          <w:szCs w:val="24"/>
        </w:rPr>
        <w:t>RHS</w:t>
      </w:r>
      <w:proofErr w:type="spellEnd"/>
      <w:r w:rsidR="00C70A91">
        <w:rPr>
          <w:rFonts w:cs="Arial"/>
          <w:bCs/>
          <w:szCs w:val="24"/>
        </w:rPr>
        <w:t xml:space="preserve"> dans les districts de santé de l’intérieur du pays</w:t>
      </w:r>
      <w:r w:rsidR="00983506">
        <w:rPr>
          <w:rFonts w:cs="Arial"/>
          <w:bCs/>
          <w:szCs w:val="24"/>
        </w:rPr>
        <w:t>.</w:t>
      </w:r>
    </w:p>
    <w:p w14:paraId="6CFF85CA" w14:textId="45D1C097" w:rsidR="00F86AE6" w:rsidRDefault="00F86AE6" w:rsidP="00F86AE6">
      <w:pPr>
        <w:spacing w:before="40" w:after="40" w:line="259" w:lineRule="auto"/>
        <w:rPr>
          <w:rFonts w:cs="Arial"/>
          <w:bCs/>
          <w:szCs w:val="24"/>
        </w:rPr>
      </w:pPr>
      <w:r>
        <w:rPr>
          <w:rFonts w:cs="Arial"/>
          <w:bCs/>
          <w:szCs w:val="24"/>
        </w:rPr>
        <w:t>Pour les questions de gouvernance et de gestion</w:t>
      </w:r>
      <w:r w:rsidR="008D7F85">
        <w:rPr>
          <w:rFonts w:cs="Arial"/>
          <w:bCs/>
          <w:szCs w:val="24"/>
        </w:rPr>
        <w:t>,</w:t>
      </w:r>
      <w:r>
        <w:rPr>
          <w:rFonts w:cs="Arial"/>
          <w:bCs/>
          <w:szCs w:val="24"/>
        </w:rPr>
        <w:t xml:space="preserve"> on note</w:t>
      </w:r>
      <w:r w:rsidRPr="0001795E">
        <w:rPr>
          <w:rFonts w:cs="Arial"/>
          <w:bCs/>
          <w:szCs w:val="24"/>
        </w:rPr>
        <w:t xml:space="preserve"> </w:t>
      </w:r>
      <w:r>
        <w:rPr>
          <w:rFonts w:cs="Arial"/>
          <w:bCs/>
          <w:szCs w:val="24"/>
        </w:rPr>
        <w:t>l</w:t>
      </w:r>
      <w:r w:rsidRPr="00335D6F">
        <w:rPr>
          <w:rFonts w:cs="Arial"/>
          <w:bCs/>
          <w:szCs w:val="24"/>
        </w:rPr>
        <w:t>’absence de directives régissant le fonctionnement du Comité préfectoral de coordination du secteur de la santé par endroits ;</w:t>
      </w:r>
      <w:r>
        <w:rPr>
          <w:rFonts w:cs="Arial"/>
          <w:bCs/>
          <w:szCs w:val="24"/>
        </w:rPr>
        <w:t xml:space="preserve"> la f</w:t>
      </w:r>
      <w:r w:rsidRPr="00C759C0">
        <w:rPr>
          <w:rFonts w:cs="Arial"/>
          <w:bCs/>
          <w:szCs w:val="24"/>
        </w:rPr>
        <w:t>aible implication des différents acteurs dans l’élaboration des PAO</w:t>
      </w:r>
      <w:r w:rsidR="008D7F85">
        <w:rPr>
          <w:rFonts w:cs="Arial"/>
          <w:bCs/>
          <w:szCs w:val="24"/>
        </w:rPr>
        <w:t>.</w:t>
      </w:r>
    </w:p>
    <w:p w14:paraId="40280811" w14:textId="3262BF52" w:rsidR="00983506" w:rsidRDefault="00983506" w:rsidP="00F86AE6">
      <w:pPr>
        <w:spacing w:before="40" w:after="40" w:line="259" w:lineRule="auto"/>
        <w:rPr>
          <w:rFonts w:cs="Arial"/>
          <w:bCs/>
          <w:szCs w:val="24"/>
        </w:rPr>
      </w:pPr>
      <w:r>
        <w:rPr>
          <w:rFonts w:cs="Arial"/>
          <w:bCs/>
          <w:szCs w:val="24"/>
        </w:rPr>
        <w:t>Les causes sont entre autres :</w:t>
      </w:r>
    </w:p>
    <w:p w14:paraId="115282F6" w14:textId="5C64D086" w:rsidR="00983506" w:rsidRDefault="00983506" w:rsidP="00983506">
      <w:pPr>
        <w:pStyle w:val="Paragraphedeliste"/>
        <w:numPr>
          <w:ilvl w:val="0"/>
          <w:numId w:val="35"/>
        </w:numPr>
        <w:spacing w:before="40" w:after="40" w:line="259" w:lineRule="auto"/>
        <w:rPr>
          <w:rFonts w:cs="Arial"/>
          <w:bCs/>
          <w:szCs w:val="24"/>
        </w:rPr>
      </w:pPr>
      <w:r>
        <w:rPr>
          <w:rFonts w:cs="Arial"/>
          <w:bCs/>
          <w:szCs w:val="24"/>
        </w:rPr>
        <w:t>Le manque de gestionnaires dans les districts sanitaires ;</w:t>
      </w:r>
    </w:p>
    <w:p w14:paraId="22A08EB5" w14:textId="04E6949A" w:rsidR="00983506" w:rsidRDefault="00983506" w:rsidP="00983506">
      <w:pPr>
        <w:pStyle w:val="Paragraphedeliste"/>
        <w:numPr>
          <w:ilvl w:val="0"/>
          <w:numId w:val="35"/>
        </w:numPr>
        <w:spacing w:before="40" w:after="40" w:line="259" w:lineRule="auto"/>
        <w:rPr>
          <w:rFonts w:cs="Arial"/>
          <w:bCs/>
          <w:szCs w:val="24"/>
        </w:rPr>
      </w:pPr>
      <w:r>
        <w:rPr>
          <w:rFonts w:cs="Arial"/>
          <w:bCs/>
          <w:szCs w:val="24"/>
        </w:rPr>
        <w:t>Le déficit de communication entre le niveau central et les districts ;</w:t>
      </w:r>
    </w:p>
    <w:p w14:paraId="1CDF80B5" w14:textId="50906751" w:rsidR="00983506" w:rsidRPr="00C759C0" w:rsidRDefault="00983506" w:rsidP="00983506">
      <w:pPr>
        <w:pStyle w:val="Paragraphedeliste"/>
        <w:numPr>
          <w:ilvl w:val="0"/>
          <w:numId w:val="35"/>
        </w:numPr>
        <w:spacing w:before="40" w:after="40" w:line="259" w:lineRule="auto"/>
        <w:rPr>
          <w:rFonts w:cs="Arial"/>
          <w:bCs/>
          <w:szCs w:val="24"/>
        </w:rPr>
      </w:pPr>
      <w:r>
        <w:rPr>
          <w:rFonts w:cs="Arial"/>
          <w:bCs/>
          <w:szCs w:val="24"/>
        </w:rPr>
        <w:t>La faible capacité de soutien et de contrôle des régions sur les districts sanitaires</w:t>
      </w:r>
    </w:p>
    <w:p w14:paraId="1C49221E" w14:textId="11A900CC" w:rsidR="00896F6D" w:rsidRDefault="00F86AE6" w:rsidP="00F86AE6">
      <w:pPr>
        <w:widowControl/>
        <w:spacing w:before="0" w:after="160" w:line="259" w:lineRule="auto"/>
        <w:rPr>
          <w:rFonts w:cs="Arial"/>
          <w:bCs/>
          <w:szCs w:val="24"/>
        </w:rPr>
      </w:pPr>
      <w:r w:rsidRPr="00143A7B">
        <w:rPr>
          <w:rFonts w:cs="Arial"/>
          <w:bCs/>
          <w:szCs w:val="24"/>
        </w:rPr>
        <w:t>Pour les ressources humaines</w:t>
      </w:r>
      <w:r w:rsidR="008D7F85">
        <w:rPr>
          <w:rFonts w:cs="Arial"/>
          <w:bCs/>
          <w:szCs w:val="24"/>
        </w:rPr>
        <w:t>,</w:t>
      </w:r>
      <w:r w:rsidRPr="00143A7B">
        <w:rPr>
          <w:rFonts w:cs="Arial"/>
          <w:bCs/>
          <w:szCs w:val="24"/>
        </w:rPr>
        <w:t xml:space="preserve"> il a été constaté la faible disponibilité de personnel spécialisé en santé publique ;</w:t>
      </w:r>
      <w:r>
        <w:rPr>
          <w:rFonts w:cs="Arial"/>
          <w:bCs/>
          <w:szCs w:val="24"/>
        </w:rPr>
        <w:t xml:space="preserve"> la d</w:t>
      </w:r>
      <w:r w:rsidRPr="00143A7B">
        <w:rPr>
          <w:rFonts w:cs="Arial"/>
          <w:bCs/>
          <w:szCs w:val="24"/>
        </w:rPr>
        <w:t>isparité de personnel affecté aux fonctions de gestion</w:t>
      </w:r>
      <w:r w:rsidR="008D7F85">
        <w:rPr>
          <w:rFonts w:cs="Arial"/>
          <w:bCs/>
          <w:szCs w:val="24"/>
        </w:rPr>
        <w:t>.</w:t>
      </w:r>
      <w:r w:rsidR="00896F6D">
        <w:rPr>
          <w:rFonts w:cs="Arial"/>
          <w:bCs/>
          <w:szCs w:val="24"/>
        </w:rPr>
        <w:t xml:space="preserve"> Cela pourrait s’expliquer par le fait que :</w:t>
      </w:r>
    </w:p>
    <w:p w14:paraId="6A5F846E" w14:textId="58E68B15" w:rsidR="00896F6D" w:rsidRPr="00896F6D" w:rsidRDefault="00896F6D" w:rsidP="00896F6D">
      <w:pPr>
        <w:pStyle w:val="Paragraphedeliste"/>
        <w:widowControl/>
        <w:numPr>
          <w:ilvl w:val="0"/>
          <w:numId w:val="36"/>
        </w:numPr>
        <w:spacing w:before="0" w:after="160" w:line="259" w:lineRule="auto"/>
        <w:rPr>
          <w:rFonts w:cs="Arial"/>
          <w:bCs/>
          <w:szCs w:val="24"/>
        </w:rPr>
      </w:pPr>
      <w:r w:rsidRPr="00896F6D">
        <w:rPr>
          <w:rFonts w:cs="Arial"/>
          <w:bCs/>
          <w:szCs w:val="24"/>
        </w:rPr>
        <w:t>les partenaires ne financent pas la formation des cadres dans le domaine de la gestion et de la santé publique</w:t>
      </w:r>
      <w:r>
        <w:rPr>
          <w:rFonts w:cs="Arial"/>
          <w:bCs/>
          <w:szCs w:val="24"/>
        </w:rPr>
        <w:t> ;</w:t>
      </w:r>
    </w:p>
    <w:p w14:paraId="7CEA4FA3" w14:textId="5A782071" w:rsidR="00896F6D" w:rsidRDefault="00896F6D" w:rsidP="00896F6D">
      <w:pPr>
        <w:pStyle w:val="Paragraphedeliste"/>
        <w:widowControl/>
        <w:numPr>
          <w:ilvl w:val="0"/>
          <w:numId w:val="36"/>
        </w:numPr>
        <w:spacing w:before="0" w:after="160" w:line="259" w:lineRule="auto"/>
        <w:rPr>
          <w:rFonts w:cs="Arial"/>
          <w:bCs/>
          <w:szCs w:val="24"/>
        </w:rPr>
      </w:pPr>
      <w:r w:rsidRPr="00896F6D">
        <w:rPr>
          <w:rFonts w:cs="Arial"/>
          <w:bCs/>
          <w:szCs w:val="24"/>
        </w:rPr>
        <w:t>le déploiement inéquitable des spécialistes de gestion et de santé publique</w:t>
      </w:r>
      <w:r>
        <w:rPr>
          <w:rFonts w:cs="Arial"/>
          <w:bCs/>
          <w:szCs w:val="24"/>
        </w:rPr>
        <w:t> entre les DPS ;</w:t>
      </w:r>
    </w:p>
    <w:p w14:paraId="4D8180F1" w14:textId="36627A07" w:rsidR="00896F6D" w:rsidRDefault="00896F6D" w:rsidP="00896F6D">
      <w:pPr>
        <w:pStyle w:val="Paragraphedeliste"/>
        <w:widowControl/>
        <w:numPr>
          <w:ilvl w:val="0"/>
          <w:numId w:val="36"/>
        </w:numPr>
        <w:spacing w:before="0" w:after="160" w:line="259" w:lineRule="auto"/>
        <w:rPr>
          <w:rFonts w:cs="Arial"/>
          <w:bCs/>
          <w:szCs w:val="24"/>
        </w:rPr>
      </w:pPr>
      <w:r>
        <w:rPr>
          <w:rFonts w:cs="Arial"/>
          <w:bCs/>
          <w:szCs w:val="24"/>
        </w:rPr>
        <w:t>les outils de gestion du système ne sont pas élaborés par le MS ;</w:t>
      </w:r>
    </w:p>
    <w:p w14:paraId="23CAFAF3" w14:textId="7AF46C4F" w:rsidR="00896F6D" w:rsidRDefault="000C258A" w:rsidP="00896F6D">
      <w:pPr>
        <w:pStyle w:val="Paragraphedeliste"/>
        <w:widowControl/>
        <w:numPr>
          <w:ilvl w:val="0"/>
          <w:numId w:val="36"/>
        </w:numPr>
        <w:spacing w:before="0" w:after="160" w:line="259" w:lineRule="auto"/>
        <w:rPr>
          <w:rFonts w:cs="Arial"/>
          <w:bCs/>
          <w:szCs w:val="24"/>
        </w:rPr>
      </w:pPr>
      <w:r>
        <w:rPr>
          <w:rFonts w:cs="Arial"/>
          <w:bCs/>
          <w:szCs w:val="24"/>
        </w:rPr>
        <w:t>l’insuffisance de mécanismes de suivi et d’évaluation de la mise en œuvre des PAO </w:t>
      </w:r>
      <w:r w:rsidR="00C7639F">
        <w:rPr>
          <w:rFonts w:cs="Arial"/>
          <w:bCs/>
          <w:szCs w:val="24"/>
        </w:rPr>
        <w:t xml:space="preserve">et de la redevabilité </w:t>
      </w:r>
      <w:r>
        <w:rPr>
          <w:rFonts w:cs="Arial"/>
          <w:bCs/>
          <w:szCs w:val="24"/>
        </w:rPr>
        <w:t>;</w:t>
      </w:r>
    </w:p>
    <w:p w14:paraId="1B904896" w14:textId="172E3F31" w:rsidR="00896F6D" w:rsidRPr="00896F6D" w:rsidRDefault="00896F6D" w:rsidP="00F86AE6">
      <w:pPr>
        <w:pStyle w:val="Paragraphedeliste"/>
        <w:widowControl/>
        <w:numPr>
          <w:ilvl w:val="0"/>
          <w:numId w:val="36"/>
        </w:numPr>
        <w:spacing w:before="0" w:after="160" w:line="259" w:lineRule="auto"/>
        <w:rPr>
          <w:rFonts w:cs="Arial"/>
          <w:bCs/>
          <w:szCs w:val="24"/>
        </w:rPr>
      </w:pPr>
      <w:r>
        <w:rPr>
          <w:rFonts w:cs="Arial"/>
          <w:bCs/>
          <w:szCs w:val="24"/>
        </w:rPr>
        <w:t xml:space="preserve">les districts sanitaires ne disposent pas de plans triennaux ou quinquennaux ; </w:t>
      </w:r>
    </w:p>
    <w:p w14:paraId="22AE3C67" w14:textId="69312CB3" w:rsidR="00C7639F" w:rsidRDefault="00F86AE6" w:rsidP="00F86AE6">
      <w:pPr>
        <w:widowControl/>
        <w:spacing w:before="0" w:after="160" w:line="259" w:lineRule="auto"/>
        <w:rPr>
          <w:rFonts w:cs="Arial"/>
          <w:bCs/>
          <w:szCs w:val="24"/>
        </w:rPr>
      </w:pPr>
      <w:r w:rsidRPr="00563E7D">
        <w:rPr>
          <w:rFonts w:cs="Arial"/>
          <w:bCs/>
          <w:szCs w:val="24"/>
        </w:rPr>
        <w:t>P</w:t>
      </w:r>
      <w:r w:rsidR="00111AD6">
        <w:rPr>
          <w:rFonts w:cs="Arial"/>
          <w:bCs/>
          <w:szCs w:val="24"/>
        </w:rPr>
        <w:t xml:space="preserve">our les ressources financières, </w:t>
      </w:r>
      <w:r w:rsidRPr="00563E7D">
        <w:rPr>
          <w:rFonts w:cs="Arial"/>
          <w:bCs/>
          <w:szCs w:val="24"/>
        </w:rPr>
        <w:t>les systèmes d’appui à la gestion</w:t>
      </w:r>
      <w:r w:rsidR="00C7639F">
        <w:rPr>
          <w:rFonts w:cs="Arial"/>
          <w:bCs/>
          <w:szCs w:val="24"/>
        </w:rPr>
        <w:t xml:space="preserve"> financière </w:t>
      </w:r>
      <w:r w:rsidR="00111AD6">
        <w:rPr>
          <w:rFonts w:cs="Arial"/>
          <w:bCs/>
          <w:szCs w:val="24"/>
        </w:rPr>
        <w:t xml:space="preserve">sont peu fonctionnels à cause de </w:t>
      </w:r>
      <w:r w:rsidR="00C7639F">
        <w:rPr>
          <w:rFonts w:cs="Arial"/>
          <w:bCs/>
          <w:szCs w:val="24"/>
        </w:rPr>
        <w:t>:</w:t>
      </w:r>
    </w:p>
    <w:p w14:paraId="148FE2C3" w14:textId="4A50A6B0" w:rsidR="008D7F85" w:rsidRPr="00111AD6" w:rsidRDefault="008D7F85" w:rsidP="00111AD6">
      <w:pPr>
        <w:pStyle w:val="Paragraphedeliste"/>
        <w:widowControl/>
        <w:numPr>
          <w:ilvl w:val="0"/>
          <w:numId w:val="37"/>
        </w:numPr>
        <w:spacing w:before="0" w:after="160" w:line="259" w:lineRule="auto"/>
        <w:rPr>
          <w:rFonts w:cs="Arial"/>
          <w:bCs/>
          <w:szCs w:val="24"/>
        </w:rPr>
      </w:pPr>
      <w:r w:rsidRPr="00111AD6">
        <w:rPr>
          <w:rFonts w:cs="Arial"/>
          <w:bCs/>
          <w:szCs w:val="24"/>
        </w:rPr>
        <w:t xml:space="preserve">il </w:t>
      </w:r>
      <w:r w:rsidR="00F86AE6" w:rsidRPr="00111AD6">
        <w:rPr>
          <w:rFonts w:cs="Arial"/>
          <w:bCs/>
          <w:szCs w:val="24"/>
        </w:rPr>
        <w:t xml:space="preserve">manque de personnels qualifiés pour la réalisation des fonctions </w:t>
      </w:r>
      <w:r w:rsidRPr="00111AD6">
        <w:rPr>
          <w:rFonts w:cs="Arial"/>
          <w:bCs/>
          <w:szCs w:val="24"/>
        </w:rPr>
        <w:t xml:space="preserve">de </w:t>
      </w:r>
      <w:proofErr w:type="spellStart"/>
      <w:r w:rsidR="00F86AE6" w:rsidRPr="00111AD6">
        <w:rPr>
          <w:rFonts w:cs="Arial"/>
          <w:bCs/>
          <w:szCs w:val="24"/>
        </w:rPr>
        <w:t>SAF</w:t>
      </w:r>
      <w:proofErr w:type="spellEnd"/>
      <w:r w:rsidRPr="00111AD6">
        <w:rPr>
          <w:rFonts w:cs="Arial"/>
          <w:bCs/>
          <w:szCs w:val="24"/>
        </w:rPr>
        <w:t xml:space="preserve"> et de </w:t>
      </w:r>
      <w:r w:rsidR="00F86AE6" w:rsidRPr="00111AD6">
        <w:rPr>
          <w:rFonts w:cs="Arial"/>
          <w:bCs/>
          <w:szCs w:val="24"/>
        </w:rPr>
        <w:t>comptable</w:t>
      </w:r>
      <w:r w:rsidR="00111AD6">
        <w:rPr>
          <w:rFonts w:cs="Arial"/>
          <w:bCs/>
          <w:szCs w:val="24"/>
        </w:rPr>
        <w:t> ;</w:t>
      </w:r>
    </w:p>
    <w:p w14:paraId="4409D1CD" w14:textId="3B9D30F8" w:rsidR="00111AD6" w:rsidRDefault="00111AD6" w:rsidP="00111AD6">
      <w:pPr>
        <w:pStyle w:val="Paragraphedeliste"/>
        <w:widowControl/>
        <w:numPr>
          <w:ilvl w:val="0"/>
          <w:numId w:val="37"/>
        </w:numPr>
        <w:spacing w:before="0" w:after="160" w:line="259" w:lineRule="auto"/>
        <w:rPr>
          <w:rFonts w:cs="Arial"/>
          <w:bCs/>
          <w:szCs w:val="24"/>
        </w:rPr>
      </w:pPr>
      <w:r w:rsidRPr="00111AD6">
        <w:rPr>
          <w:rFonts w:cs="Arial"/>
          <w:bCs/>
          <w:szCs w:val="24"/>
        </w:rPr>
        <w:t>l’irrégula</w:t>
      </w:r>
      <w:r>
        <w:rPr>
          <w:rFonts w:cs="Arial"/>
          <w:bCs/>
          <w:szCs w:val="24"/>
        </w:rPr>
        <w:t>ri</w:t>
      </w:r>
      <w:r w:rsidRPr="00111AD6">
        <w:rPr>
          <w:rFonts w:cs="Arial"/>
          <w:bCs/>
          <w:szCs w:val="24"/>
        </w:rPr>
        <w:t>té de crédits budgétaire</w:t>
      </w:r>
      <w:r w:rsidR="00393630">
        <w:rPr>
          <w:rFonts w:cs="Arial"/>
          <w:bCs/>
          <w:szCs w:val="24"/>
        </w:rPr>
        <w:t xml:space="preserve">s </w:t>
      </w:r>
      <w:r w:rsidRPr="00111AD6">
        <w:rPr>
          <w:rFonts w:cs="Arial"/>
          <w:bCs/>
          <w:szCs w:val="24"/>
        </w:rPr>
        <w:t>pour le fonctionnement</w:t>
      </w:r>
      <w:r>
        <w:rPr>
          <w:rFonts w:cs="Arial"/>
          <w:bCs/>
          <w:szCs w:val="24"/>
        </w:rPr>
        <w:t xml:space="preserve"> délégués aux districts</w:t>
      </w:r>
      <w:r w:rsidR="00EC2908">
        <w:rPr>
          <w:rFonts w:cs="Arial"/>
          <w:bCs/>
          <w:szCs w:val="24"/>
        </w:rPr>
        <w:t> ;</w:t>
      </w:r>
    </w:p>
    <w:p w14:paraId="1E8CC3D8" w14:textId="7EB0D56C" w:rsidR="00111AD6" w:rsidRDefault="00111AD6" w:rsidP="00111AD6">
      <w:pPr>
        <w:pStyle w:val="Paragraphedeliste"/>
        <w:widowControl/>
        <w:numPr>
          <w:ilvl w:val="0"/>
          <w:numId w:val="37"/>
        </w:numPr>
        <w:spacing w:before="0" w:after="160" w:line="259" w:lineRule="auto"/>
        <w:rPr>
          <w:rFonts w:cs="Arial"/>
          <w:bCs/>
          <w:szCs w:val="24"/>
        </w:rPr>
      </w:pPr>
      <w:r>
        <w:rPr>
          <w:rFonts w:cs="Arial"/>
          <w:bCs/>
          <w:szCs w:val="24"/>
        </w:rPr>
        <w:t xml:space="preserve">le manque de transparence dans la gestion </w:t>
      </w:r>
      <w:r w:rsidR="00393630">
        <w:rPr>
          <w:rFonts w:cs="Arial"/>
          <w:bCs/>
          <w:szCs w:val="24"/>
        </w:rPr>
        <w:t>des crédits délégués entre la DP</w:t>
      </w:r>
      <w:r>
        <w:rPr>
          <w:rFonts w:cs="Arial"/>
          <w:bCs/>
          <w:szCs w:val="24"/>
        </w:rPr>
        <w:t>S et les services financiers  de la préfecture</w:t>
      </w:r>
      <w:r w:rsidR="00D34E94">
        <w:rPr>
          <w:rFonts w:cs="Arial"/>
          <w:bCs/>
          <w:szCs w:val="24"/>
        </w:rPr>
        <w:t> ;</w:t>
      </w:r>
    </w:p>
    <w:p w14:paraId="6B4D6025" w14:textId="5BEE6657" w:rsidR="00EC2908" w:rsidRDefault="00EC2908" w:rsidP="00111AD6">
      <w:pPr>
        <w:pStyle w:val="Paragraphedeliste"/>
        <w:widowControl/>
        <w:numPr>
          <w:ilvl w:val="0"/>
          <w:numId w:val="37"/>
        </w:numPr>
        <w:spacing w:before="0" w:after="160" w:line="259" w:lineRule="auto"/>
        <w:rPr>
          <w:rFonts w:cs="Arial"/>
          <w:bCs/>
          <w:szCs w:val="24"/>
        </w:rPr>
      </w:pPr>
      <w:r>
        <w:rPr>
          <w:rFonts w:cs="Arial"/>
          <w:bCs/>
          <w:szCs w:val="24"/>
        </w:rPr>
        <w:t xml:space="preserve">l’absence de formation continue des agents </w:t>
      </w:r>
      <w:proofErr w:type="spellStart"/>
      <w:r>
        <w:rPr>
          <w:rFonts w:cs="Arial"/>
          <w:bCs/>
          <w:szCs w:val="24"/>
        </w:rPr>
        <w:t>SAF</w:t>
      </w:r>
      <w:proofErr w:type="spellEnd"/>
      <w:r>
        <w:rPr>
          <w:rFonts w:cs="Arial"/>
          <w:bCs/>
          <w:szCs w:val="24"/>
        </w:rPr>
        <w:t xml:space="preserve"> des services déconcentrés</w:t>
      </w:r>
      <w:r w:rsidR="00D34E94">
        <w:rPr>
          <w:rFonts w:cs="Arial"/>
          <w:bCs/>
          <w:szCs w:val="24"/>
        </w:rPr>
        <w:t> ;</w:t>
      </w:r>
    </w:p>
    <w:p w14:paraId="5B2E566C" w14:textId="63D8EBF9" w:rsidR="00C7639F" w:rsidRPr="00D34E94" w:rsidRDefault="00EC2908" w:rsidP="00F86AE6">
      <w:pPr>
        <w:pStyle w:val="Paragraphedeliste"/>
        <w:widowControl/>
        <w:numPr>
          <w:ilvl w:val="0"/>
          <w:numId w:val="37"/>
        </w:numPr>
        <w:spacing w:before="0" w:after="160" w:line="259" w:lineRule="auto"/>
        <w:rPr>
          <w:rFonts w:cs="Arial"/>
          <w:bCs/>
          <w:szCs w:val="24"/>
        </w:rPr>
      </w:pPr>
      <w:r>
        <w:rPr>
          <w:rFonts w:cs="Arial"/>
          <w:bCs/>
          <w:szCs w:val="24"/>
        </w:rPr>
        <w:t xml:space="preserve">la faible  vulgarisation des manuels de gestion financière au niveau des </w:t>
      </w:r>
      <w:proofErr w:type="spellStart"/>
      <w:r>
        <w:rPr>
          <w:rFonts w:cs="Arial"/>
          <w:bCs/>
          <w:szCs w:val="24"/>
        </w:rPr>
        <w:t>SAF</w:t>
      </w:r>
      <w:proofErr w:type="spellEnd"/>
      <w:r>
        <w:rPr>
          <w:rFonts w:cs="Arial"/>
          <w:bCs/>
          <w:szCs w:val="24"/>
        </w:rPr>
        <w:t xml:space="preserve"> des services </w:t>
      </w:r>
      <w:r w:rsidR="00D34E94">
        <w:rPr>
          <w:rFonts w:cs="Arial"/>
          <w:bCs/>
          <w:szCs w:val="24"/>
        </w:rPr>
        <w:t>déconcentrés.</w:t>
      </w:r>
    </w:p>
    <w:p w14:paraId="73BEE68B" w14:textId="5165175D" w:rsidR="00F86AE6" w:rsidRDefault="00F86AE6" w:rsidP="00F86AE6">
      <w:pPr>
        <w:widowControl/>
        <w:spacing w:before="0" w:after="160" w:line="259" w:lineRule="auto"/>
        <w:rPr>
          <w:rFonts w:cs="Arial"/>
          <w:bCs/>
          <w:szCs w:val="24"/>
        </w:rPr>
      </w:pPr>
      <w:r w:rsidRPr="00012691">
        <w:rPr>
          <w:rFonts w:cs="Arial"/>
          <w:bCs/>
          <w:szCs w:val="24"/>
        </w:rPr>
        <w:t>En ma</w:t>
      </w:r>
      <w:r w:rsidR="00D34E94">
        <w:rPr>
          <w:rFonts w:cs="Arial"/>
          <w:bCs/>
          <w:szCs w:val="24"/>
        </w:rPr>
        <w:t xml:space="preserve">tière du système d’information, </w:t>
      </w:r>
      <w:r w:rsidRPr="00012691">
        <w:rPr>
          <w:rFonts w:cs="Arial"/>
          <w:bCs/>
          <w:szCs w:val="24"/>
        </w:rPr>
        <w:t>l’importance est accordé</w:t>
      </w:r>
      <w:r w:rsidR="006D4B73">
        <w:rPr>
          <w:rFonts w:cs="Arial"/>
          <w:bCs/>
          <w:szCs w:val="24"/>
        </w:rPr>
        <w:t>e</w:t>
      </w:r>
      <w:r w:rsidRPr="00012691">
        <w:rPr>
          <w:rFonts w:cs="Arial"/>
          <w:bCs/>
          <w:szCs w:val="24"/>
        </w:rPr>
        <w:t xml:space="preserve"> au système d’information sanitaire et le système d’information pour gestion est relégué au second plan comme le montre la faible disponibilité de documents de normes et procédures de gestion</w:t>
      </w:r>
      <w:r w:rsidRPr="00012691">
        <w:rPr>
          <w:rFonts w:eastAsia="Times New Roman" w:cs="Arial"/>
          <w:b/>
          <w:bCs/>
          <w:szCs w:val="24"/>
          <w:lang w:eastAsia="fr-FR"/>
        </w:rPr>
        <w:t xml:space="preserve"> </w:t>
      </w:r>
      <w:r w:rsidRPr="00012691">
        <w:rPr>
          <w:rFonts w:cs="Arial"/>
          <w:bCs/>
          <w:szCs w:val="24"/>
        </w:rPr>
        <w:t>financière, de matériel</w:t>
      </w:r>
      <w:r w:rsidR="008D7F85">
        <w:rPr>
          <w:rFonts w:cs="Arial"/>
          <w:bCs/>
          <w:szCs w:val="24"/>
        </w:rPr>
        <w:t>,</w:t>
      </w:r>
      <w:r w:rsidRPr="00012691">
        <w:rPr>
          <w:rFonts w:cs="Arial"/>
          <w:bCs/>
          <w:szCs w:val="24"/>
        </w:rPr>
        <w:t xml:space="preserve"> du personnel, des approvisionnements et Indisponibilité des données sur les dépenses</w:t>
      </w:r>
      <w:r w:rsidR="006D4B73">
        <w:rPr>
          <w:rFonts w:cs="Arial"/>
          <w:bCs/>
          <w:szCs w:val="24"/>
        </w:rPr>
        <w:t>.</w:t>
      </w:r>
    </w:p>
    <w:p w14:paraId="10A633AD" w14:textId="1BE54B8A" w:rsidR="00F86AE6" w:rsidRPr="00817E84" w:rsidRDefault="00F86AE6" w:rsidP="006D4B73">
      <w:pPr>
        <w:spacing w:before="0" w:line="259" w:lineRule="auto"/>
        <w:rPr>
          <w:rFonts w:cs="Arial"/>
          <w:bCs/>
          <w:szCs w:val="24"/>
        </w:rPr>
      </w:pPr>
      <w:r w:rsidRPr="00A82EEF">
        <w:rPr>
          <w:rFonts w:cs="Arial"/>
          <w:bCs/>
          <w:szCs w:val="24"/>
        </w:rPr>
        <w:t>En ce qui concerne</w:t>
      </w:r>
      <w:r>
        <w:rPr>
          <w:rFonts w:cs="Arial"/>
          <w:bCs/>
          <w:szCs w:val="24"/>
        </w:rPr>
        <w:t xml:space="preserve"> les </w:t>
      </w:r>
      <w:r w:rsidRPr="00A82EEF">
        <w:rPr>
          <w:rFonts w:cs="Arial"/>
          <w:bCs/>
          <w:szCs w:val="24"/>
        </w:rPr>
        <w:t>prestation</w:t>
      </w:r>
      <w:r>
        <w:rPr>
          <w:rFonts w:cs="Arial"/>
          <w:bCs/>
          <w:szCs w:val="24"/>
        </w:rPr>
        <w:t>s</w:t>
      </w:r>
      <w:r w:rsidR="008D7F85">
        <w:rPr>
          <w:rFonts w:cs="Arial"/>
          <w:bCs/>
          <w:szCs w:val="24"/>
        </w:rPr>
        <w:t>,</w:t>
      </w:r>
      <w:r w:rsidRPr="00A82EEF">
        <w:rPr>
          <w:rFonts w:cs="Arial"/>
          <w:bCs/>
          <w:szCs w:val="24"/>
        </w:rPr>
        <w:t xml:space="preserve"> le paquet d’activité</w:t>
      </w:r>
      <w:r w:rsidR="008D7F85">
        <w:rPr>
          <w:rFonts w:cs="Arial"/>
          <w:bCs/>
          <w:szCs w:val="24"/>
        </w:rPr>
        <w:t>s</w:t>
      </w:r>
      <w:r w:rsidRPr="00A82EEF">
        <w:rPr>
          <w:rFonts w:cs="Arial"/>
          <w:bCs/>
          <w:szCs w:val="24"/>
        </w:rPr>
        <w:t xml:space="preserve"> des services essentiel</w:t>
      </w:r>
      <w:r w:rsidR="008D7F85">
        <w:rPr>
          <w:rFonts w:cs="Arial"/>
          <w:bCs/>
          <w:szCs w:val="24"/>
        </w:rPr>
        <w:t>s</w:t>
      </w:r>
      <w:r w:rsidRPr="00A82EEF">
        <w:rPr>
          <w:rFonts w:cs="Arial"/>
          <w:bCs/>
          <w:szCs w:val="24"/>
        </w:rPr>
        <w:t xml:space="preserve"> n’est pas systématique dans toutes les Fosa</w:t>
      </w:r>
      <w:r w:rsidR="008D7F85">
        <w:rPr>
          <w:rFonts w:cs="Arial"/>
          <w:bCs/>
          <w:szCs w:val="24"/>
        </w:rPr>
        <w:t xml:space="preserve"> ; </w:t>
      </w:r>
      <w:r w:rsidRPr="00A82EEF">
        <w:rPr>
          <w:rFonts w:cs="Arial"/>
          <w:bCs/>
          <w:szCs w:val="24"/>
        </w:rPr>
        <w:t>par exemple</w:t>
      </w:r>
      <w:r w:rsidR="008D7F85">
        <w:rPr>
          <w:rFonts w:cs="Arial"/>
          <w:bCs/>
          <w:szCs w:val="24"/>
        </w:rPr>
        <w:t>,</w:t>
      </w:r>
      <w:r w:rsidRPr="00A82EEF">
        <w:rPr>
          <w:rFonts w:cs="Arial"/>
          <w:bCs/>
          <w:szCs w:val="24"/>
        </w:rPr>
        <w:t xml:space="preserve"> le faible taux des formations sanitaires offrant le traite</w:t>
      </w:r>
      <w:r w:rsidR="006B3AD3">
        <w:rPr>
          <w:rFonts w:cs="Arial"/>
          <w:bCs/>
          <w:szCs w:val="24"/>
        </w:rPr>
        <w:t xml:space="preserve">ment </w:t>
      </w:r>
      <w:proofErr w:type="spellStart"/>
      <w:r w:rsidR="006B3AD3">
        <w:rPr>
          <w:rFonts w:cs="Arial"/>
          <w:bCs/>
          <w:szCs w:val="24"/>
        </w:rPr>
        <w:t>ARV</w:t>
      </w:r>
      <w:proofErr w:type="spellEnd"/>
      <w:r w:rsidR="006B3AD3">
        <w:rPr>
          <w:rFonts w:cs="Arial"/>
          <w:bCs/>
          <w:szCs w:val="24"/>
        </w:rPr>
        <w:t>.</w:t>
      </w:r>
    </w:p>
    <w:p w14:paraId="2A53D485" w14:textId="4F5E4D69" w:rsidR="001C54AC" w:rsidRPr="009934AC" w:rsidRDefault="00E72365" w:rsidP="00460F99">
      <w:pPr>
        <w:pStyle w:val="Titre2"/>
        <w:numPr>
          <w:ilvl w:val="1"/>
          <w:numId w:val="33"/>
        </w:numPr>
      </w:pPr>
      <w:r>
        <w:t xml:space="preserve"> </w:t>
      </w:r>
      <w:bookmarkStart w:id="302" w:name="_Toc63233250"/>
      <w:r w:rsidR="009934AC" w:rsidRPr="006D4B73">
        <w:rPr>
          <w:color w:val="2F5496" w:themeColor="accent5" w:themeShade="BF"/>
        </w:rPr>
        <w:t>Recommandations</w:t>
      </w:r>
      <w:bookmarkEnd w:id="302"/>
    </w:p>
    <w:p w14:paraId="069865D3" w14:textId="6EB2A3F8" w:rsidR="00F2542E" w:rsidRPr="006D4B73" w:rsidRDefault="00FE2F1A" w:rsidP="004853B4">
      <w:pPr>
        <w:rPr>
          <w:szCs w:val="24"/>
        </w:rPr>
      </w:pPr>
      <w:r w:rsidRPr="006D4B73">
        <w:rPr>
          <w:szCs w:val="24"/>
        </w:rPr>
        <w:t>Les recommandations</w:t>
      </w:r>
      <w:r w:rsidR="004853B4" w:rsidRPr="006D4B73">
        <w:rPr>
          <w:szCs w:val="24"/>
        </w:rPr>
        <w:t xml:space="preserve"> s’articulent</w:t>
      </w:r>
      <w:r w:rsidR="00FB56F6" w:rsidRPr="006D4B73">
        <w:rPr>
          <w:szCs w:val="24"/>
        </w:rPr>
        <w:t xml:space="preserve"> essentiellement autour des fonctions de</w:t>
      </w:r>
      <w:r w:rsidR="004853B4" w:rsidRPr="006D4B73">
        <w:rPr>
          <w:szCs w:val="24"/>
        </w:rPr>
        <w:t xml:space="preserve"> gestion</w:t>
      </w:r>
      <w:r w:rsidR="00FB56F6" w:rsidRPr="006D4B73">
        <w:rPr>
          <w:szCs w:val="24"/>
        </w:rPr>
        <w:t xml:space="preserve"> : </w:t>
      </w:r>
      <w:r w:rsidR="008D7F85" w:rsidRPr="006D4B73">
        <w:rPr>
          <w:szCs w:val="24"/>
        </w:rPr>
        <w:t>organisation</w:t>
      </w:r>
      <w:r w:rsidR="00FB56F6" w:rsidRPr="006D4B73">
        <w:rPr>
          <w:szCs w:val="24"/>
        </w:rPr>
        <w:t>, gestion</w:t>
      </w:r>
      <w:r w:rsidR="004853B4" w:rsidRPr="006D4B73">
        <w:rPr>
          <w:szCs w:val="24"/>
        </w:rPr>
        <w:t xml:space="preserve"> financière, </w:t>
      </w:r>
      <w:r w:rsidR="00C73439" w:rsidRPr="006D4B73">
        <w:rPr>
          <w:szCs w:val="24"/>
        </w:rPr>
        <w:t xml:space="preserve">gestion </w:t>
      </w:r>
      <w:r w:rsidR="007C29C4" w:rsidRPr="006D4B73">
        <w:rPr>
          <w:szCs w:val="24"/>
        </w:rPr>
        <w:t xml:space="preserve">des ressources </w:t>
      </w:r>
      <w:r w:rsidR="004853B4" w:rsidRPr="006D4B73">
        <w:rPr>
          <w:szCs w:val="24"/>
        </w:rPr>
        <w:t>humaine</w:t>
      </w:r>
      <w:r w:rsidR="007C29C4" w:rsidRPr="006D4B73">
        <w:rPr>
          <w:szCs w:val="24"/>
        </w:rPr>
        <w:t>s</w:t>
      </w:r>
      <w:r w:rsidR="004853B4" w:rsidRPr="006D4B73">
        <w:rPr>
          <w:szCs w:val="24"/>
        </w:rPr>
        <w:t xml:space="preserve">, </w:t>
      </w:r>
      <w:r w:rsidR="00C73439" w:rsidRPr="006D4B73">
        <w:rPr>
          <w:szCs w:val="24"/>
        </w:rPr>
        <w:t xml:space="preserve">gestion de la </w:t>
      </w:r>
      <w:r w:rsidR="004853B4" w:rsidRPr="006D4B73">
        <w:rPr>
          <w:szCs w:val="24"/>
        </w:rPr>
        <w:t xml:space="preserve">logistique et </w:t>
      </w:r>
      <w:r w:rsidR="00C73439" w:rsidRPr="006D4B73">
        <w:rPr>
          <w:szCs w:val="24"/>
        </w:rPr>
        <w:t xml:space="preserve">du </w:t>
      </w:r>
      <w:r w:rsidR="00C65D85" w:rsidRPr="006D4B73">
        <w:rPr>
          <w:szCs w:val="24"/>
        </w:rPr>
        <w:t>matériel</w:t>
      </w:r>
      <w:r w:rsidR="004853B4" w:rsidRPr="006D4B73">
        <w:rPr>
          <w:szCs w:val="24"/>
        </w:rPr>
        <w:t xml:space="preserve">, </w:t>
      </w:r>
      <w:r w:rsidR="00C73439" w:rsidRPr="006D4B73">
        <w:rPr>
          <w:szCs w:val="24"/>
        </w:rPr>
        <w:t>gestion d</w:t>
      </w:r>
      <w:r w:rsidR="00F2542E" w:rsidRPr="006D4B73">
        <w:rPr>
          <w:szCs w:val="24"/>
        </w:rPr>
        <w:t>es médicaments et d</w:t>
      </w:r>
      <w:r w:rsidR="004853B4" w:rsidRPr="006D4B73">
        <w:rPr>
          <w:szCs w:val="24"/>
        </w:rPr>
        <w:t xml:space="preserve">es moyens de transport. </w:t>
      </w:r>
    </w:p>
    <w:p w14:paraId="31EACB16" w14:textId="5EB73DD5" w:rsidR="004853B4" w:rsidRDefault="00F2542E" w:rsidP="004853B4">
      <w:pPr>
        <w:rPr>
          <w:szCs w:val="24"/>
        </w:rPr>
      </w:pPr>
      <w:r w:rsidRPr="006D4B73">
        <w:rPr>
          <w:szCs w:val="24"/>
        </w:rPr>
        <w:t>L</w:t>
      </w:r>
      <w:r w:rsidR="004853B4" w:rsidRPr="006D4B73">
        <w:rPr>
          <w:szCs w:val="24"/>
        </w:rPr>
        <w:t>es recommandations</w:t>
      </w:r>
      <w:r w:rsidRPr="006D4B73">
        <w:rPr>
          <w:szCs w:val="24"/>
        </w:rPr>
        <w:t xml:space="preserve"> principales </w:t>
      </w:r>
      <w:r w:rsidR="004853B4" w:rsidRPr="006D4B73">
        <w:rPr>
          <w:szCs w:val="24"/>
        </w:rPr>
        <w:t>sont les suivantes :</w:t>
      </w:r>
    </w:p>
    <w:p w14:paraId="38F59AE4" w14:textId="31F3E9FF" w:rsidR="00BA10EE" w:rsidRPr="00BA10EE" w:rsidRDefault="00BA10EE" w:rsidP="004853B4">
      <w:pPr>
        <w:rPr>
          <w:b/>
          <w:szCs w:val="24"/>
        </w:rPr>
      </w:pPr>
      <w:r w:rsidRPr="00BA10EE">
        <w:rPr>
          <w:b/>
          <w:szCs w:val="24"/>
        </w:rPr>
        <w:t>Au niveau du Ministère de la santé</w:t>
      </w:r>
    </w:p>
    <w:p w14:paraId="177DC8E3" w14:textId="33998A43" w:rsidR="004853B4" w:rsidRPr="006D4B73" w:rsidRDefault="004853B4"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D</w:t>
      </w:r>
      <w:r w:rsidR="00C65D85" w:rsidRPr="006D4B73">
        <w:rPr>
          <w:szCs w:val="24"/>
        </w:rPr>
        <w:t>issocier</w:t>
      </w:r>
      <w:r w:rsidR="00CC1883" w:rsidRPr="006D4B73">
        <w:rPr>
          <w:szCs w:val="24"/>
        </w:rPr>
        <w:t xml:space="preserve"> </w:t>
      </w:r>
      <w:r w:rsidRPr="006D4B73">
        <w:rPr>
          <w:szCs w:val="24"/>
        </w:rPr>
        <w:t>l’implantation des formations sanitaires de la subdivision administrative </w:t>
      </w:r>
      <w:r w:rsidR="00CC1883" w:rsidRPr="006D4B73">
        <w:rPr>
          <w:szCs w:val="24"/>
        </w:rPr>
        <w:t>par la création</w:t>
      </w:r>
      <w:r w:rsidR="00573E6D" w:rsidRPr="006D4B73">
        <w:rPr>
          <w:szCs w:val="24"/>
        </w:rPr>
        <w:t>,</w:t>
      </w:r>
      <w:r w:rsidR="00CC1883" w:rsidRPr="006D4B73">
        <w:rPr>
          <w:szCs w:val="24"/>
        </w:rPr>
        <w:t xml:space="preserve"> au cas par cas</w:t>
      </w:r>
      <w:r w:rsidR="00573E6D" w:rsidRPr="006D4B73">
        <w:rPr>
          <w:szCs w:val="24"/>
        </w:rPr>
        <w:t>,</w:t>
      </w:r>
      <w:r w:rsidR="00CC1883" w:rsidRPr="006D4B73">
        <w:rPr>
          <w:szCs w:val="24"/>
        </w:rPr>
        <w:t xml:space="preserve"> selon les préfectures</w:t>
      </w:r>
      <w:r w:rsidR="00573E6D" w:rsidRPr="006D4B73">
        <w:rPr>
          <w:szCs w:val="24"/>
        </w:rPr>
        <w:t>,</w:t>
      </w:r>
      <w:r w:rsidR="00CC1883" w:rsidRPr="006D4B73">
        <w:rPr>
          <w:szCs w:val="24"/>
        </w:rPr>
        <w:t xml:space="preserve"> des sous-districts de santé</w:t>
      </w:r>
      <w:r w:rsidR="006D4B73">
        <w:rPr>
          <w:szCs w:val="24"/>
        </w:rPr>
        <w:t xml:space="preserve"> </w:t>
      </w:r>
      <w:r w:rsidRPr="006D4B73">
        <w:rPr>
          <w:szCs w:val="24"/>
        </w:rPr>
        <w:t>;</w:t>
      </w:r>
    </w:p>
    <w:p w14:paraId="4F90614A" w14:textId="77777777" w:rsidR="004853B4" w:rsidRPr="006D4B73" w:rsidRDefault="004853B4"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Mettre à jour la carte sanitaire en tenant compte de l’accroissement démographique ;</w:t>
      </w:r>
    </w:p>
    <w:p w14:paraId="70F12FE4" w14:textId="6D425AC1" w:rsidR="004853B4" w:rsidRPr="006D4B73" w:rsidRDefault="00D60627"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Renforcer</w:t>
      </w:r>
      <w:r w:rsidR="004853B4" w:rsidRPr="006D4B73">
        <w:rPr>
          <w:szCs w:val="24"/>
        </w:rPr>
        <w:t xml:space="preserve"> la régulation du marché des soins ;</w:t>
      </w:r>
    </w:p>
    <w:p w14:paraId="6FC74020" w14:textId="193A90FA" w:rsidR="004853B4" w:rsidRPr="006D4B73" w:rsidRDefault="00D60627"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Faciliter</w:t>
      </w:r>
      <w:r w:rsidR="004853B4" w:rsidRPr="006D4B73">
        <w:rPr>
          <w:szCs w:val="24"/>
        </w:rPr>
        <w:t xml:space="preserve"> le partenariat public-privé dans le secteur de la santé ;</w:t>
      </w:r>
    </w:p>
    <w:p w14:paraId="49F40708" w14:textId="77777777" w:rsidR="004853B4" w:rsidRPr="006D4B73" w:rsidRDefault="004853B4"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Lutter contre l’implantation anarchique des structures privées ;</w:t>
      </w:r>
    </w:p>
    <w:p w14:paraId="31BE9E0A" w14:textId="77777777" w:rsidR="004853B4" w:rsidRDefault="004853B4" w:rsidP="00BA10EE">
      <w:pPr>
        <w:pStyle w:val="Paragraphedeliste"/>
        <w:widowControl/>
        <w:numPr>
          <w:ilvl w:val="0"/>
          <w:numId w:val="27"/>
        </w:numPr>
        <w:tabs>
          <w:tab w:val="left" w:pos="1967"/>
        </w:tabs>
        <w:spacing w:before="0" w:after="160" w:line="259" w:lineRule="auto"/>
        <w:ind w:left="634" w:hanging="284"/>
        <w:rPr>
          <w:szCs w:val="24"/>
        </w:rPr>
      </w:pPr>
      <w:proofErr w:type="spellStart"/>
      <w:r w:rsidRPr="006D4B73">
        <w:rPr>
          <w:szCs w:val="24"/>
        </w:rPr>
        <w:t>Elaborer</w:t>
      </w:r>
      <w:proofErr w:type="spellEnd"/>
      <w:r w:rsidRPr="006D4B73">
        <w:rPr>
          <w:szCs w:val="24"/>
        </w:rPr>
        <w:t xml:space="preserve"> et rendre disponible les directives régissant le fonctionnement du Comité préfectoral de coordination du secteur de la santé ;</w:t>
      </w:r>
    </w:p>
    <w:p w14:paraId="51A6EFE1" w14:textId="77777777" w:rsidR="00BA10EE" w:rsidRPr="006D4B73" w:rsidRDefault="00BA10EE"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Poursuivre la mise à échelle des prestations des programmes verticaux dans les PMA des formations sanitaires de base ;</w:t>
      </w:r>
    </w:p>
    <w:p w14:paraId="0C4D7930" w14:textId="77777777" w:rsidR="00BA10EE" w:rsidRPr="006D4B73" w:rsidRDefault="00BA10EE"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Renforcer le recrutement et l’utilisation du personnel médical à l’intérieur du pays ;</w:t>
      </w:r>
    </w:p>
    <w:p w14:paraId="0B0C0911" w14:textId="77777777" w:rsidR="00BA10EE" w:rsidRPr="00BA10EE" w:rsidRDefault="00BA10EE" w:rsidP="00BA10EE">
      <w:pPr>
        <w:pStyle w:val="Paragraphedeliste"/>
        <w:widowControl/>
        <w:numPr>
          <w:ilvl w:val="0"/>
          <w:numId w:val="27"/>
        </w:numPr>
        <w:tabs>
          <w:tab w:val="left" w:pos="1967"/>
        </w:tabs>
        <w:spacing w:before="0" w:after="160" w:line="259" w:lineRule="auto"/>
        <w:ind w:left="634" w:hanging="284"/>
        <w:rPr>
          <w:szCs w:val="24"/>
        </w:rPr>
      </w:pPr>
      <w:r w:rsidRPr="00BA10EE">
        <w:rPr>
          <w:szCs w:val="24"/>
        </w:rPr>
        <w:t>Affecter le personnel spécialiste de santé publique et de gestion dans les structures de gestion de l’intérieur du pays</w:t>
      </w:r>
    </w:p>
    <w:p w14:paraId="5F26E180" w14:textId="67C49AFA" w:rsidR="00BA10EE" w:rsidRPr="00BA10EE" w:rsidRDefault="00BA10EE" w:rsidP="00BA10EE">
      <w:pPr>
        <w:widowControl/>
        <w:tabs>
          <w:tab w:val="left" w:pos="1967"/>
        </w:tabs>
        <w:spacing w:before="0" w:after="160" w:line="259" w:lineRule="auto"/>
        <w:ind w:left="66"/>
        <w:rPr>
          <w:b/>
          <w:szCs w:val="24"/>
        </w:rPr>
      </w:pPr>
      <w:r w:rsidRPr="00BA10EE">
        <w:rPr>
          <w:b/>
          <w:szCs w:val="24"/>
        </w:rPr>
        <w:t xml:space="preserve">Au niveau des DPS </w:t>
      </w:r>
    </w:p>
    <w:p w14:paraId="78C1C131" w14:textId="77777777" w:rsidR="004853B4" w:rsidRPr="006D4B73" w:rsidRDefault="004853B4"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Impliquer les différents acteurs dans l’élaboration des PAO ;</w:t>
      </w:r>
    </w:p>
    <w:p w14:paraId="3A028215" w14:textId="77777777" w:rsidR="00BA10EE" w:rsidRDefault="004853B4"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Meubler les cadres organiques des structures sanitaires des districts ;</w:t>
      </w:r>
    </w:p>
    <w:p w14:paraId="50EABB70" w14:textId="0D45332D" w:rsidR="004853B4" w:rsidRPr="00BA10EE" w:rsidRDefault="004853B4" w:rsidP="00BA10EE">
      <w:pPr>
        <w:pStyle w:val="Paragraphedeliste"/>
        <w:widowControl/>
        <w:numPr>
          <w:ilvl w:val="0"/>
          <w:numId w:val="27"/>
        </w:numPr>
        <w:tabs>
          <w:tab w:val="left" w:pos="1967"/>
        </w:tabs>
        <w:spacing w:before="0" w:after="160" w:line="259" w:lineRule="auto"/>
        <w:ind w:left="634" w:hanging="284"/>
        <w:rPr>
          <w:szCs w:val="24"/>
        </w:rPr>
      </w:pPr>
      <w:r w:rsidRPr="00BA10EE">
        <w:rPr>
          <w:szCs w:val="24"/>
        </w:rPr>
        <w:t>Favoriser l’implication des équipes cadres dans les activités communautaires ;</w:t>
      </w:r>
    </w:p>
    <w:p w14:paraId="5825957F" w14:textId="70FCF6EB" w:rsidR="004853B4" w:rsidRPr="006D4B73" w:rsidRDefault="004853B4" w:rsidP="00BA10EE">
      <w:pPr>
        <w:pStyle w:val="Paragraphedeliste"/>
        <w:widowControl/>
        <w:numPr>
          <w:ilvl w:val="0"/>
          <w:numId w:val="16"/>
        </w:numPr>
        <w:spacing w:before="0" w:after="160" w:line="259" w:lineRule="auto"/>
        <w:ind w:left="710"/>
        <w:rPr>
          <w:szCs w:val="24"/>
        </w:rPr>
      </w:pPr>
      <w:r w:rsidRPr="006D4B73">
        <w:rPr>
          <w:szCs w:val="24"/>
        </w:rPr>
        <w:t xml:space="preserve">Intégrer les formations sanitaires privés formels qui développent des activités de soins dans le </w:t>
      </w:r>
      <w:proofErr w:type="spellStart"/>
      <w:r w:rsidRPr="006D4B73">
        <w:rPr>
          <w:szCs w:val="24"/>
        </w:rPr>
        <w:t>SNIS</w:t>
      </w:r>
      <w:proofErr w:type="spellEnd"/>
      <w:r w:rsidRPr="006D4B73">
        <w:rPr>
          <w:szCs w:val="24"/>
        </w:rPr>
        <w:t> ;</w:t>
      </w:r>
    </w:p>
    <w:p w14:paraId="34E512DD" w14:textId="77777777" w:rsidR="004853B4" w:rsidRPr="006D4B73" w:rsidRDefault="004853B4"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Promouvoir la contribution des communautés dans la fourniture des ressources en santé ;</w:t>
      </w:r>
    </w:p>
    <w:p w14:paraId="5DAC25FB" w14:textId="4E4657AB" w:rsidR="004853B4" w:rsidRPr="006D4B73" w:rsidRDefault="00CD36F4" w:rsidP="00BA10EE">
      <w:pPr>
        <w:pStyle w:val="Paragraphedeliste"/>
        <w:widowControl/>
        <w:numPr>
          <w:ilvl w:val="0"/>
          <w:numId w:val="27"/>
        </w:numPr>
        <w:tabs>
          <w:tab w:val="left" w:pos="1967"/>
        </w:tabs>
        <w:spacing w:before="0" w:after="160" w:line="259" w:lineRule="auto"/>
        <w:ind w:left="634" w:hanging="284"/>
        <w:rPr>
          <w:szCs w:val="24"/>
        </w:rPr>
      </w:pPr>
      <w:r w:rsidRPr="006D4B73">
        <w:rPr>
          <w:szCs w:val="24"/>
        </w:rPr>
        <w:t>Garantir</w:t>
      </w:r>
      <w:r w:rsidR="004853B4" w:rsidRPr="006D4B73">
        <w:rPr>
          <w:szCs w:val="24"/>
        </w:rPr>
        <w:t xml:space="preserve"> la disponibilité des médicaments ;</w:t>
      </w:r>
    </w:p>
    <w:p w14:paraId="6A92395C" w14:textId="21481410" w:rsidR="00AF29C6" w:rsidRPr="0001795E" w:rsidRDefault="00AF29C6" w:rsidP="006A44DA">
      <w:pPr>
        <w:pStyle w:val="Titre1"/>
      </w:pPr>
      <w:bookmarkStart w:id="303" w:name="_Toc63233251"/>
      <w:r w:rsidRPr="0001795E">
        <w:t>CONCLUSION</w:t>
      </w:r>
      <w:bookmarkEnd w:id="303"/>
    </w:p>
    <w:p w14:paraId="44FF817E" w14:textId="4F06B6BE" w:rsidR="0035174C" w:rsidRDefault="000D60BE" w:rsidP="006F39C5">
      <w:pPr>
        <w:rPr>
          <w:rFonts w:eastAsia="Times New Roman" w:cs="Arial"/>
          <w:bCs/>
          <w:lang w:eastAsia="fr-FR"/>
        </w:rPr>
      </w:pPr>
      <w:r>
        <w:rPr>
          <w:bCs/>
          <w:szCs w:val="24"/>
        </w:rPr>
        <w:t xml:space="preserve">Cette </w:t>
      </w:r>
      <w:r w:rsidR="0035174C">
        <w:rPr>
          <w:bCs/>
          <w:szCs w:val="24"/>
        </w:rPr>
        <w:t xml:space="preserve">étude portant sur la fonctionnalité des districts pour l’année 2018 a été réalisée </w:t>
      </w:r>
      <w:r>
        <w:rPr>
          <w:bCs/>
          <w:szCs w:val="24"/>
        </w:rPr>
        <w:t>sur</w:t>
      </w:r>
      <w:r w:rsidR="0035174C">
        <w:rPr>
          <w:bCs/>
          <w:szCs w:val="24"/>
        </w:rPr>
        <w:t xml:space="preserve"> un échantillon de</w:t>
      </w:r>
      <w:r>
        <w:rPr>
          <w:bCs/>
          <w:szCs w:val="24"/>
        </w:rPr>
        <w:t xml:space="preserve"> </w:t>
      </w:r>
      <w:r w:rsidR="0035174C">
        <w:rPr>
          <w:bCs/>
          <w:szCs w:val="24"/>
        </w:rPr>
        <w:t xml:space="preserve">16 préfectures sanitaires sur 38. L’échantillon était constitué de 64 centres de santé publiques ou privés, de </w:t>
      </w:r>
      <w:r w:rsidR="0035174C">
        <w:rPr>
          <w:rFonts w:eastAsia="Times New Roman" w:cs="Arial"/>
          <w:b/>
          <w:bCs/>
          <w:lang w:eastAsia="fr-FR"/>
        </w:rPr>
        <w:t xml:space="preserve"> </w:t>
      </w:r>
      <w:r w:rsidR="0035174C" w:rsidRPr="00236337">
        <w:rPr>
          <w:rFonts w:eastAsia="Times New Roman" w:cs="Arial"/>
          <w:bCs/>
          <w:lang w:eastAsia="fr-FR"/>
        </w:rPr>
        <w:t xml:space="preserve">19 formations </w:t>
      </w:r>
      <w:r w:rsidR="00236337" w:rsidRPr="00236337">
        <w:rPr>
          <w:rFonts w:eastAsia="Times New Roman" w:cs="Arial"/>
          <w:bCs/>
          <w:lang w:eastAsia="fr-FR"/>
        </w:rPr>
        <w:t>sanitaires</w:t>
      </w:r>
      <w:r w:rsidR="0035174C" w:rsidRPr="00236337">
        <w:rPr>
          <w:rFonts w:eastAsia="Times New Roman" w:cs="Arial"/>
          <w:bCs/>
          <w:lang w:eastAsia="fr-FR"/>
        </w:rPr>
        <w:t xml:space="preserve"> du niveau secondaire dont : 7 </w:t>
      </w:r>
      <w:r w:rsidR="00236337" w:rsidRPr="00236337">
        <w:rPr>
          <w:rFonts w:eastAsia="Times New Roman" w:cs="Arial"/>
          <w:bCs/>
          <w:lang w:eastAsia="fr-FR"/>
        </w:rPr>
        <w:t>hôpitaux</w:t>
      </w:r>
      <w:r w:rsidR="0035174C" w:rsidRPr="00236337">
        <w:rPr>
          <w:rFonts w:eastAsia="Times New Roman" w:cs="Arial"/>
          <w:bCs/>
          <w:lang w:eastAsia="fr-FR"/>
        </w:rPr>
        <w:t xml:space="preserve"> préfectoraux, 6 centres médicaux </w:t>
      </w:r>
      <w:r w:rsidR="00236337" w:rsidRPr="00236337">
        <w:rPr>
          <w:rFonts w:eastAsia="Times New Roman" w:cs="Arial"/>
          <w:bCs/>
          <w:lang w:eastAsia="fr-FR"/>
        </w:rPr>
        <w:t>communaux</w:t>
      </w:r>
      <w:r w:rsidR="0035174C" w:rsidRPr="00236337">
        <w:rPr>
          <w:rFonts w:eastAsia="Times New Roman" w:cs="Arial"/>
          <w:bCs/>
          <w:lang w:eastAsia="fr-FR"/>
        </w:rPr>
        <w:t>,</w:t>
      </w:r>
      <w:r w:rsidR="00236337" w:rsidRPr="00236337">
        <w:rPr>
          <w:rFonts w:eastAsia="Times New Roman" w:cs="Arial"/>
          <w:bCs/>
          <w:lang w:eastAsia="fr-FR"/>
        </w:rPr>
        <w:t xml:space="preserve"> 5 centres de santé améliorés, </w:t>
      </w:r>
      <w:r w:rsidR="0035174C" w:rsidRPr="00236337">
        <w:rPr>
          <w:rFonts w:eastAsia="Times New Roman" w:cs="Arial"/>
          <w:bCs/>
          <w:lang w:eastAsia="fr-FR"/>
        </w:rPr>
        <w:t xml:space="preserve"> </w:t>
      </w:r>
      <w:r w:rsidR="00236337" w:rsidRPr="00236337">
        <w:rPr>
          <w:rFonts w:eastAsia="Times New Roman" w:cs="Arial"/>
          <w:bCs/>
          <w:lang w:eastAsia="fr-FR"/>
        </w:rPr>
        <w:t>1</w:t>
      </w:r>
      <w:r w:rsidR="0035174C" w:rsidRPr="00236337">
        <w:rPr>
          <w:rFonts w:eastAsia="Times New Roman" w:cs="Arial"/>
          <w:bCs/>
          <w:lang w:eastAsia="fr-FR"/>
        </w:rPr>
        <w:t xml:space="preserve"> </w:t>
      </w:r>
      <w:r w:rsidR="00236337" w:rsidRPr="00236337">
        <w:rPr>
          <w:rFonts w:eastAsia="Times New Roman" w:cs="Arial"/>
          <w:bCs/>
          <w:lang w:eastAsia="fr-FR"/>
        </w:rPr>
        <w:t>clinique</w:t>
      </w:r>
      <w:r w:rsidR="0035174C" w:rsidRPr="00236337">
        <w:rPr>
          <w:rFonts w:eastAsia="Times New Roman" w:cs="Arial"/>
          <w:bCs/>
          <w:lang w:eastAsia="fr-FR"/>
        </w:rPr>
        <w:t xml:space="preserve"> </w:t>
      </w:r>
      <w:r w:rsidR="00236337" w:rsidRPr="00236337">
        <w:rPr>
          <w:rFonts w:eastAsia="Times New Roman" w:cs="Arial"/>
          <w:bCs/>
          <w:lang w:eastAsia="fr-FR"/>
        </w:rPr>
        <w:t>privée et 7 hôpitaux régionaux</w:t>
      </w:r>
      <w:r w:rsidR="00547534">
        <w:rPr>
          <w:rFonts w:eastAsia="Times New Roman" w:cs="Arial"/>
          <w:bCs/>
          <w:lang w:eastAsia="fr-FR"/>
        </w:rPr>
        <w:t>.</w:t>
      </w:r>
    </w:p>
    <w:p w14:paraId="1B77AB6B" w14:textId="674A3115" w:rsidR="00547534" w:rsidRDefault="00547534" w:rsidP="006F39C5">
      <w:pPr>
        <w:rPr>
          <w:bCs/>
        </w:rPr>
      </w:pPr>
      <w:r w:rsidRPr="00C23E05">
        <w:rPr>
          <w:rFonts w:eastAsia="Times New Roman" w:cs="Arial"/>
          <w:bCs/>
          <w:lang w:eastAsia="fr-FR"/>
        </w:rPr>
        <w:t xml:space="preserve">Pour cette évaluation, </w:t>
      </w:r>
      <w:r w:rsidR="00C23E05" w:rsidRPr="00C23E05">
        <w:rPr>
          <w:rFonts w:eastAsia="Times New Roman" w:cs="Arial"/>
          <w:bCs/>
          <w:lang w:eastAsia="fr-FR"/>
        </w:rPr>
        <w:t>cinq</w:t>
      </w:r>
      <w:r w:rsidRPr="00C23E05">
        <w:rPr>
          <w:rFonts w:eastAsia="Times New Roman" w:cs="Arial"/>
          <w:bCs/>
          <w:lang w:eastAsia="fr-FR"/>
        </w:rPr>
        <w:t xml:space="preserve"> critères ont été utilisés : </w:t>
      </w:r>
      <w:r w:rsidR="00C23E05" w:rsidRPr="00C23E05">
        <w:rPr>
          <w:rFonts w:eastAsia="Times New Roman" w:cs="Arial"/>
          <w:bCs/>
          <w:lang w:eastAsia="fr-FR"/>
        </w:rPr>
        <w:t xml:space="preserve">(i) les </w:t>
      </w:r>
      <w:r w:rsidRPr="00C23E05">
        <w:rPr>
          <w:rFonts w:eastAsia="Times New Roman" w:cs="Arial"/>
          <w:bCs/>
          <w:lang w:eastAsia="fr-FR"/>
        </w:rPr>
        <w:t>s</w:t>
      </w:r>
      <w:r w:rsidRPr="00C23E05">
        <w:rPr>
          <w:bCs/>
        </w:rPr>
        <w:t>tructures de fo</w:t>
      </w:r>
      <w:r w:rsidR="000D60BE">
        <w:rPr>
          <w:bCs/>
        </w:rPr>
        <w:t>nctionnement de la gestion de</w:t>
      </w:r>
      <w:r w:rsidRPr="00C23E05">
        <w:rPr>
          <w:bCs/>
        </w:rPr>
        <w:t xml:space="preserve"> santé du district, </w:t>
      </w:r>
      <w:r w:rsidR="00C23E05" w:rsidRPr="00C23E05">
        <w:rPr>
          <w:bCs/>
        </w:rPr>
        <w:t xml:space="preserve">(ii) le </w:t>
      </w:r>
      <w:r w:rsidRPr="00C23E05">
        <w:rPr>
          <w:bCs/>
        </w:rPr>
        <w:t xml:space="preserve">processus managérial, </w:t>
      </w:r>
      <w:r w:rsidR="00C23E05" w:rsidRPr="00C23E05">
        <w:rPr>
          <w:bCs/>
        </w:rPr>
        <w:t xml:space="preserve">(iii) les </w:t>
      </w:r>
      <w:r w:rsidRPr="00C23E05">
        <w:rPr>
          <w:bCs/>
        </w:rPr>
        <w:t>activités des services de santé,</w:t>
      </w:r>
      <w:r w:rsidR="00C23E05" w:rsidRPr="00C23E05">
        <w:rPr>
          <w:bCs/>
        </w:rPr>
        <w:t xml:space="preserve"> (iv) les i</w:t>
      </w:r>
      <w:r w:rsidRPr="00C23E05">
        <w:rPr>
          <w:bCs/>
        </w:rPr>
        <w:t>nitiatives de la santé communautaire</w:t>
      </w:r>
      <w:r w:rsidR="00C23E05" w:rsidRPr="00C23E05">
        <w:rPr>
          <w:bCs/>
        </w:rPr>
        <w:t xml:space="preserve"> et (v) la d</w:t>
      </w:r>
      <w:r w:rsidRPr="00C23E05">
        <w:rPr>
          <w:bCs/>
        </w:rPr>
        <w:t>isponibilité des ressources de la santé</w:t>
      </w:r>
      <w:r w:rsidR="00C23E05">
        <w:rPr>
          <w:bCs/>
        </w:rPr>
        <w:t xml:space="preserve">. </w:t>
      </w:r>
    </w:p>
    <w:p w14:paraId="5112C367" w14:textId="5A105A11" w:rsidR="00C23E05" w:rsidRDefault="00C23E05" w:rsidP="006F39C5">
      <w:pPr>
        <w:rPr>
          <w:bCs/>
        </w:rPr>
      </w:pPr>
      <w:r>
        <w:rPr>
          <w:bCs/>
        </w:rPr>
        <w:t>Les données ont été collectées à partir de deux questionnaires portant respectivement sur les formations sanitaires et la gestion du district. Ces questionnaires élaborés par l’OMS ont été adaptés au contexte national.</w:t>
      </w:r>
    </w:p>
    <w:p w14:paraId="405C1E75" w14:textId="3204931B" w:rsidR="00C23E05" w:rsidRDefault="008A784F" w:rsidP="006F39C5">
      <w:pPr>
        <w:rPr>
          <w:bCs/>
        </w:rPr>
      </w:pPr>
      <w:r>
        <w:rPr>
          <w:bCs/>
        </w:rPr>
        <w:t xml:space="preserve">Les données collectées ont été saisies </w:t>
      </w:r>
      <w:r w:rsidR="00480EDD">
        <w:rPr>
          <w:bCs/>
        </w:rPr>
        <w:t>sur</w:t>
      </w:r>
      <w:r>
        <w:rPr>
          <w:bCs/>
        </w:rPr>
        <w:t xml:space="preserve"> </w:t>
      </w:r>
      <w:r w:rsidR="00480EDD">
        <w:rPr>
          <w:bCs/>
        </w:rPr>
        <w:t>Excel dans une base de données préparée pour l’analyse.</w:t>
      </w:r>
    </w:p>
    <w:p w14:paraId="748C3BF0" w14:textId="29F87821" w:rsidR="00480EDD" w:rsidRDefault="00480EDD" w:rsidP="006F39C5">
      <w:pPr>
        <w:rPr>
          <w:bCs/>
        </w:rPr>
      </w:pPr>
      <w:r>
        <w:rPr>
          <w:bCs/>
        </w:rPr>
        <w:t xml:space="preserve">Les résultats de ce processus ont montré que : </w:t>
      </w:r>
    </w:p>
    <w:p w14:paraId="1EA62A67" w14:textId="7737CE87" w:rsidR="00480EDD" w:rsidRPr="00ED57CB" w:rsidRDefault="00480EDD" w:rsidP="006F39C5">
      <w:pPr>
        <w:pStyle w:val="Paragraphedeliste"/>
        <w:numPr>
          <w:ilvl w:val="0"/>
          <w:numId w:val="38"/>
        </w:numPr>
        <w:rPr>
          <w:bCs/>
          <w:szCs w:val="24"/>
        </w:rPr>
      </w:pPr>
      <w:r w:rsidRPr="00ED57CB">
        <w:rPr>
          <w:bCs/>
          <w:szCs w:val="24"/>
        </w:rPr>
        <w:t>la population moyenne couverte d’un district est de 358 479 habitants avec une superficie moyenne de 7545 km2</w:t>
      </w:r>
    </w:p>
    <w:p w14:paraId="25F848C0" w14:textId="49EECF6D" w:rsidR="006F39C5" w:rsidRPr="00ED57CB" w:rsidRDefault="006F39C5" w:rsidP="006F39C5">
      <w:pPr>
        <w:pStyle w:val="Paragraphedeliste"/>
        <w:numPr>
          <w:ilvl w:val="0"/>
          <w:numId w:val="38"/>
        </w:numPr>
        <w:rPr>
          <w:bCs/>
          <w:szCs w:val="24"/>
        </w:rPr>
      </w:pPr>
      <w:r w:rsidRPr="00ED57CB">
        <w:rPr>
          <w:bCs/>
          <w:szCs w:val="24"/>
        </w:rPr>
        <w:t>u</w:t>
      </w:r>
      <w:r w:rsidR="00480EDD" w:rsidRPr="00ED57CB">
        <w:rPr>
          <w:bCs/>
          <w:szCs w:val="24"/>
        </w:rPr>
        <w:t xml:space="preserve">n centre de santé couvre en moyenne une population de </w:t>
      </w:r>
      <w:r w:rsidRPr="00ED57CB">
        <w:rPr>
          <w:bCs/>
          <w:szCs w:val="24"/>
        </w:rPr>
        <w:t>27 843 habitants.</w:t>
      </w:r>
    </w:p>
    <w:p w14:paraId="5306D9E8" w14:textId="6AFF1D80" w:rsidR="00480EDD" w:rsidRPr="00ED57CB" w:rsidRDefault="006F39C5" w:rsidP="006F39C5">
      <w:pPr>
        <w:rPr>
          <w:bCs/>
          <w:szCs w:val="24"/>
        </w:rPr>
      </w:pPr>
      <w:r w:rsidRPr="00ED57CB">
        <w:rPr>
          <w:bCs/>
          <w:szCs w:val="24"/>
        </w:rPr>
        <w:t>Quant aux autres indicateurs de fonctionnalité, on note des progrès substantiels. Toutefois, les systèmes d’appui à la gestion financière, gestion des ressources humaines, la gestion des approvisionnent et la logistique mériterai</w:t>
      </w:r>
      <w:r w:rsidR="000D60BE">
        <w:rPr>
          <w:bCs/>
          <w:szCs w:val="24"/>
        </w:rPr>
        <w:t>ent</w:t>
      </w:r>
      <w:r w:rsidRPr="00ED57CB">
        <w:rPr>
          <w:bCs/>
          <w:szCs w:val="24"/>
        </w:rPr>
        <w:t xml:space="preserve"> une réforme importante au niveau </w:t>
      </w:r>
      <w:r w:rsidR="00D449CA">
        <w:rPr>
          <w:bCs/>
          <w:szCs w:val="24"/>
        </w:rPr>
        <w:t xml:space="preserve">de </w:t>
      </w:r>
      <w:r w:rsidRPr="00ED57CB">
        <w:rPr>
          <w:bCs/>
          <w:szCs w:val="24"/>
        </w:rPr>
        <w:t xml:space="preserve">l’équipe de gestion du district et un renforcement au niveau des hôpitaux et des centres de santé. </w:t>
      </w:r>
    </w:p>
    <w:p w14:paraId="33B35538" w14:textId="010901EE" w:rsidR="006F39C5" w:rsidRPr="00ED57CB" w:rsidRDefault="006F39C5" w:rsidP="006F39C5">
      <w:pPr>
        <w:rPr>
          <w:bCs/>
          <w:szCs w:val="24"/>
        </w:rPr>
      </w:pPr>
      <w:r w:rsidRPr="00ED57CB">
        <w:rPr>
          <w:bCs/>
          <w:szCs w:val="24"/>
        </w:rPr>
        <w:t>La couverture de la population par les formations sanitaires, la taille et la population des districts interpellent le MS à examiner au cas par cas la nécessité de mettre en place des sous-districts de santé et de relever des postes de santé au niveau CS dans la même sous-préfecture</w:t>
      </w:r>
      <w:r w:rsidR="00FE5D64">
        <w:rPr>
          <w:bCs/>
          <w:szCs w:val="24"/>
        </w:rPr>
        <w:t xml:space="preserve"> tout en tenant compte des indicateurs d’une carte sanitaire mise à jour</w:t>
      </w:r>
      <w:r w:rsidRPr="00ED57CB">
        <w:rPr>
          <w:bCs/>
          <w:szCs w:val="24"/>
        </w:rPr>
        <w:t>.</w:t>
      </w:r>
    </w:p>
    <w:p w14:paraId="06AF6201" w14:textId="365C0804" w:rsidR="00AF29C6" w:rsidRPr="00ED57CB" w:rsidRDefault="00AF29C6" w:rsidP="00ED57CB">
      <w:pPr>
        <w:rPr>
          <w:b/>
          <w:bCs/>
          <w:szCs w:val="24"/>
        </w:rPr>
      </w:pPr>
    </w:p>
    <w:p w14:paraId="114F8334" w14:textId="77777777" w:rsidR="00AF29C6" w:rsidRPr="0001795E" w:rsidRDefault="00AF29C6" w:rsidP="006F39C5">
      <w:pPr>
        <w:tabs>
          <w:tab w:val="left" w:pos="426"/>
        </w:tabs>
        <w:ind w:hanging="720"/>
        <w:rPr>
          <w:bCs/>
          <w:szCs w:val="24"/>
        </w:rPr>
      </w:pPr>
    </w:p>
    <w:p w14:paraId="32691644" w14:textId="77777777" w:rsidR="00AF29C6" w:rsidRPr="0001795E" w:rsidRDefault="00AF29C6" w:rsidP="00AF29C6">
      <w:pPr>
        <w:tabs>
          <w:tab w:val="left" w:pos="426"/>
        </w:tabs>
        <w:ind w:hanging="720"/>
        <w:rPr>
          <w:bCs/>
          <w:szCs w:val="24"/>
        </w:rPr>
      </w:pPr>
    </w:p>
    <w:p w14:paraId="04880746" w14:textId="77777777" w:rsidR="00AF29C6" w:rsidRPr="0001795E" w:rsidRDefault="00AF29C6" w:rsidP="00AF29C6">
      <w:pPr>
        <w:tabs>
          <w:tab w:val="left" w:pos="426"/>
        </w:tabs>
        <w:ind w:hanging="720"/>
        <w:rPr>
          <w:bCs/>
          <w:szCs w:val="24"/>
        </w:rPr>
      </w:pPr>
    </w:p>
    <w:p w14:paraId="718BB05D" w14:textId="77777777" w:rsidR="00AF29C6" w:rsidRPr="0001795E" w:rsidRDefault="00AF29C6" w:rsidP="00AF29C6">
      <w:pPr>
        <w:tabs>
          <w:tab w:val="left" w:pos="426"/>
        </w:tabs>
        <w:ind w:hanging="720"/>
        <w:rPr>
          <w:bCs/>
          <w:szCs w:val="24"/>
        </w:rPr>
      </w:pPr>
    </w:p>
    <w:p w14:paraId="16F9D8DF" w14:textId="77777777" w:rsidR="00AF29C6" w:rsidRPr="0001795E" w:rsidRDefault="00AF29C6" w:rsidP="00AF29C6">
      <w:pPr>
        <w:tabs>
          <w:tab w:val="left" w:pos="426"/>
        </w:tabs>
        <w:ind w:hanging="720"/>
        <w:rPr>
          <w:bCs/>
          <w:szCs w:val="24"/>
        </w:rPr>
      </w:pPr>
    </w:p>
    <w:p w14:paraId="0A01AADF" w14:textId="77777777" w:rsidR="00AF29C6" w:rsidRPr="0001795E" w:rsidRDefault="00AF29C6" w:rsidP="00AF29C6">
      <w:pPr>
        <w:tabs>
          <w:tab w:val="left" w:pos="426"/>
        </w:tabs>
        <w:ind w:hanging="720"/>
        <w:rPr>
          <w:bCs/>
          <w:szCs w:val="24"/>
        </w:rPr>
      </w:pPr>
    </w:p>
    <w:p w14:paraId="7D04E7E7" w14:textId="77777777" w:rsidR="00AF29C6" w:rsidRPr="0001795E" w:rsidRDefault="00AF29C6" w:rsidP="00AF29C6">
      <w:pPr>
        <w:tabs>
          <w:tab w:val="left" w:pos="426"/>
        </w:tabs>
        <w:ind w:hanging="720"/>
        <w:rPr>
          <w:bCs/>
          <w:szCs w:val="24"/>
        </w:rPr>
      </w:pPr>
    </w:p>
    <w:p w14:paraId="4C3F3318" w14:textId="4A2039A3" w:rsidR="00AF29C6" w:rsidRPr="0001795E" w:rsidRDefault="00663D63" w:rsidP="00FD7B8C">
      <w:pPr>
        <w:pStyle w:val="Titre1"/>
      </w:pPr>
      <w:r>
        <w:t xml:space="preserve">       </w:t>
      </w:r>
    </w:p>
    <w:sectPr w:rsidR="00AF29C6" w:rsidRPr="0001795E" w:rsidSect="00FD7B8C">
      <w:footerReference w:type="default" r:id="rId15"/>
      <w:pgSz w:w="11906" w:h="16838" w:code="9"/>
      <w:pgMar w:top="1418" w:right="1418" w:bottom="1418" w:left="1418" w:header="510" w:footer="567" w:gutter="0"/>
      <w:pgBorders>
        <w:top w:val="single" w:sz="4" w:space="1" w:color="auto"/>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4DDE1" w14:textId="77777777" w:rsidR="007B6072" w:rsidRDefault="007B6072" w:rsidP="00E90A53">
      <w:pPr>
        <w:spacing w:after="0" w:line="240" w:lineRule="auto"/>
      </w:pPr>
      <w:r>
        <w:separator/>
      </w:r>
    </w:p>
  </w:endnote>
  <w:endnote w:type="continuationSeparator" w:id="0">
    <w:p w14:paraId="69F007FF" w14:textId="77777777" w:rsidR="007B6072" w:rsidRDefault="007B6072" w:rsidP="00E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474690"/>
      <w:docPartObj>
        <w:docPartGallery w:val="Page Numbers (Bottom of Page)"/>
        <w:docPartUnique/>
      </w:docPartObj>
    </w:sdtPr>
    <w:sdtContent>
      <w:sdt>
        <w:sdtPr>
          <w:id w:val="-1769616900"/>
          <w:docPartObj>
            <w:docPartGallery w:val="Page Numbers (Top of Page)"/>
            <w:docPartUnique/>
          </w:docPartObj>
        </w:sdtPr>
        <w:sdtContent>
          <w:p w14:paraId="5E52A524" w14:textId="12CDA004" w:rsidR="000B7360" w:rsidRDefault="000B7360" w:rsidP="00F04A9A">
            <w:pPr>
              <w:pStyle w:val="Pieddepage"/>
              <w:jc w:val="center"/>
            </w:pPr>
            <w:r>
              <w:t xml:space="preserve">Page </w:t>
            </w:r>
            <w:r>
              <w:rPr>
                <w:b/>
                <w:bCs/>
                <w:szCs w:val="24"/>
              </w:rPr>
              <w:fldChar w:fldCharType="begin"/>
            </w:r>
            <w:r>
              <w:rPr>
                <w:b/>
                <w:bCs/>
              </w:rPr>
              <w:instrText>PAGE</w:instrText>
            </w:r>
            <w:r>
              <w:rPr>
                <w:b/>
                <w:bCs/>
                <w:szCs w:val="24"/>
              </w:rPr>
              <w:fldChar w:fldCharType="separate"/>
            </w:r>
            <w:r>
              <w:rPr>
                <w:b/>
                <w:bCs/>
                <w:noProof/>
              </w:rPr>
              <w:t>30</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noProof/>
              </w:rPr>
              <w:t>39</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000776"/>
      <w:docPartObj>
        <w:docPartGallery w:val="Page Numbers (Bottom of Page)"/>
        <w:docPartUnique/>
      </w:docPartObj>
    </w:sdtPr>
    <w:sdtContent>
      <w:sdt>
        <w:sdtPr>
          <w:id w:val="-647276476"/>
          <w:docPartObj>
            <w:docPartGallery w:val="Page Numbers (Top of Page)"/>
            <w:docPartUnique/>
          </w:docPartObj>
        </w:sdtPr>
        <w:sdtContent>
          <w:p w14:paraId="379B74BD" w14:textId="67B77A00" w:rsidR="000B7360" w:rsidRDefault="000B7360" w:rsidP="00F04A9A">
            <w:pPr>
              <w:pStyle w:val="Pieddepage"/>
              <w:jc w:val="center"/>
            </w:pPr>
            <w:r>
              <w:t xml:space="preserve">Page </w:t>
            </w:r>
            <w:r>
              <w:rPr>
                <w:b/>
                <w:bCs/>
                <w:szCs w:val="24"/>
              </w:rPr>
              <w:fldChar w:fldCharType="begin"/>
            </w:r>
            <w:r>
              <w:rPr>
                <w:b/>
                <w:bCs/>
              </w:rPr>
              <w:instrText>PAGE</w:instrText>
            </w:r>
            <w:r>
              <w:rPr>
                <w:b/>
                <w:bCs/>
                <w:szCs w:val="24"/>
              </w:rPr>
              <w:fldChar w:fldCharType="separate"/>
            </w:r>
            <w:r>
              <w:rPr>
                <w:b/>
                <w:bCs/>
                <w:noProof/>
              </w:rPr>
              <w:t>11</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noProof/>
              </w:rPr>
              <w:t>13</w:t>
            </w:r>
            <w:r>
              <w:rPr>
                <w:b/>
                <w:bCs/>
                <w:szCs w:val="24"/>
              </w:rPr>
              <w:fldChar w:fldCharType="end"/>
            </w:r>
          </w:p>
        </w:sdtContent>
      </w:sdt>
    </w:sdtContent>
  </w:sdt>
  <w:p w14:paraId="7A8A1CA4" w14:textId="77777777" w:rsidR="000B7360" w:rsidRDefault="000B736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253507"/>
      <w:docPartObj>
        <w:docPartGallery w:val="Page Numbers (Bottom of Page)"/>
        <w:docPartUnique/>
      </w:docPartObj>
    </w:sdtPr>
    <w:sdtContent>
      <w:sdt>
        <w:sdtPr>
          <w:id w:val="2110547646"/>
          <w:docPartObj>
            <w:docPartGallery w:val="Page Numbers (Top of Page)"/>
            <w:docPartUnique/>
          </w:docPartObj>
        </w:sdtPr>
        <w:sdtContent>
          <w:p w14:paraId="78B9CA77" w14:textId="0DF2229C" w:rsidR="000B7360" w:rsidRDefault="000B7360" w:rsidP="00556BB3">
            <w:pPr>
              <w:pStyle w:val="Pieddepage"/>
              <w:jc w:val="center"/>
            </w:pPr>
            <w:r>
              <w:t xml:space="preserve">Page </w:t>
            </w:r>
            <w:r>
              <w:rPr>
                <w:b/>
                <w:bCs/>
                <w:szCs w:val="24"/>
              </w:rPr>
              <w:fldChar w:fldCharType="begin"/>
            </w:r>
            <w:r>
              <w:rPr>
                <w:b/>
                <w:bCs/>
              </w:rPr>
              <w:instrText>PAGE</w:instrText>
            </w:r>
            <w:r>
              <w:rPr>
                <w:b/>
                <w:bCs/>
                <w:szCs w:val="24"/>
              </w:rPr>
              <w:fldChar w:fldCharType="separate"/>
            </w:r>
            <w:r>
              <w:rPr>
                <w:b/>
                <w:bCs/>
                <w:noProof/>
              </w:rPr>
              <w:t>39</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noProof/>
              </w:rPr>
              <w:t>39</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5A1B8" w14:textId="77777777" w:rsidR="007B6072" w:rsidRDefault="007B6072" w:rsidP="00E90A53">
      <w:pPr>
        <w:spacing w:after="0" w:line="240" w:lineRule="auto"/>
      </w:pPr>
      <w:r>
        <w:separator/>
      </w:r>
    </w:p>
  </w:footnote>
  <w:footnote w:type="continuationSeparator" w:id="0">
    <w:p w14:paraId="06D732C8" w14:textId="77777777" w:rsidR="007B6072" w:rsidRDefault="007B6072" w:rsidP="00E90A53">
      <w:pPr>
        <w:spacing w:after="0" w:line="240" w:lineRule="auto"/>
      </w:pPr>
      <w:r>
        <w:continuationSeparator/>
      </w:r>
    </w:p>
  </w:footnote>
  <w:footnote w:id="1">
    <w:p w14:paraId="17B02377" w14:textId="77777777" w:rsidR="000B7360" w:rsidRDefault="000B7360" w:rsidP="00D051E1">
      <w:pPr>
        <w:pStyle w:val="Notedebasdepage"/>
      </w:pPr>
      <w:r>
        <w:rPr>
          <w:rStyle w:val="Appelnotedebasdep"/>
        </w:rPr>
        <w:footnoteRef/>
      </w:r>
      <w:r>
        <w:t xml:space="preserve"> OMS Guinée. Stratégie de coopération, mai 2018.</w:t>
      </w:r>
    </w:p>
  </w:footnote>
  <w:footnote w:id="2">
    <w:p w14:paraId="4177478D" w14:textId="77777777" w:rsidR="000B7360" w:rsidRPr="009B6E42" w:rsidRDefault="000B7360" w:rsidP="00D051E1">
      <w:pPr>
        <w:pStyle w:val="CS2"/>
        <w:ind w:left="142" w:hanging="142"/>
        <w:jc w:val="both"/>
      </w:pPr>
      <w:r>
        <w:rPr>
          <w:rStyle w:val="Appelnotedebasdep"/>
        </w:rPr>
        <w:footnoteRef/>
      </w:r>
      <w:r w:rsidRPr="009B6E42">
        <w:t xml:space="preserve"> </w:t>
      </w:r>
      <w:r w:rsidRPr="009B6E42">
        <w:rPr>
          <w:rFonts w:ascii="Times New Roman" w:hAnsi="Times New Roman" w:cs="Times New Roman"/>
          <w:b w:val="0"/>
          <w:sz w:val="18"/>
          <w:szCs w:val="18"/>
        </w:rPr>
        <w:t>République</w:t>
      </w:r>
      <w:r w:rsidRPr="009B6E42">
        <w:rPr>
          <w:rFonts w:ascii="Times New Roman" w:eastAsiaTheme="minorHAnsi" w:hAnsi="Times New Roman" w:cs="Times New Roman"/>
          <w:b w:val="0"/>
          <w:sz w:val="18"/>
          <w:szCs w:val="18"/>
          <w:lang w:val="fr-BE" w:eastAsia="en-US"/>
        </w:rPr>
        <w:t xml:space="preserve"> de Guinée, Ministère de la Santé, Bureau de Stratégie et de Développement, </w:t>
      </w:r>
      <w:r w:rsidRPr="009B6E42">
        <w:rPr>
          <w:rFonts w:ascii="Times New Roman" w:hAnsi="Times New Roman" w:cs="Times New Roman"/>
          <w:b w:val="0"/>
          <w:sz w:val="18"/>
          <w:szCs w:val="18"/>
        </w:rPr>
        <w:t>Comptes nationaux de la sante, années 2014, 2015, 2016</w:t>
      </w:r>
      <w:r>
        <w:rPr>
          <w:rFonts w:ascii="Times New Roman" w:hAnsi="Times New Roman" w:cs="Times New Roman"/>
          <w:b w:val="0"/>
          <w:sz w:val="18"/>
          <w:szCs w:val="18"/>
        </w:rPr>
        <w:t>, juillet 2018</w:t>
      </w:r>
    </w:p>
  </w:footnote>
  <w:footnote w:id="3">
    <w:p w14:paraId="1800BB0D" w14:textId="77777777" w:rsidR="000B7360" w:rsidRPr="001E0E7D" w:rsidRDefault="000B7360" w:rsidP="00D051E1">
      <w:pPr>
        <w:pStyle w:val="CS2"/>
        <w:ind w:left="142" w:hanging="142"/>
        <w:jc w:val="both"/>
      </w:pPr>
      <w:r>
        <w:rPr>
          <w:rStyle w:val="Appelnotedebasdep"/>
        </w:rPr>
        <w:footnoteRef/>
      </w:r>
      <w:r>
        <w:t xml:space="preserve"> </w:t>
      </w:r>
      <w:r w:rsidRPr="000D761F">
        <w:rPr>
          <w:rFonts w:ascii="Times New Roman" w:eastAsiaTheme="minorHAnsi" w:hAnsi="Times New Roman" w:cs="Times New Roman"/>
          <w:b w:val="0"/>
          <w:sz w:val="18"/>
          <w:szCs w:val="18"/>
          <w:lang w:val="fr-BE" w:eastAsia="en-US"/>
        </w:rPr>
        <w:t xml:space="preserve">République de Guinée, Ministère de la Santé, Bureau de Stratégie et de Développement, </w:t>
      </w:r>
      <w:r w:rsidRPr="000D761F">
        <w:rPr>
          <w:rFonts w:ascii="Times New Roman" w:hAnsi="Times New Roman" w:cs="Times New Roman"/>
          <w:b w:val="0"/>
          <w:sz w:val="18"/>
          <w:szCs w:val="18"/>
        </w:rPr>
        <w:t>Comptes nationaux de la sante, années 2014, 2015, 2016</w:t>
      </w:r>
      <w:r>
        <w:rPr>
          <w:rFonts w:ascii="Times New Roman" w:hAnsi="Times New Roman" w:cs="Times New Roman"/>
          <w:b w:val="0"/>
          <w:sz w:val="18"/>
          <w:szCs w:val="18"/>
        </w:rPr>
        <w:t>, juillet 2018</w:t>
      </w:r>
    </w:p>
  </w:footnote>
  <w:footnote w:id="4">
    <w:p w14:paraId="6F14987E" w14:textId="77777777" w:rsidR="000B7360" w:rsidRPr="009B6E42" w:rsidRDefault="000B7360" w:rsidP="00D051E1">
      <w:pPr>
        <w:pStyle w:val="CS2"/>
        <w:ind w:left="142" w:hanging="142"/>
        <w:jc w:val="both"/>
        <w:rPr>
          <w:b w:val="0"/>
          <w:sz w:val="18"/>
          <w:szCs w:val="18"/>
        </w:rPr>
      </w:pPr>
      <w:r>
        <w:rPr>
          <w:rStyle w:val="Appelnotedebasdep"/>
        </w:rPr>
        <w:footnoteRef/>
      </w:r>
      <w:r>
        <w:t xml:space="preserve"> </w:t>
      </w:r>
      <w:r w:rsidRPr="000D761F">
        <w:rPr>
          <w:rFonts w:ascii="Times New Roman" w:eastAsiaTheme="minorHAnsi" w:hAnsi="Times New Roman" w:cs="Times New Roman"/>
          <w:b w:val="0"/>
          <w:sz w:val="18"/>
          <w:szCs w:val="18"/>
          <w:lang w:val="fr-BE" w:eastAsia="en-US"/>
        </w:rPr>
        <w:t xml:space="preserve">République de Guinée, Ministère de la Santé, Bureau de Stratégie et de Développement, </w:t>
      </w:r>
      <w:r w:rsidRPr="000D761F">
        <w:rPr>
          <w:rFonts w:ascii="Times New Roman" w:hAnsi="Times New Roman" w:cs="Times New Roman"/>
          <w:b w:val="0"/>
          <w:sz w:val="18"/>
          <w:szCs w:val="18"/>
        </w:rPr>
        <w:t>Comptes nationaux de la sante, années 2014, 2015, 2016</w:t>
      </w:r>
      <w:r>
        <w:rPr>
          <w:rFonts w:ascii="Times New Roman" w:hAnsi="Times New Roman" w:cs="Times New Roman"/>
          <w:b w:val="0"/>
          <w:sz w:val="18"/>
          <w:szCs w:val="18"/>
        </w:rPr>
        <w:t>, juillet 2018</w:t>
      </w:r>
    </w:p>
  </w:footnote>
  <w:footnote w:id="5">
    <w:p w14:paraId="042B1183" w14:textId="77777777" w:rsidR="000B7360" w:rsidRPr="001E0E7D" w:rsidRDefault="000B7360" w:rsidP="00D051E1">
      <w:pPr>
        <w:pStyle w:val="CS2"/>
        <w:ind w:left="142" w:hanging="142"/>
        <w:jc w:val="both"/>
        <w:rPr>
          <w:rFonts w:ascii="Times New Roman" w:eastAsiaTheme="minorHAnsi" w:hAnsi="Times New Roman"/>
          <w:sz w:val="18"/>
          <w:szCs w:val="18"/>
          <w:lang w:val="fr-BE"/>
        </w:rPr>
      </w:pPr>
      <w:r>
        <w:rPr>
          <w:rStyle w:val="Appelnotedebasdep"/>
        </w:rPr>
        <w:footnoteRef/>
      </w:r>
      <w:r w:rsidRPr="001E0E7D">
        <w:t xml:space="preserve"> </w:t>
      </w:r>
      <w:r w:rsidRPr="00FF3C94">
        <w:rPr>
          <w:rFonts w:ascii="Times New Roman" w:eastAsiaTheme="minorHAnsi" w:hAnsi="Times New Roman" w:cs="Times New Roman"/>
          <w:b w:val="0"/>
          <w:sz w:val="18"/>
          <w:szCs w:val="18"/>
          <w:lang w:val="fr-BE" w:eastAsia="en-US"/>
        </w:rPr>
        <w:t>République</w:t>
      </w:r>
      <w:r w:rsidRPr="00FF3C94">
        <w:rPr>
          <w:rFonts w:ascii="Times New Roman" w:eastAsiaTheme="minorHAnsi" w:hAnsi="Times New Roman" w:cs="Times New Roman"/>
          <w:bCs/>
          <w:sz w:val="18"/>
          <w:szCs w:val="18"/>
          <w:lang w:val="fr-BE" w:eastAsia="en-US"/>
        </w:rPr>
        <w:t xml:space="preserve"> </w:t>
      </w:r>
      <w:r w:rsidRPr="00FF3C94">
        <w:rPr>
          <w:rFonts w:ascii="Times New Roman" w:eastAsiaTheme="minorHAnsi" w:hAnsi="Times New Roman" w:cs="Times New Roman"/>
          <w:b w:val="0"/>
          <w:bCs/>
          <w:sz w:val="18"/>
          <w:szCs w:val="18"/>
          <w:lang w:val="fr-BE" w:eastAsia="en-US"/>
        </w:rPr>
        <w:t>de Guinée, Ministère de la Santé, Bureau de Stratégie et de Développement,</w:t>
      </w:r>
      <w:r w:rsidRPr="00FF3C94">
        <w:rPr>
          <w:rFonts w:ascii="Times New Roman" w:eastAsiaTheme="minorHAnsi" w:hAnsi="Times New Roman" w:cs="Times New Roman"/>
          <w:bCs/>
          <w:sz w:val="18"/>
          <w:szCs w:val="18"/>
          <w:lang w:val="fr-BE" w:eastAsia="en-US"/>
        </w:rPr>
        <w:t xml:space="preserve"> </w:t>
      </w:r>
      <w:r w:rsidRPr="001E0E7D">
        <w:rPr>
          <w:rFonts w:ascii="Times New Roman" w:eastAsiaTheme="minorHAnsi" w:hAnsi="Times New Roman" w:cs="Times New Roman"/>
          <w:b w:val="0"/>
          <w:sz w:val="18"/>
          <w:szCs w:val="18"/>
          <w:lang w:val="fr-BE"/>
        </w:rPr>
        <w:t>Comptes nationaux de la sante, années 2014, 2015, 2016</w:t>
      </w:r>
      <w:r>
        <w:rPr>
          <w:rFonts w:ascii="Times New Roman" w:hAnsi="Times New Roman" w:cs="Times New Roman"/>
          <w:b w:val="0"/>
          <w:sz w:val="18"/>
          <w:szCs w:val="18"/>
        </w:rPr>
        <w:t>, juillet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E675" w14:textId="5D65BB79" w:rsidR="000B7360" w:rsidRPr="007127F6" w:rsidRDefault="000B7360" w:rsidP="0001795E">
    <w:pPr>
      <w:pStyle w:val="En-tte"/>
      <w:ind w:left="708"/>
      <w:jc w:val="right"/>
      <w:rPr>
        <w:b/>
        <w:bCs/>
        <w:i/>
        <w:iCs/>
        <w:sz w:val="22"/>
        <w:szCs w:val="20"/>
      </w:rPr>
    </w:pPr>
    <w:r w:rsidRPr="007127F6">
      <w:rPr>
        <w:b/>
        <w:bCs/>
        <w:i/>
        <w:iCs/>
        <w:sz w:val="22"/>
        <w:szCs w:val="20"/>
      </w:rPr>
      <w:t>Rapport de l’Evaluation de la fonctionnalité des districts sanitaires</w:t>
    </w:r>
    <w:r>
      <w:rPr>
        <w:b/>
        <w:bCs/>
        <w:i/>
        <w:iCs/>
        <w:sz w:val="22"/>
        <w:szCs w:val="20"/>
      </w:rPr>
      <w:t xml:space="preserve"> 2020</w:t>
    </w:r>
    <w:r w:rsidRPr="007127F6">
      <w:rPr>
        <w:b/>
        <w:bCs/>
        <w:i/>
        <w:iCs/>
        <w:sz w:val="22"/>
        <w:szCs w:val="20"/>
      </w:rPr>
      <w:t xml:space="preserve">             </w:t>
    </w:r>
  </w:p>
  <w:p w14:paraId="3C461BA9" w14:textId="77777777" w:rsidR="000B7360" w:rsidRDefault="000B73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1476" w14:textId="318DC83C" w:rsidR="000B7360" w:rsidRPr="007127F6" w:rsidRDefault="000B7360" w:rsidP="007127F6">
    <w:pPr>
      <w:pStyle w:val="En-tte"/>
      <w:ind w:left="708"/>
      <w:jc w:val="right"/>
      <w:rPr>
        <w:b/>
        <w:bCs/>
        <w:i/>
        <w:iCs/>
        <w:sz w:val="22"/>
        <w:szCs w:val="20"/>
      </w:rPr>
    </w:pPr>
    <w:r>
      <w:rPr>
        <w:b/>
        <w:bCs/>
        <w:i/>
        <w:iCs/>
        <w:sz w:val="22"/>
        <w:szCs w:val="20"/>
      </w:rPr>
      <w:t xml:space="preserve">Rapport de l’Evaluation </w:t>
    </w:r>
    <w:r w:rsidRPr="007127F6">
      <w:rPr>
        <w:b/>
        <w:bCs/>
        <w:i/>
        <w:iCs/>
        <w:sz w:val="22"/>
        <w:szCs w:val="20"/>
      </w:rPr>
      <w:t xml:space="preserve">de la fonctionnalité des districts sanitaires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0FF"/>
    <w:multiLevelType w:val="hybridMultilevel"/>
    <w:tmpl w:val="2514D9BC"/>
    <w:lvl w:ilvl="0" w:tplc="443882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12E0B"/>
    <w:multiLevelType w:val="hybridMultilevel"/>
    <w:tmpl w:val="7458B2C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3824"/>
    <w:multiLevelType w:val="hybridMultilevel"/>
    <w:tmpl w:val="0A6C26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C3709"/>
    <w:multiLevelType w:val="hybridMultilevel"/>
    <w:tmpl w:val="10222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4509AD"/>
    <w:multiLevelType w:val="hybridMultilevel"/>
    <w:tmpl w:val="BBECE31C"/>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15:restartNumberingAfterBreak="0">
    <w:nsid w:val="19905C2E"/>
    <w:multiLevelType w:val="hybridMultilevel"/>
    <w:tmpl w:val="59B6F11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Marlett" w:hAnsi="Marlett"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Marlett" w:hAnsi="Marlett"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Marlett" w:hAnsi="Marlett" w:hint="default"/>
      </w:rPr>
    </w:lvl>
  </w:abstractNum>
  <w:abstractNum w:abstractNumId="6" w15:restartNumberingAfterBreak="0">
    <w:nsid w:val="2269475F"/>
    <w:multiLevelType w:val="hybridMultilevel"/>
    <w:tmpl w:val="B0B23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695E57"/>
    <w:multiLevelType w:val="hybridMultilevel"/>
    <w:tmpl w:val="DF06AA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2D2743"/>
    <w:multiLevelType w:val="hybridMultilevel"/>
    <w:tmpl w:val="90C2D562"/>
    <w:lvl w:ilvl="0" w:tplc="8A66E71A">
      <w:numFmt w:val="bullet"/>
      <w:lvlText w:val="-"/>
      <w:lvlJc w:val="left"/>
      <w:pPr>
        <w:tabs>
          <w:tab w:val="num" w:pos="720"/>
        </w:tabs>
        <w:ind w:left="720" w:hanging="360"/>
      </w:pPr>
      <w:rPr>
        <w:rFonts w:ascii="Arial Rounded MT Bold" w:eastAsia="Times New Roman" w:hAnsi="Arial Rounded MT Bold"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73149"/>
    <w:multiLevelType w:val="multilevel"/>
    <w:tmpl w:val="25987D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56368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464BA8"/>
    <w:multiLevelType w:val="hybridMultilevel"/>
    <w:tmpl w:val="9300E4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34A5C06"/>
    <w:multiLevelType w:val="hybridMultilevel"/>
    <w:tmpl w:val="4058FCD2"/>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3" w15:restartNumberingAfterBreak="0">
    <w:nsid w:val="35553C7C"/>
    <w:multiLevelType w:val="hybridMultilevel"/>
    <w:tmpl w:val="4FE44DE6"/>
    <w:lvl w:ilvl="0" w:tplc="040C000D">
      <w:start w:val="1"/>
      <w:numFmt w:val="bullet"/>
      <w:lvlText w:val=""/>
      <w:lvlJc w:val="left"/>
      <w:pPr>
        <w:tabs>
          <w:tab w:val="num" w:pos="720"/>
        </w:tabs>
        <w:ind w:left="720" w:hanging="360"/>
      </w:pPr>
      <w:rPr>
        <w:rFonts w:ascii="Wingdings" w:hAnsi="Wingdings" w:hint="default"/>
      </w:rPr>
    </w:lvl>
    <w:lvl w:ilvl="1" w:tplc="8D660172" w:tentative="1">
      <w:start w:val="1"/>
      <w:numFmt w:val="decimal"/>
      <w:lvlText w:val="%2."/>
      <w:lvlJc w:val="left"/>
      <w:pPr>
        <w:tabs>
          <w:tab w:val="num" w:pos="1440"/>
        </w:tabs>
        <w:ind w:left="1440" w:hanging="360"/>
      </w:pPr>
    </w:lvl>
    <w:lvl w:ilvl="2" w:tplc="DD7A2FB4" w:tentative="1">
      <w:start w:val="1"/>
      <w:numFmt w:val="decimal"/>
      <w:lvlText w:val="%3."/>
      <w:lvlJc w:val="left"/>
      <w:pPr>
        <w:tabs>
          <w:tab w:val="num" w:pos="2160"/>
        </w:tabs>
        <w:ind w:left="2160" w:hanging="360"/>
      </w:pPr>
    </w:lvl>
    <w:lvl w:ilvl="3" w:tplc="8536DDC2" w:tentative="1">
      <w:start w:val="1"/>
      <w:numFmt w:val="decimal"/>
      <w:lvlText w:val="%4."/>
      <w:lvlJc w:val="left"/>
      <w:pPr>
        <w:tabs>
          <w:tab w:val="num" w:pos="2880"/>
        </w:tabs>
        <w:ind w:left="2880" w:hanging="360"/>
      </w:pPr>
    </w:lvl>
    <w:lvl w:ilvl="4" w:tplc="1396D1AA" w:tentative="1">
      <w:start w:val="1"/>
      <w:numFmt w:val="decimal"/>
      <w:lvlText w:val="%5."/>
      <w:lvlJc w:val="left"/>
      <w:pPr>
        <w:tabs>
          <w:tab w:val="num" w:pos="3600"/>
        </w:tabs>
        <w:ind w:left="3600" w:hanging="360"/>
      </w:pPr>
    </w:lvl>
    <w:lvl w:ilvl="5" w:tplc="FE2EEEC2" w:tentative="1">
      <w:start w:val="1"/>
      <w:numFmt w:val="decimal"/>
      <w:lvlText w:val="%6."/>
      <w:lvlJc w:val="left"/>
      <w:pPr>
        <w:tabs>
          <w:tab w:val="num" w:pos="4320"/>
        </w:tabs>
        <w:ind w:left="4320" w:hanging="360"/>
      </w:pPr>
    </w:lvl>
    <w:lvl w:ilvl="6" w:tplc="10BEB170" w:tentative="1">
      <w:start w:val="1"/>
      <w:numFmt w:val="decimal"/>
      <w:lvlText w:val="%7."/>
      <w:lvlJc w:val="left"/>
      <w:pPr>
        <w:tabs>
          <w:tab w:val="num" w:pos="5040"/>
        </w:tabs>
        <w:ind w:left="5040" w:hanging="360"/>
      </w:pPr>
    </w:lvl>
    <w:lvl w:ilvl="7" w:tplc="A6F6E032" w:tentative="1">
      <w:start w:val="1"/>
      <w:numFmt w:val="decimal"/>
      <w:lvlText w:val="%8."/>
      <w:lvlJc w:val="left"/>
      <w:pPr>
        <w:tabs>
          <w:tab w:val="num" w:pos="5760"/>
        </w:tabs>
        <w:ind w:left="5760" w:hanging="360"/>
      </w:pPr>
    </w:lvl>
    <w:lvl w:ilvl="8" w:tplc="89003D98" w:tentative="1">
      <w:start w:val="1"/>
      <w:numFmt w:val="decimal"/>
      <w:lvlText w:val="%9."/>
      <w:lvlJc w:val="left"/>
      <w:pPr>
        <w:tabs>
          <w:tab w:val="num" w:pos="6480"/>
        </w:tabs>
        <w:ind w:left="6480" w:hanging="360"/>
      </w:pPr>
    </w:lvl>
  </w:abstractNum>
  <w:abstractNum w:abstractNumId="14" w15:restartNumberingAfterBreak="0">
    <w:nsid w:val="3C5A0A93"/>
    <w:multiLevelType w:val="multilevel"/>
    <w:tmpl w:val="71F417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D83413"/>
    <w:multiLevelType w:val="hybridMultilevel"/>
    <w:tmpl w:val="A7B2D3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1AD4CD2"/>
    <w:multiLevelType w:val="hybridMultilevel"/>
    <w:tmpl w:val="B3680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58053D"/>
    <w:multiLevelType w:val="hybridMultilevel"/>
    <w:tmpl w:val="250EF3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1057202"/>
    <w:multiLevelType w:val="hybridMultilevel"/>
    <w:tmpl w:val="27265544"/>
    <w:lvl w:ilvl="0" w:tplc="94FAE3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6C32"/>
    <w:multiLevelType w:val="multilevel"/>
    <w:tmpl w:val="21F4D0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A00743"/>
    <w:multiLevelType w:val="hybridMultilevel"/>
    <w:tmpl w:val="AE486FBC"/>
    <w:lvl w:ilvl="0" w:tplc="ED2077AE">
      <w:start w:val="1"/>
      <w:numFmt w:val="bullet"/>
      <w:lvlText w:val=""/>
      <w:lvlJc w:val="left"/>
      <w:pPr>
        <w:ind w:left="360" w:hanging="360"/>
      </w:pPr>
      <w:rPr>
        <w:rFonts w:ascii="Symbol" w:hAnsi="Symbol" w:hint="default"/>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F091EBA"/>
    <w:multiLevelType w:val="hybridMultilevel"/>
    <w:tmpl w:val="10803D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F144837"/>
    <w:multiLevelType w:val="multilevel"/>
    <w:tmpl w:val="CC6C09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EF7A17"/>
    <w:multiLevelType w:val="hybridMultilevel"/>
    <w:tmpl w:val="47029E0C"/>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7D2A80"/>
    <w:multiLevelType w:val="hybridMultilevel"/>
    <w:tmpl w:val="AC5E2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E46D7B"/>
    <w:multiLevelType w:val="hybridMultilevel"/>
    <w:tmpl w:val="A4B2BCF0"/>
    <w:lvl w:ilvl="0" w:tplc="FFFFFFFF">
      <w:start w:val="1"/>
      <w:numFmt w:val="bullet"/>
      <w:lvlText w:val="-"/>
      <w:lvlJc w:val="left"/>
      <w:pPr>
        <w:ind w:left="1429" w:hanging="360"/>
      </w:pPr>
      <w:rPr>
        <w:rFonts w:ascii="Vrinda" w:hAnsi="Vrinda"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15:restartNumberingAfterBreak="0">
    <w:nsid w:val="6B903194"/>
    <w:multiLevelType w:val="hybridMultilevel"/>
    <w:tmpl w:val="6BAAC486"/>
    <w:lvl w:ilvl="0" w:tplc="040C0001">
      <w:start w:val="1"/>
      <w:numFmt w:val="bullet"/>
      <w:lvlText w:val=""/>
      <w:lvlJc w:val="left"/>
      <w:pPr>
        <w:tabs>
          <w:tab w:val="num" w:pos="1080"/>
        </w:tabs>
        <w:ind w:left="1080" w:hanging="360"/>
      </w:pPr>
      <w:rPr>
        <w:rFonts w:ascii="Symbol" w:hAnsi="Symbol" w:hint="default"/>
      </w:rPr>
    </w:lvl>
    <w:lvl w:ilvl="1" w:tplc="24C2859C" w:tentative="1">
      <w:start w:val="1"/>
      <w:numFmt w:val="bullet"/>
      <w:lvlText w:val=""/>
      <w:lvlJc w:val="left"/>
      <w:pPr>
        <w:tabs>
          <w:tab w:val="num" w:pos="1800"/>
        </w:tabs>
        <w:ind w:left="1800" w:hanging="360"/>
      </w:pPr>
      <w:rPr>
        <w:rFonts w:ascii="Wingdings" w:hAnsi="Wingdings" w:hint="default"/>
      </w:rPr>
    </w:lvl>
    <w:lvl w:ilvl="2" w:tplc="25D4BBDA" w:tentative="1">
      <w:start w:val="1"/>
      <w:numFmt w:val="bullet"/>
      <w:lvlText w:val=""/>
      <w:lvlJc w:val="left"/>
      <w:pPr>
        <w:tabs>
          <w:tab w:val="num" w:pos="2520"/>
        </w:tabs>
        <w:ind w:left="2520" w:hanging="360"/>
      </w:pPr>
      <w:rPr>
        <w:rFonts w:ascii="Wingdings" w:hAnsi="Wingdings" w:hint="default"/>
      </w:rPr>
    </w:lvl>
    <w:lvl w:ilvl="3" w:tplc="4C1076DA" w:tentative="1">
      <w:start w:val="1"/>
      <w:numFmt w:val="bullet"/>
      <w:lvlText w:val=""/>
      <w:lvlJc w:val="left"/>
      <w:pPr>
        <w:tabs>
          <w:tab w:val="num" w:pos="3240"/>
        </w:tabs>
        <w:ind w:left="3240" w:hanging="360"/>
      </w:pPr>
      <w:rPr>
        <w:rFonts w:ascii="Wingdings" w:hAnsi="Wingdings" w:hint="default"/>
      </w:rPr>
    </w:lvl>
    <w:lvl w:ilvl="4" w:tplc="1402E0D4" w:tentative="1">
      <w:start w:val="1"/>
      <w:numFmt w:val="bullet"/>
      <w:lvlText w:val=""/>
      <w:lvlJc w:val="left"/>
      <w:pPr>
        <w:tabs>
          <w:tab w:val="num" w:pos="3960"/>
        </w:tabs>
        <w:ind w:left="3960" w:hanging="360"/>
      </w:pPr>
      <w:rPr>
        <w:rFonts w:ascii="Wingdings" w:hAnsi="Wingdings" w:hint="default"/>
      </w:rPr>
    </w:lvl>
    <w:lvl w:ilvl="5" w:tplc="A2E6CB98" w:tentative="1">
      <w:start w:val="1"/>
      <w:numFmt w:val="bullet"/>
      <w:lvlText w:val=""/>
      <w:lvlJc w:val="left"/>
      <w:pPr>
        <w:tabs>
          <w:tab w:val="num" w:pos="4680"/>
        </w:tabs>
        <w:ind w:left="4680" w:hanging="360"/>
      </w:pPr>
      <w:rPr>
        <w:rFonts w:ascii="Wingdings" w:hAnsi="Wingdings" w:hint="default"/>
      </w:rPr>
    </w:lvl>
    <w:lvl w:ilvl="6" w:tplc="1D6055B4" w:tentative="1">
      <w:start w:val="1"/>
      <w:numFmt w:val="bullet"/>
      <w:lvlText w:val=""/>
      <w:lvlJc w:val="left"/>
      <w:pPr>
        <w:tabs>
          <w:tab w:val="num" w:pos="5400"/>
        </w:tabs>
        <w:ind w:left="5400" w:hanging="360"/>
      </w:pPr>
      <w:rPr>
        <w:rFonts w:ascii="Wingdings" w:hAnsi="Wingdings" w:hint="default"/>
      </w:rPr>
    </w:lvl>
    <w:lvl w:ilvl="7" w:tplc="397CD680" w:tentative="1">
      <w:start w:val="1"/>
      <w:numFmt w:val="bullet"/>
      <w:lvlText w:val=""/>
      <w:lvlJc w:val="left"/>
      <w:pPr>
        <w:tabs>
          <w:tab w:val="num" w:pos="6120"/>
        </w:tabs>
        <w:ind w:left="6120" w:hanging="360"/>
      </w:pPr>
      <w:rPr>
        <w:rFonts w:ascii="Wingdings" w:hAnsi="Wingdings" w:hint="default"/>
      </w:rPr>
    </w:lvl>
    <w:lvl w:ilvl="8" w:tplc="825455E0"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704270"/>
    <w:multiLevelType w:val="multilevel"/>
    <w:tmpl w:val="3DD0C546"/>
    <w:styleLink w:val="Style1"/>
    <w:lvl w:ilvl="0">
      <w:start w:val="3"/>
      <w:numFmt w:val="decimal"/>
      <w:lvlText w:val="%1"/>
      <w:lvlJc w:val="left"/>
      <w:pPr>
        <w:ind w:left="360" w:hanging="360"/>
      </w:pPr>
      <w:rPr>
        <w:rFonts w:ascii="Maiandra GD" w:hAnsi="Maiandra GD" w:hint="default"/>
        <w:b/>
        <w:sz w:val="24"/>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224C28"/>
    <w:multiLevelType w:val="hybridMultilevel"/>
    <w:tmpl w:val="A4F82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A931AA"/>
    <w:multiLevelType w:val="hybridMultilevel"/>
    <w:tmpl w:val="FD8818FE"/>
    <w:styleLink w:val="1111111"/>
    <w:lvl w:ilvl="0" w:tplc="040C0017">
      <w:start w:val="1"/>
      <w:numFmt w:val="bullet"/>
      <w:lvlText w:val="-"/>
      <w:lvlJc w:val="left"/>
      <w:pPr>
        <w:ind w:left="1069" w:hanging="360"/>
      </w:pPr>
      <w:rPr>
        <w:rFonts w:ascii="Vrinda" w:hAnsi="Vrinda" w:hint="default"/>
      </w:rPr>
    </w:lvl>
    <w:lvl w:ilvl="1" w:tplc="040C0019" w:tentative="1">
      <w:start w:val="1"/>
      <w:numFmt w:val="bullet"/>
      <w:lvlText w:val="o"/>
      <w:lvlJc w:val="left"/>
      <w:pPr>
        <w:ind w:left="1789" w:hanging="360"/>
      </w:pPr>
      <w:rPr>
        <w:rFonts w:ascii="Courier New" w:hAnsi="Courier New" w:cs="Courier New" w:hint="default"/>
      </w:rPr>
    </w:lvl>
    <w:lvl w:ilvl="2" w:tplc="040C001B" w:tentative="1">
      <w:start w:val="1"/>
      <w:numFmt w:val="bullet"/>
      <w:lvlText w:val=""/>
      <w:lvlJc w:val="left"/>
      <w:pPr>
        <w:ind w:left="2509" w:hanging="360"/>
      </w:pPr>
      <w:rPr>
        <w:rFonts w:ascii="Wingdings" w:hAnsi="Wingdings" w:hint="default"/>
      </w:rPr>
    </w:lvl>
    <w:lvl w:ilvl="3" w:tplc="040C000F" w:tentative="1">
      <w:start w:val="1"/>
      <w:numFmt w:val="bullet"/>
      <w:lvlText w:val=""/>
      <w:lvlJc w:val="left"/>
      <w:pPr>
        <w:ind w:left="3229" w:hanging="360"/>
      </w:pPr>
      <w:rPr>
        <w:rFonts w:ascii="Symbol" w:hAnsi="Symbol" w:hint="default"/>
      </w:rPr>
    </w:lvl>
    <w:lvl w:ilvl="4" w:tplc="040C0019" w:tentative="1">
      <w:start w:val="1"/>
      <w:numFmt w:val="bullet"/>
      <w:lvlText w:val="o"/>
      <w:lvlJc w:val="left"/>
      <w:pPr>
        <w:ind w:left="3949" w:hanging="360"/>
      </w:pPr>
      <w:rPr>
        <w:rFonts w:ascii="Courier New" w:hAnsi="Courier New" w:cs="Courier New" w:hint="default"/>
      </w:rPr>
    </w:lvl>
    <w:lvl w:ilvl="5" w:tplc="040C001B" w:tentative="1">
      <w:start w:val="1"/>
      <w:numFmt w:val="bullet"/>
      <w:lvlText w:val=""/>
      <w:lvlJc w:val="left"/>
      <w:pPr>
        <w:ind w:left="4669" w:hanging="360"/>
      </w:pPr>
      <w:rPr>
        <w:rFonts w:ascii="Wingdings" w:hAnsi="Wingdings" w:hint="default"/>
      </w:rPr>
    </w:lvl>
    <w:lvl w:ilvl="6" w:tplc="040C000F" w:tentative="1">
      <w:start w:val="1"/>
      <w:numFmt w:val="bullet"/>
      <w:lvlText w:val=""/>
      <w:lvlJc w:val="left"/>
      <w:pPr>
        <w:ind w:left="5389" w:hanging="360"/>
      </w:pPr>
      <w:rPr>
        <w:rFonts w:ascii="Symbol" w:hAnsi="Symbol" w:hint="default"/>
      </w:rPr>
    </w:lvl>
    <w:lvl w:ilvl="7" w:tplc="040C0019" w:tentative="1">
      <w:start w:val="1"/>
      <w:numFmt w:val="bullet"/>
      <w:lvlText w:val="o"/>
      <w:lvlJc w:val="left"/>
      <w:pPr>
        <w:ind w:left="6109" w:hanging="360"/>
      </w:pPr>
      <w:rPr>
        <w:rFonts w:ascii="Courier New" w:hAnsi="Courier New" w:cs="Courier New" w:hint="default"/>
      </w:rPr>
    </w:lvl>
    <w:lvl w:ilvl="8" w:tplc="040C001B" w:tentative="1">
      <w:start w:val="1"/>
      <w:numFmt w:val="bullet"/>
      <w:lvlText w:val=""/>
      <w:lvlJc w:val="left"/>
      <w:pPr>
        <w:ind w:left="6829" w:hanging="360"/>
      </w:pPr>
      <w:rPr>
        <w:rFonts w:ascii="Wingdings" w:hAnsi="Wingdings" w:hint="default"/>
      </w:rPr>
    </w:lvl>
  </w:abstractNum>
  <w:abstractNum w:abstractNumId="30" w15:restartNumberingAfterBreak="0">
    <w:nsid w:val="7659083A"/>
    <w:multiLevelType w:val="hybridMultilevel"/>
    <w:tmpl w:val="969EAF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E717FA"/>
    <w:multiLevelType w:val="hybridMultilevel"/>
    <w:tmpl w:val="2340C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EF45B5"/>
    <w:multiLevelType w:val="multilevel"/>
    <w:tmpl w:val="077EE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C97679"/>
    <w:multiLevelType w:val="hybridMultilevel"/>
    <w:tmpl w:val="7E96AA3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E8A44EA"/>
    <w:multiLevelType w:val="hybridMultilevel"/>
    <w:tmpl w:val="C8889B6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0"/>
  </w:num>
  <w:num w:numId="2">
    <w:abstractNumId w:val="28"/>
  </w:num>
  <w:num w:numId="3">
    <w:abstractNumId w:val="34"/>
  </w:num>
  <w:num w:numId="4">
    <w:abstractNumId w:val="10"/>
  </w:num>
  <w:num w:numId="5">
    <w:abstractNumId w:val="2"/>
  </w:num>
  <w:num w:numId="6">
    <w:abstractNumId w:val="9"/>
  </w:num>
  <w:num w:numId="7">
    <w:abstractNumId w:val="23"/>
  </w:num>
  <w:num w:numId="8">
    <w:abstractNumId w:val="14"/>
  </w:num>
  <w:num w:numId="9">
    <w:abstractNumId w:val="7"/>
  </w:num>
  <w:num w:numId="10">
    <w:abstractNumId w:val="8"/>
  </w:num>
  <w:num w:numId="11">
    <w:abstractNumId w:val="25"/>
  </w:num>
  <w:num w:numId="12">
    <w:abstractNumId w:val="29"/>
  </w:num>
  <w:num w:numId="13">
    <w:abstractNumId w:val="5"/>
  </w:num>
  <w:num w:numId="14">
    <w:abstractNumId w:val="24"/>
  </w:num>
  <w:num w:numId="15">
    <w:abstractNumId w:val="1"/>
  </w:num>
  <w:num w:numId="16">
    <w:abstractNumId w:val="11"/>
  </w:num>
  <w:num w:numId="17">
    <w:abstractNumId w:val="14"/>
    <w:lvlOverride w:ilvl="0">
      <w:startOverride w:val="4"/>
    </w:lvlOverride>
    <w:lvlOverride w:ilvl="1">
      <w:startOverride w:val="1"/>
    </w:lvlOverride>
  </w:num>
  <w:num w:numId="18">
    <w:abstractNumId w:val="27"/>
  </w:num>
  <w:num w:numId="19">
    <w:abstractNumId w:val="4"/>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26"/>
  </w:num>
  <w:num w:numId="24">
    <w:abstractNumId w:val="15"/>
  </w:num>
  <w:num w:numId="25">
    <w:abstractNumId w:val="6"/>
  </w:num>
  <w:num w:numId="26">
    <w:abstractNumId w:val="33"/>
  </w:num>
  <w:num w:numId="27">
    <w:abstractNumId w:val="12"/>
  </w:num>
  <w:num w:numId="28">
    <w:abstractNumId w:val="32"/>
  </w:num>
  <w:num w:numId="29">
    <w:abstractNumId w:val="32"/>
    <w:lvlOverride w:ilvl="0">
      <w:startOverride w:val="2"/>
    </w:lvlOverride>
    <w:lvlOverride w:ilvl="1">
      <w:startOverride w:val="1"/>
    </w:lvlOverride>
  </w:num>
  <w:num w:numId="30">
    <w:abstractNumId w:val="30"/>
  </w:num>
  <w:num w:numId="31">
    <w:abstractNumId w:val="13"/>
  </w:num>
  <w:num w:numId="32">
    <w:abstractNumId w:val="19"/>
  </w:num>
  <w:num w:numId="33">
    <w:abstractNumId w:val="22"/>
  </w:num>
  <w:num w:numId="34">
    <w:abstractNumId w:val="18"/>
  </w:num>
  <w:num w:numId="35">
    <w:abstractNumId w:val="16"/>
  </w:num>
  <w:num w:numId="36">
    <w:abstractNumId w:val="3"/>
  </w:num>
  <w:num w:numId="37">
    <w:abstractNumId w:val="31"/>
  </w:num>
  <w:num w:numId="38">
    <w:abstractNumId w:val="17"/>
  </w:num>
  <w:num w:numId="3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95"/>
    <w:rsid w:val="00000673"/>
    <w:rsid w:val="000059D2"/>
    <w:rsid w:val="000110F9"/>
    <w:rsid w:val="0001252E"/>
    <w:rsid w:val="00012691"/>
    <w:rsid w:val="00013F36"/>
    <w:rsid w:val="00017383"/>
    <w:rsid w:val="0001795E"/>
    <w:rsid w:val="00023CA6"/>
    <w:rsid w:val="00025A80"/>
    <w:rsid w:val="00031F6C"/>
    <w:rsid w:val="00032817"/>
    <w:rsid w:val="0003628A"/>
    <w:rsid w:val="0003629A"/>
    <w:rsid w:val="0003649E"/>
    <w:rsid w:val="00036805"/>
    <w:rsid w:val="00041CE7"/>
    <w:rsid w:val="0004270E"/>
    <w:rsid w:val="000511F8"/>
    <w:rsid w:val="00052024"/>
    <w:rsid w:val="00057E84"/>
    <w:rsid w:val="0007280D"/>
    <w:rsid w:val="00072D18"/>
    <w:rsid w:val="00084D87"/>
    <w:rsid w:val="00093AB2"/>
    <w:rsid w:val="00094069"/>
    <w:rsid w:val="00095E6D"/>
    <w:rsid w:val="000A1C86"/>
    <w:rsid w:val="000B4D01"/>
    <w:rsid w:val="000B7360"/>
    <w:rsid w:val="000C258A"/>
    <w:rsid w:val="000C5C85"/>
    <w:rsid w:val="000D60BE"/>
    <w:rsid w:val="000E0329"/>
    <w:rsid w:val="000E47D1"/>
    <w:rsid w:val="000E69D5"/>
    <w:rsid w:val="001104B2"/>
    <w:rsid w:val="00111AD6"/>
    <w:rsid w:val="00120DFB"/>
    <w:rsid w:val="001267D3"/>
    <w:rsid w:val="00126E99"/>
    <w:rsid w:val="00131CEA"/>
    <w:rsid w:val="001354C5"/>
    <w:rsid w:val="00135666"/>
    <w:rsid w:val="00137A91"/>
    <w:rsid w:val="00140ECD"/>
    <w:rsid w:val="00143219"/>
    <w:rsid w:val="00143A7B"/>
    <w:rsid w:val="0014513D"/>
    <w:rsid w:val="00150261"/>
    <w:rsid w:val="0016106A"/>
    <w:rsid w:val="00174440"/>
    <w:rsid w:val="00180ACE"/>
    <w:rsid w:val="0018511E"/>
    <w:rsid w:val="00185DC0"/>
    <w:rsid w:val="001867BE"/>
    <w:rsid w:val="00192085"/>
    <w:rsid w:val="00192B41"/>
    <w:rsid w:val="00193543"/>
    <w:rsid w:val="00195838"/>
    <w:rsid w:val="001A46D3"/>
    <w:rsid w:val="001B4265"/>
    <w:rsid w:val="001B5E92"/>
    <w:rsid w:val="001C54AC"/>
    <w:rsid w:val="001C5563"/>
    <w:rsid w:val="001C75B6"/>
    <w:rsid w:val="001E41D6"/>
    <w:rsid w:val="001F4E33"/>
    <w:rsid w:val="00205D2C"/>
    <w:rsid w:val="00223351"/>
    <w:rsid w:val="002274D3"/>
    <w:rsid w:val="002336F0"/>
    <w:rsid w:val="0023442D"/>
    <w:rsid w:val="00234500"/>
    <w:rsid w:val="00236337"/>
    <w:rsid w:val="0024201F"/>
    <w:rsid w:val="00242E67"/>
    <w:rsid w:val="0025036E"/>
    <w:rsid w:val="0025433A"/>
    <w:rsid w:val="00254923"/>
    <w:rsid w:val="00255EC0"/>
    <w:rsid w:val="00257DA0"/>
    <w:rsid w:val="002604F5"/>
    <w:rsid w:val="00282C1D"/>
    <w:rsid w:val="00285A5B"/>
    <w:rsid w:val="00287732"/>
    <w:rsid w:val="00296AFD"/>
    <w:rsid w:val="0029705C"/>
    <w:rsid w:val="002A7189"/>
    <w:rsid w:val="002B5C57"/>
    <w:rsid w:val="002B79BF"/>
    <w:rsid w:val="002D1575"/>
    <w:rsid w:val="002D2BDE"/>
    <w:rsid w:val="002D32D1"/>
    <w:rsid w:val="002E1733"/>
    <w:rsid w:val="002E3E37"/>
    <w:rsid w:val="002E4E7C"/>
    <w:rsid w:val="002E5AA5"/>
    <w:rsid w:val="002F172C"/>
    <w:rsid w:val="00300648"/>
    <w:rsid w:val="0030099F"/>
    <w:rsid w:val="0030144B"/>
    <w:rsid w:val="00305FA2"/>
    <w:rsid w:val="00312C3C"/>
    <w:rsid w:val="00320EE2"/>
    <w:rsid w:val="0032336E"/>
    <w:rsid w:val="00323924"/>
    <w:rsid w:val="003249E3"/>
    <w:rsid w:val="00332E05"/>
    <w:rsid w:val="00334FEA"/>
    <w:rsid w:val="00335D6F"/>
    <w:rsid w:val="00337C38"/>
    <w:rsid w:val="0034495C"/>
    <w:rsid w:val="00344A64"/>
    <w:rsid w:val="003463FD"/>
    <w:rsid w:val="00350EFF"/>
    <w:rsid w:val="003511F9"/>
    <w:rsid w:val="0035174C"/>
    <w:rsid w:val="00351AD0"/>
    <w:rsid w:val="00353FAA"/>
    <w:rsid w:val="00364CF7"/>
    <w:rsid w:val="0036721D"/>
    <w:rsid w:val="00370604"/>
    <w:rsid w:val="00370CA7"/>
    <w:rsid w:val="0037394B"/>
    <w:rsid w:val="00393630"/>
    <w:rsid w:val="003936E7"/>
    <w:rsid w:val="00395ABB"/>
    <w:rsid w:val="00395C84"/>
    <w:rsid w:val="003C2927"/>
    <w:rsid w:val="003C52FB"/>
    <w:rsid w:val="003E5E52"/>
    <w:rsid w:val="003E6440"/>
    <w:rsid w:val="00406BAE"/>
    <w:rsid w:val="00411E63"/>
    <w:rsid w:val="00415A98"/>
    <w:rsid w:val="00425AB8"/>
    <w:rsid w:val="00436695"/>
    <w:rsid w:val="00446B99"/>
    <w:rsid w:val="00460F99"/>
    <w:rsid w:val="00461AE1"/>
    <w:rsid w:val="004675BD"/>
    <w:rsid w:val="0047295B"/>
    <w:rsid w:val="00474F90"/>
    <w:rsid w:val="00480EDD"/>
    <w:rsid w:val="004853B4"/>
    <w:rsid w:val="00485E1B"/>
    <w:rsid w:val="00487B6F"/>
    <w:rsid w:val="00495E19"/>
    <w:rsid w:val="004A1E33"/>
    <w:rsid w:val="004A5D67"/>
    <w:rsid w:val="004A7969"/>
    <w:rsid w:val="004B2A85"/>
    <w:rsid w:val="004D0633"/>
    <w:rsid w:val="004D24F8"/>
    <w:rsid w:val="004D7E8C"/>
    <w:rsid w:val="004E0F1B"/>
    <w:rsid w:val="004E5732"/>
    <w:rsid w:val="004F2E5F"/>
    <w:rsid w:val="004F3D7D"/>
    <w:rsid w:val="004F4D9D"/>
    <w:rsid w:val="0050045D"/>
    <w:rsid w:val="0050498B"/>
    <w:rsid w:val="00510479"/>
    <w:rsid w:val="00514550"/>
    <w:rsid w:val="00516263"/>
    <w:rsid w:val="00532457"/>
    <w:rsid w:val="00533160"/>
    <w:rsid w:val="005373E6"/>
    <w:rsid w:val="005376CA"/>
    <w:rsid w:val="00537CE0"/>
    <w:rsid w:val="0054254A"/>
    <w:rsid w:val="00545D3A"/>
    <w:rsid w:val="00547534"/>
    <w:rsid w:val="00551DF5"/>
    <w:rsid w:val="00556619"/>
    <w:rsid w:val="00556BB3"/>
    <w:rsid w:val="0055770D"/>
    <w:rsid w:val="00560F9D"/>
    <w:rsid w:val="00562482"/>
    <w:rsid w:val="005637A1"/>
    <w:rsid w:val="00563A0F"/>
    <w:rsid w:val="00563E7D"/>
    <w:rsid w:val="00566264"/>
    <w:rsid w:val="00573E6D"/>
    <w:rsid w:val="00574DA2"/>
    <w:rsid w:val="0058500C"/>
    <w:rsid w:val="0059198F"/>
    <w:rsid w:val="00592FF5"/>
    <w:rsid w:val="005A0C24"/>
    <w:rsid w:val="005A73D6"/>
    <w:rsid w:val="005B37A5"/>
    <w:rsid w:val="005B46D1"/>
    <w:rsid w:val="005B603F"/>
    <w:rsid w:val="005B7140"/>
    <w:rsid w:val="005C0761"/>
    <w:rsid w:val="005C15BC"/>
    <w:rsid w:val="005C1C15"/>
    <w:rsid w:val="005C7F96"/>
    <w:rsid w:val="005D2375"/>
    <w:rsid w:val="005D7053"/>
    <w:rsid w:val="005F0A99"/>
    <w:rsid w:val="005F7F37"/>
    <w:rsid w:val="00617C7E"/>
    <w:rsid w:val="0063022E"/>
    <w:rsid w:val="006400B5"/>
    <w:rsid w:val="00641B6C"/>
    <w:rsid w:val="00643867"/>
    <w:rsid w:val="00647E48"/>
    <w:rsid w:val="00651AAD"/>
    <w:rsid w:val="00663D63"/>
    <w:rsid w:val="0066443D"/>
    <w:rsid w:val="006670C6"/>
    <w:rsid w:val="00672A51"/>
    <w:rsid w:val="006737A6"/>
    <w:rsid w:val="0068460E"/>
    <w:rsid w:val="006A44DA"/>
    <w:rsid w:val="006B3AD3"/>
    <w:rsid w:val="006B53C1"/>
    <w:rsid w:val="006D104E"/>
    <w:rsid w:val="006D457D"/>
    <w:rsid w:val="006D4B73"/>
    <w:rsid w:val="006E5C64"/>
    <w:rsid w:val="006F11B5"/>
    <w:rsid w:val="006F39C5"/>
    <w:rsid w:val="00700153"/>
    <w:rsid w:val="007127F6"/>
    <w:rsid w:val="007147EF"/>
    <w:rsid w:val="00722725"/>
    <w:rsid w:val="00722A52"/>
    <w:rsid w:val="00730C96"/>
    <w:rsid w:val="007369B0"/>
    <w:rsid w:val="00741C71"/>
    <w:rsid w:val="00743D0B"/>
    <w:rsid w:val="007441BF"/>
    <w:rsid w:val="00751F7C"/>
    <w:rsid w:val="00755F60"/>
    <w:rsid w:val="0076631E"/>
    <w:rsid w:val="0077531D"/>
    <w:rsid w:val="0077581C"/>
    <w:rsid w:val="00790EC6"/>
    <w:rsid w:val="00793A34"/>
    <w:rsid w:val="007A6C12"/>
    <w:rsid w:val="007A7ED7"/>
    <w:rsid w:val="007B6072"/>
    <w:rsid w:val="007C29C4"/>
    <w:rsid w:val="007C5026"/>
    <w:rsid w:val="007C5A29"/>
    <w:rsid w:val="007C7F22"/>
    <w:rsid w:val="007D094F"/>
    <w:rsid w:val="007D4BA9"/>
    <w:rsid w:val="007E7677"/>
    <w:rsid w:val="007F28D7"/>
    <w:rsid w:val="007F3482"/>
    <w:rsid w:val="007F6DD7"/>
    <w:rsid w:val="00801C18"/>
    <w:rsid w:val="00813B2E"/>
    <w:rsid w:val="00817E84"/>
    <w:rsid w:val="00822388"/>
    <w:rsid w:val="00833DE7"/>
    <w:rsid w:val="00835455"/>
    <w:rsid w:val="00844840"/>
    <w:rsid w:val="00850521"/>
    <w:rsid w:val="00863CBD"/>
    <w:rsid w:val="00866C5C"/>
    <w:rsid w:val="00877C89"/>
    <w:rsid w:val="00877D6B"/>
    <w:rsid w:val="00883BC3"/>
    <w:rsid w:val="00885083"/>
    <w:rsid w:val="00891FBD"/>
    <w:rsid w:val="008926DB"/>
    <w:rsid w:val="00893CBA"/>
    <w:rsid w:val="00896F6D"/>
    <w:rsid w:val="008A0772"/>
    <w:rsid w:val="008A3B58"/>
    <w:rsid w:val="008A4DB9"/>
    <w:rsid w:val="008A784F"/>
    <w:rsid w:val="008A79B6"/>
    <w:rsid w:val="008B2EAD"/>
    <w:rsid w:val="008C487A"/>
    <w:rsid w:val="008D763E"/>
    <w:rsid w:val="008D7683"/>
    <w:rsid w:val="008D7F85"/>
    <w:rsid w:val="008E7D65"/>
    <w:rsid w:val="008F0C28"/>
    <w:rsid w:val="008F1900"/>
    <w:rsid w:val="008F492B"/>
    <w:rsid w:val="00900715"/>
    <w:rsid w:val="00906C80"/>
    <w:rsid w:val="00915B64"/>
    <w:rsid w:val="0092059D"/>
    <w:rsid w:val="00927017"/>
    <w:rsid w:val="00935C50"/>
    <w:rsid w:val="0095487A"/>
    <w:rsid w:val="00956B13"/>
    <w:rsid w:val="00962D57"/>
    <w:rsid w:val="009736D6"/>
    <w:rsid w:val="009824BF"/>
    <w:rsid w:val="00983506"/>
    <w:rsid w:val="0098734C"/>
    <w:rsid w:val="009934AC"/>
    <w:rsid w:val="009A52C1"/>
    <w:rsid w:val="009A6BBB"/>
    <w:rsid w:val="009A7450"/>
    <w:rsid w:val="009D1598"/>
    <w:rsid w:val="009D54B9"/>
    <w:rsid w:val="009E0E38"/>
    <w:rsid w:val="009E2202"/>
    <w:rsid w:val="009F0D71"/>
    <w:rsid w:val="009F1235"/>
    <w:rsid w:val="009F31EA"/>
    <w:rsid w:val="009F5939"/>
    <w:rsid w:val="009F723D"/>
    <w:rsid w:val="00A010E2"/>
    <w:rsid w:val="00A07C86"/>
    <w:rsid w:val="00A10F68"/>
    <w:rsid w:val="00A15E88"/>
    <w:rsid w:val="00A24E66"/>
    <w:rsid w:val="00A35526"/>
    <w:rsid w:val="00A40B2D"/>
    <w:rsid w:val="00A41318"/>
    <w:rsid w:val="00A478FF"/>
    <w:rsid w:val="00A51A96"/>
    <w:rsid w:val="00A537EC"/>
    <w:rsid w:val="00A54960"/>
    <w:rsid w:val="00A56F11"/>
    <w:rsid w:val="00A62434"/>
    <w:rsid w:val="00A66FBD"/>
    <w:rsid w:val="00A75362"/>
    <w:rsid w:val="00A7578E"/>
    <w:rsid w:val="00A76ADC"/>
    <w:rsid w:val="00A81AA6"/>
    <w:rsid w:val="00A82EEF"/>
    <w:rsid w:val="00A923B8"/>
    <w:rsid w:val="00A9661B"/>
    <w:rsid w:val="00AB030A"/>
    <w:rsid w:val="00AC4C23"/>
    <w:rsid w:val="00AD3127"/>
    <w:rsid w:val="00AD760B"/>
    <w:rsid w:val="00AF29C6"/>
    <w:rsid w:val="00AF2ED5"/>
    <w:rsid w:val="00AF4462"/>
    <w:rsid w:val="00AF4F4C"/>
    <w:rsid w:val="00AF53E4"/>
    <w:rsid w:val="00B078E5"/>
    <w:rsid w:val="00B153E3"/>
    <w:rsid w:val="00B23085"/>
    <w:rsid w:val="00B34AEC"/>
    <w:rsid w:val="00B35653"/>
    <w:rsid w:val="00B35E12"/>
    <w:rsid w:val="00B42FC3"/>
    <w:rsid w:val="00B464D0"/>
    <w:rsid w:val="00B51839"/>
    <w:rsid w:val="00B60EA6"/>
    <w:rsid w:val="00B64166"/>
    <w:rsid w:val="00B678C5"/>
    <w:rsid w:val="00B67F41"/>
    <w:rsid w:val="00B7414E"/>
    <w:rsid w:val="00B76698"/>
    <w:rsid w:val="00B77F07"/>
    <w:rsid w:val="00B836E1"/>
    <w:rsid w:val="00B8792D"/>
    <w:rsid w:val="00B9402F"/>
    <w:rsid w:val="00B9699D"/>
    <w:rsid w:val="00BA10EE"/>
    <w:rsid w:val="00BA36FE"/>
    <w:rsid w:val="00BB32FA"/>
    <w:rsid w:val="00BB7F7A"/>
    <w:rsid w:val="00BC0F96"/>
    <w:rsid w:val="00BC5BA1"/>
    <w:rsid w:val="00BC7D1B"/>
    <w:rsid w:val="00BD2C62"/>
    <w:rsid w:val="00BE018D"/>
    <w:rsid w:val="00BE132A"/>
    <w:rsid w:val="00BE5B33"/>
    <w:rsid w:val="00BF3D2E"/>
    <w:rsid w:val="00C1377A"/>
    <w:rsid w:val="00C17559"/>
    <w:rsid w:val="00C2388D"/>
    <w:rsid w:val="00C23E05"/>
    <w:rsid w:val="00C30DF5"/>
    <w:rsid w:val="00C33677"/>
    <w:rsid w:val="00C3393C"/>
    <w:rsid w:val="00C36AAA"/>
    <w:rsid w:val="00C45F74"/>
    <w:rsid w:val="00C472DB"/>
    <w:rsid w:val="00C56F7E"/>
    <w:rsid w:val="00C570C9"/>
    <w:rsid w:val="00C61AB0"/>
    <w:rsid w:val="00C61EFB"/>
    <w:rsid w:val="00C636F0"/>
    <w:rsid w:val="00C65D85"/>
    <w:rsid w:val="00C70A91"/>
    <w:rsid w:val="00C73439"/>
    <w:rsid w:val="00C759C0"/>
    <w:rsid w:val="00C7639F"/>
    <w:rsid w:val="00C772D8"/>
    <w:rsid w:val="00C8373B"/>
    <w:rsid w:val="00C8650D"/>
    <w:rsid w:val="00C95776"/>
    <w:rsid w:val="00CA6817"/>
    <w:rsid w:val="00CB2A72"/>
    <w:rsid w:val="00CB4D5C"/>
    <w:rsid w:val="00CC0D7E"/>
    <w:rsid w:val="00CC1883"/>
    <w:rsid w:val="00CC34D3"/>
    <w:rsid w:val="00CC78EA"/>
    <w:rsid w:val="00CD2D32"/>
    <w:rsid w:val="00CD36F4"/>
    <w:rsid w:val="00CD68FE"/>
    <w:rsid w:val="00CE4BF9"/>
    <w:rsid w:val="00CE4CF8"/>
    <w:rsid w:val="00CE5355"/>
    <w:rsid w:val="00CF6362"/>
    <w:rsid w:val="00D051E1"/>
    <w:rsid w:val="00D0553F"/>
    <w:rsid w:val="00D06442"/>
    <w:rsid w:val="00D0744D"/>
    <w:rsid w:val="00D15454"/>
    <w:rsid w:val="00D170EF"/>
    <w:rsid w:val="00D26438"/>
    <w:rsid w:val="00D266C7"/>
    <w:rsid w:val="00D31171"/>
    <w:rsid w:val="00D34829"/>
    <w:rsid w:val="00D34E94"/>
    <w:rsid w:val="00D4295D"/>
    <w:rsid w:val="00D449CA"/>
    <w:rsid w:val="00D44E79"/>
    <w:rsid w:val="00D47122"/>
    <w:rsid w:val="00D50D08"/>
    <w:rsid w:val="00D5529D"/>
    <w:rsid w:val="00D55B2D"/>
    <w:rsid w:val="00D56E94"/>
    <w:rsid w:val="00D60627"/>
    <w:rsid w:val="00D61808"/>
    <w:rsid w:val="00D74327"/>
    <w:rsid w:val="00D81FBC"/>
    <w:rsid w:val="00D835EE"/>
    <w:rsid w:val="00D836CB"/>
    <w:rsid w:val="00D87F1C"/>
    <w:rsid w:val="00D948AE"/>
    <w:rsid w:val="00DA12C5"/>
    <w:rsid w:val="00DA3691"/>
    <w:rsid w:val="00DA45D5"/>
    <w:rsid w:val="00DA6588"/>
    <w:rsid w:val="00DB0856"/>
    <w:rsid w:val="00DB4305"/>
    <w:rsid w:val="00DC116B"/>
    <w:rsid w:val="00DC5851"/>
    <w:rsid w:val="00DD4EE2"/>
    <w:rsid w:val="00DE48EC"/>
    <w:rsid w:val="00DE6685"/>
    <w:rsid w:val="00DF6B35"/>
    <w:rsid w:val="00E01D29"/>
    <w:rsid w:val="00E0388E"/>
    <w:rsid w:val="00E06F65"/>
    <w:rsid w:val="00E11862"/>
    <w:rsid w:val="00E11ED6"/>
    <w:rsid w:val="00E14D3D"/>
    <w:rsid w:val="00E17F19"/>
    <w:rsid w:val="00E23B98"/>
    <w:rsid w:val="00E26462"/>
    <w:rsid w:val="00E2679A"/>
    <w:rsid w:val="00E401BA"/>
    <w:rsid w:val="00E45A2D"/>
    <w:rsid w:val="00E5114D"/>
    <w:rsid w:val="00E62369"/>
    <w:rsid w:val="00E63691"/>
    <w:rsid w:val="00E67066"/>
    <w:rsid w:val="00E706F7"/>
    <w:rsid w:val="00E72365"/>
    <w:rsid w:val="00E76302"/>
    <w:rsid w:val="00E831E9"/>
    <w:rsid w:val="00E84AA8"/>
    <w:rsid w:val="00E90A53"/>
    <w:rsid w:val="00E91DEA"/>
    <w:rsid w:val="00E931A9"/>
    <w:rsid w:val="00E93FC3"/>
    <w:rsid w:val="00E956E5"/>
    <w:rsid w:val="00E9775C"/>
    <w:rsid w:val="00EA67D2"/>
    <w:rsid w:val="00EA6D90"/>
    <w:rsid w:val="00EA7486"/>
    <w:rsid w:val="00EB0257"/>
    <w:rsid w:val="00EB7644"/>
    <w:rsid w:val="00EC0693"/>
    <w:rsid w:val="00EC2908"/>
    <w:rsid w:val="00EC6337"/>
    <w:rsid w:val="00ED1C04"/>
    <w:rsid w:val="00ED484E"/>
    <w:rsid w:val="00ED4F7C"/>
    <w:rsid w:val="00ED57CB"/>
    <w:rsid w:val="00ED70AB"/>
    <w:rsid w:val="00EE0AF5"/>
    <w:rsid w:val="00EF01E1"/>
    <w:rsid w:val="00EF5322"/>
    <w:rsid w:val="00F042A4"/>
    <w:rsid w:val="00F04A9A"/>
    <w:rsid w:val="00F12A39"/>
    <w:rsid w:val="00F17BF0"/>
    <w:rsid w:val="00F20BA5"/>
    <w:rsid w:val="00F2542E"/>
    <w:rsid w:val="00F329F0"/>
    <w:rsid w:val="00F349C3"/>
    <w:rsid w:val="00F36889"/>
    <w:rsid w:val="00F4118A"/>
    <w:rsid w:val="00F41957"/>
    <w:rsid w:val="00F46425"/>
    <w:rsid w:val="00F47B61"/>
    <w:rsid w:val="00F50167"/>
    <w:rsid w:val="00F5338C"/>
    <w:rsid w:val="00F570B8"/>
    <w:rsid w:val="00F702F4"/>
    <w:rsid w:val="00F72BA5"/>
    <w:rsid w:val="00F7750A"/>
    <w:rsid w:val="00F83ACF"/>
    <w:rsid w:val="00F86AE6"/>
    <w:rsid w:val="00F9179C"/>
    <w:rsid w:val="00F9309B"/>
    <w:rsid w:val="00F96E5F"/>
    <w:rsid w:val="00F97690"/>
    <w:rsid w:val="00FA676F"/>
    <w:rsid w:val="00FB1A47"/>
    <w:rsid w:val="00FB56F6"/>
    <w:rsid w:val="00FB5797"/>
    <w:rsid w:val="00FB7A89"/>
    <w:rsid w:val="00FC0655"/>
    <w:rsid w:val="00FC26BA"/>
    <w:rsid w:val="00FC4471"/>
    <w:rsid w:val="00FD1B88"/>
    <w:rsid w:val="00FD7B8C"/>
    <w:rsid w:val="00FE2F1A"/>
    <w:rsid w:val="00FE492E"/>
    <w:rsid w:val="00FE5D64"/>
    <w:rsid w:val="00FF3B0C"/>
    <w:rsid w:val="00FF4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C114D9"/>
  <w15:chartTrackingRefBased/>
  <w15:docId w15:val="{2E924EFD-8F23-48CA-889D-8923ED8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06A"/>
    <w:pPr>
      <w:widowControl w:val="0"/>
      <w:spacing w:before="120" w:after="120" w:line="300" w:lineRule="auto"/>
      <w:jc w:val="both"/>
    </w:pPr>
    <w:rPr>
      <w:rFonts w:ascii="Maiandra GD" w:hAnsi="Maiandra GD"/>
      <w:sz w:val="24"/>
    </w:rPr>
  </w:style>
  <w:style w:type="paragraph" w:styleId="Titre1">
    <w:name w:val="heading 1"/>
    <w:basedOn w:val="Normal"/>
    <w:next w:val="Normal"/>
    <w:link w:val="Titre1Car"/>
    <w:autoRedefine/>
    <w:uiPriority w:val="9"/>
    <w:qFormat/>
    <w:rsid w:val="006A44DA"/>
    <w:pPr>
      <w:spacing w:before="0"/>
      <w:outlineLvl w:val="0"/>
    </w:pPr>
    <w:rPr>
      <w:rFonts w:eastAsiaTheme="majorEastAsia" w:cstheme="majorBidi"/>
      <w:b/>
      <w:color w:val="002060"/>
      <w:szCs w:val="32"/>
    </w:rPr>
  </w:style>
  <w:style w:type="paragraph" w:styleId="Titre2">
    <w:name w:val="heading 2"/>
    <w:basedOn w:val="Normal"/>
    <w:next w:val="Normal"/>
    <w:link w:val="Titre2Car"/>
    <w:uiPriority w:val="9"/>
    <w:unhideWhenUsed/>
    <w:qFormat/>
    <w:rsid w:val="0016106A"/>
    <w:pPr>
      <w:outlineLvl w:val="1"/>
    </w:pPr>
    <w:rPr>
      <w:rFonts w:eastAsiaTheme="majorEastAsia" w:cstheme="majorBidi"/>
      <w:b/>
      <w:color w:val="002060"/>
      <w:szCs w:val="26"/>
    </w:rPr>
  </w:style>
  <w:style w:type="paragraph" w:styleId="Titre3">
    <w:name w:val="heading 3"/>
    <w:basedOn w:val="Normal"/>
    <w:next w:val="Normal"/>
    <w:link w:val="Titre3Car"/>
    <w:autoRedefine/>
    <w:uiPriority w:val="9"/>
    <w:unhideWhenUsed/>
    <w:qFormat/>
    <w:rsid w:val="0037394B"/>
    <w:pPr>
      <w:numPr>
        <w:ilvl w:val="2"/>
        <w:numId w:val="28"/>
      </w:numPr>
      <w:tabs>
        <w:tab w:val="left" w:pos="567"/>
      </w:tabs>
      <w:outlineLvl w:val="2"/>
    </w:pPr>
    <w:rPr>
      <w:rFonts w:eastAsia="Times New Roman" w:cstheme="majorBidi"/>
      <w:b/>
      <w:bCs/>
      <w:noProof/>
      <w:color w:val="002060"/>
      <w:szCs w:val="24"/>
      <w:lang w:eastAsia="fr-FR"/>
    </w:rPr>
  </w:style>
  <w:style w:type="paragraph" w:styleId="Titre4">
    <w:name w:val="heading 4"/>
    <w:basedOn w:val="Normal"/>
    <w:next w:val="Normal"/>
    <w:link w:val="Titre4Car"/>
    <w:uiPriority w:val="9"/>
    <w:unhideWhenUsed/>
    <w:qFormat/>
    <w:rsid w:val="00813B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MCHIP_list paragraph,List Paragraph1,Recommendation,Bullet List,FooterText,Bioforce zListePuce,Bullets,Numbered List Paragraph,ReferencesCxSpLast,List Paragraph (numbered (a)),List Paragraph nowy,Liste 1,List_Paragraph,lp1"/>
    <w:basedOn w:val="Normal"/>
    <w:link w:val="ParagraphedelisteCar"/>
    <w:uiPriority w:val="34"/>
    <w:qFormat/>
    <w:rsid w:val="00563A0F"/>
    <w:pPr>
      <w:ind w:left="720"/>
      <w:contextualSpacing/>
    </w:pPr>
  </w:style>
  <w:style w:type="character" w:customStyle="1" w:styleId="Titre2Car">
    <w:name w:val="Titre 2 Car"/>
    <w:basedOn w:val="Policepardfaut"/>
    <w:link w:val="Titre2"/>
    <w:uiPriority w:val="9"/>
    <w:rsid w:val="0016106A"/>
    <w:rPr>
      <w:rFonts w:ascii="Maiandra GD" w:eastAsiaTheme="majorEastAsia" w:hAnsi="Maiandra GD" w:cstheme="majorBidi"/>
      <w:b/>
      <w:color w:val="002060"/>
      <w:sz w:val="24"/>
      <w:szCs w:val="26"/>
    </w:rPr>
  </w:style>
  <w:style w:type="character" w:customStyle="1" w:styleId="Titre3Car">
    <w:name w:val="Titre 3 Car"/>
    <w:basedOn w:val="Policepardfaut"/>
    <w:link w:val="Titre3"/>
    <w:uiPriority w:val="9"/>
    <w:rsid w:val="0037394B"/>
    <w:rPr>
      <w:rFonts w:ascii="Maiandra GD" w:eastAsia="Times New Roman" w:hAnsi="Maiandra GD" w:cstheme="majorBidi"/>
      <w:b/>
      <w:bCs/>
      <w:noProof/>
      <w:color w:val="002060"/>
      <w:sz w:val="24"/>
      <w:szCs w:val="24"/>
      <w:lang w:eastAsia="fr-FR"/>
    </w:rPr>
  </w:style>
  <w:style w:type="paragraph" w:styleId="En-tte">
    <w:name w:val="header"/>
    <w:basedOn w:val="Normal"/>
    <w:link w:val="En-tteCar"/>
    <w:uiPriority w:val="99"/>
    <w:unhideWhenUsed/>
    <w:rsid w:val="00E90A53"/>
    <w:pPr>
      <w:tabs>
        <w:tab w:val="center" w:pos="4536"/>
        <w:tab w:val="right" w:pos="9072"/>
      </w:tabs>
      <w:spacing w:after="0" w:line="240" w:lineRule="auto"/>
    </w:pPr>
  </w:style>
  <w:style w:type="character" w:customStyle="1" w:styleId="En-tteCar">
    <w:name w:val="En-tête Car"/>
    <w:basedOn w:val="Policepardfaut"/>
    <w:link w:val="En-tte"/>
    <w:uiPriority w:val="99"/>
    <w:rsid w:val="00E90A53"/>
  </w:style>
  <w:style w:type="paragraph" w:styleId="Pieddepage">
    <w:name w:val="footer"/>
    <w:basedOn w:val="Normal"/>
    <w:link w:val="PieddepageCar"/>
    <w:uiPriority w:val="99"/>
    <w:unhideWhenUsed/>
    <w:rsid w:val="00E90A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A53"/>
  </w:style>
  <w:style w:type="character" w:customStyle="1" w:styleId="Titre1Car">
    <w:name w:val="Titre 1 Car"/>
    <w:basedOn w:val="Policepardfaut"/>
    <w:link w:val="Titre1"/>
    <w:uiPriority w:val="9"/>
    <w:rsid w:val="006A44DA"/>
    <w:rPr>
      <w:rFonts w:ascii="Maiandra GD" w:eastAsiaTheme="majorEastAsia" w:hAnsi="Maiandra GD" w:cstheme="majorBidi"/>
      <w:b/>
      <w:color w:val="002060"/>
      <w:sz w:val="24"/>
      <w:szCs w:val="32"/>
    </w:rPr>
  </w:style>
  <w:style w:type="character" w:customStyle="1" w:styleId="Titre4Car">
    <w:name w:val="Titre 4 Car"/>
    <w:basedOn w:val="Policepardfaut"/>
    <w:link w:val="Titre4"/>
    <w:uiPriority w:val="9"/>
    <w:rsid w:val="00813B2E"/>
    <w:rPr>
      <w:rFonts w:asciiTheme="majorHAnsi" w:eastAsiaTheme="majorEastAsia" w:hAnsiTheme="majorHAnsi" w:cstheme="majorBidi"/>
      <w:i/>
      <w:iCs/>
      <w:color w:val="2E74B5" w:themeColor="accent1" w:themeShade="BF"/>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S,fn,ADB,f"/>
    <w:basedOn w:val="Normal"/>
    <w:link w:val="NotedebasdepageCar"/>
    <w:unhideWhenUsed/>
    <w:qFormat/>
    <w:rsid w:val="008B2EAD"/>
    <w:pPr>
      <w:widowControl/>
      <w:spacing w:before="0" w:after="0" w:line="240" w:lineRule="auto"/>
      <w:jc w:val="left"/>
    </w:pPr>
    <w:rPr>
      <w:rFonts w:asciiTheme="minorHAnsi" w:hAnsiTheme="minorHAnsi"/>
      <w:sz w:val="20"/>
      <w:szCs w:val="20"/>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S Car,fn Car,ADB Car"/>
    <w:basedOn w:val="Policepardfaut"/>
    <w:link w:val="Notedebasdepage"/>
    <w:uiPriority w:val="99"/>
    <w:rsid w:val="008B2EAD"/>
    <w:rPr>
      <w:sz w:val="20"/>
      <w:szCs w:val="20"/>
    </w:rPr>
  </w:style>
  <w:style w:type="character" w:styleId="Appelnotedebasdep">
    <w:name w:val="footnote reference"/>
    <w:aliases w:val="note bp, Car Car Char Car Char Car Car Char Car Char Char, Car Car Car Car Car Car Car Car Char Car Car Char Car Car Car Char Car Char Char Char,ftref,Car Car Char Car Char Car Car Char Car Char Char,SUPERS,16 Point"/>
    <w:basedOn w:val="Policepardfaut"/>
    <w:link w:val="BVIfnrCarCar1Car"/>
    <w:unhideWhenUsed/>
    <w:rsid w:val="008B2EAD"/>
    <w:rPr>
      <w:vertAlign w:val="superscript"/>
    </w:rPr>
  </w:style>
  <w:style w:type="character" w:styleId="Lienhypertexte">
    <w:name w:val="Hyperlink"/>
    <w:basedOn w:val="Policepardfaut"/>
    <w:uiPriority w:val="99"/>
    <w:unhideWhenUsed/>
    <w:rsid w:val="008B2EAD"/>
    <w:rPr>
      <w:color w:val="0563C1" w:themeColor="hyperlink"/>
      <w:u w:val="single"/>
    </w:rPr>
  </w:style>
  <w:style w:type="paragraph" w:styleId="TM1">
    <w:name w:val="toc 1"/>
    <w:basedOn w:val="Normal"/>
    <w:next w:val="Normal"/>
    <w:autoRedefine/>
    <w:uiPriority w:val="39"/>
    <w:unhideWhenUsed/>
    <w:rsid w:val="00822388"/>
    <w:pPr>
      <w:widowControl/>
      <w:tabs>
        <w:tab w:val="right" w:leader="dot" w:pos="9062"/>
      </w:tabs>
      <w:spacing w:before="0" w:after="100" w:line="259" w:lineRule="auto"/>
      <w:jc w:val="left"/>
    </w:pPr>
    <w:rPr>
      <w:rFonts w:eastAsia="Times New Roman" w:cs="Times New Roman"/>
      <w:sz w:val="22"/>
      <w:lang w:eastAsia="fr-FR"/>
    </w:rPr>
  </w:style>
  <w:style w:type="paragraph" w:styleId="TM2">
    <w:name w:val="toc 2"/>
    <w:basedOn w:val="Normal"/>
    <w:next w:val="Normal"/>
    <w:autoRedefine/>
    <w:uiPriority w:val="39"/>
    <w:unhideWhenUsed/>
    <w:rsid w:val="008B2EAD"/>
    <w:pPr>
      <w:widowControl/>
      <w:tabs>
        <w:tab w:val="left" w:pos="567"/>
        <w:tab w:val="right" w:leader="dot" w:pos="9396"/>
      </w:tabs>
      <w:spacing w:before="0" w:after="100" w:line="259" w:lineRule="auto"/>
      <w:ind w:left="142"/>
      <w:jc w:val="left"/>
    </w:pPr>
    <w:rPr>
      <w:rFonts w:eastAsia="Times New Roman" w:cs="Times New Roman"/>
      <w:sz w:val="22"/>
      <w:lang w:eastAsia="fr-FR"/>
    </w:rPr>
  </w:style>
  <w:style w:type="paragraph" w:styleId="En-ttedetabledesmatires">
    <w:name w:val="TOC Heading"/>
    <w:basedOn w:val="Titre1"/>
    <w:next w:val="Normal"/>
    <w:uiPriority w:val="39"/>
    <w:unhideWhenUsed/>
    <w:qFormat/>
    <w:rsid w:val="007A6C12"/>
    <w:pPr>
      <w:widowControl/>
      <w:spacing w:line="259" w:lineRule="auto"/>
      <w:jc w:val="left"/>
      <w:outlineLvl w:val="9"/>
    </w:pPr>
    <w:rPr>
      <w:b w:val="0"/>
      <w:color w:val="2E74B5" w:themeColor="accent1" w:themeShade="BF"/>
      <w:lang w:eastAsia="fr-FR"/>
    </w:rPr>
  </w:style>
  <w:style w:type="paragraph" w:styleId="TM3">
    <w:name w:val="toc 3"/>
    <w:basedOn w:val="Normal"/>
    <w:next w:val="Normal"/>
    <w:autoRedefine/>
    <w:uiPriority w:val="39"/>
    <w:unhideWhenUsed/>
    <w:rsid w:val="007A6C12"/>
    <w:pPr>
      <w:spacing w:after="100"/>
      <w:ind w:left="480"/>
    </w:pPr>
  </w:style>
  <w:style w:type="paragraph" w:customStyle="1" w:styleId="CORPSDETEXTE2">
    <w:name w:val="CORPS DE TEXTE 2"/>
    <w:basedOn w:val="Normal"/>
    <w:uiPriority w:val="99"/>
    <w:qFormat/>
    <w:rsid w:val="00D051E1"/>
    <w:pPr>
      <w:widowControl/>
      <w:spacing w:before="60" w:after="60" w:line="240" w:lineRule="auto"/>
      <w:ind w:left="709" w:right="284"/>
    </w:pPr>
    <w:rPr>
      <w:rFonts w:ascii="Tahoma" w:eastAsia="Times New Roman" w:hAnsi="Tahoma" w:cs="Tahoma"/>
      <w:sz w:val="22"/>
      <w:szCs w:val="20"/>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Appelnotedebasdep"/>
    <w:rsid w:val="00D051E1"/>
    <w:pPr>
      <w:widowControl/>
      <w:spacing w:before="0" w:after="160" w:line="240" w:lineRule="exact"/>
      <w:ind w:left="2160"/>
    </w:pPr>
    <w:rPr>
      <w:rFonts w:asciiTheme="minorHAnsi" w:hAnsiTheme="minorHAnsi"/>
      <w:sz w:val="22"/>
      <w:vertAlign w:val="superscript"/>
    </w:rPr>
  </w:style>
  <w:style w:type="numbering" w:customStyle="1" w:styleId="1111111">
    <w:name w:val="1 / 1.1 / 1.1.11"/>
    <w:basedOn w:val="Aucuneliste"/>
    <w:next w:val="111111"/>
    <w:rsid w:val="00D051E1"/>
    <w:pPr>
      <w:numPr>
        <w:numId w:val="12"/>
      </w:numPr>
    </w:pPr>
  </w:style>
  <w:style w:type="character" w:customStyle="1" w:styleId="ParagraphedelisteCar">
    <w:name w:val="Paragraphe de liste Car"/>
    <w:aliases w:val="References Car,MCHIP_list paragraph Car,List Paragraph1 Car,Recommendation Car,Bullet List Car,FooterText Car,Bioforce zListePuce Car,Bullets Car,Numbered List Paragraph Car,ReferencesCxSpLast Car,List Paragraph nowy Car,lp1 Car"/>
    <w:basedOn w:val="Policepardfaut"/>
    <w:link w:val="Paragraphedeliste"/>
    <w:uiPriority w:val="34"/>
    <w:locked/>
    <w:rsid w:val="00D051E1"/>
    <w:rPr>
      <w:rFonts w:ascii="Maiandra GD" w:hAnsi="Maiandra GD"/>
      <w:sz w:val="24"/>
    </w:rPr>
  </w:style>
  <w:style w:type="paragraph" w:customStyle="1" w:styleId="CS2">
    <w:name w:val="CS_2"/>
    <w:basedOn w:val="Normal"/>
    <w:qFormat/>
    <w:rsid w:val="00D051E1"/>
    <w:pPr>
      <w:widowControl/>
      <w:autoSpaceDE w:val="0"/>
      <w:autoSpaceDN w:val="0"/>
      <w:adjustRightInd w:val="0"/>
      <w:spacing w:before="0" w:after="0" w:line="240" w:lineRule="auto"/>
      <w:jc w:val="left"/>
    </w:pPr>
    <w:rPr>
      <w:rFonts w:ascii="Arial Narrow" w:eastAsiaTheme="minorEastAsia" w:hAnsi="Arial Narrow" w:cs="Arial"/>
      <w:b/>
      <w:lang w:eastAsia="fr-FR"/>
    </w:rPr>
  </w:style>
  <w:style w:type="numbering" w:styleId="111111">
    <w:name w:val="Outline List 2"/>
    <w:basedOn w:val="Aucuneliste"/>
    <w:uiPriority w:val="99"/>
    <w:semiHidden/>
    <w:unhideWhenUsed/>
    <w:rsid w:val="00D051E1"/>
  </w:style>
  <w:style w:type="numbering" w:customStyle="1" w:styleId="Style1">
    <w:name w:val="Style1"/>
    <w:uiPriority w:val="99"/>
    <w:rsid w:val="00EC6337"/>
    <w:pPr>
      <w:numPr>
        <w:numId w:val="18"/>
      </w:numPr>
    </w:pPr>
  </w:style>
  <w:style w:type="table" w:styleId="Grilledutableau">
    <w:name w:val="Table Grid"/>
    <w:basedOn w:val="TableauNormal"/>
    <w:uiPriority w:val="39"/>
    <w:rsid w:val="00CB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4D5C"/>
    <w:pPr>
      <w:widowControl w:val="0"/>
      <w:spacing w:after="0" w:line="240" w:lineRule="auto"/>
      <w:jc w:val="both"/>
    </w:pPr>
    <w:rPr>
      <w:rFonts w:ascii="Maiandra GD" w:hAnsi="Maiandra GD"/>
      <w:sz w:val="24"/>
    </w:rPr>
  </w:style>
  <w:style w:type="paragraph" w:styleId="Lgende">
    <w:name w:val="caption"/>
    <w:basedOn w:val="Normal"/>
    <w:next w:val="Normal"/>
    <w:uiPriority w:val="35"/>
    <w:unhideWhenUsed/>
    <w:qFormat/>
    <w:rsid w:val="006A44DA"/>
    <w:pPr>
      <w:spacing w:before="0" w:after="200" w:line="240" w:lineRule="auto"/>
    </w:pPr>
    <w:rPr>
      <w:i/>
      <w:iCs/>
      <w:color w:val="44546A" w:themeColor="text2"/>
      <w:sz w:val="18"/>
      <w:szCs w:val="18"/>
    </w:rPr>
  </w:style>
  <w:style w:type="paragraph" w:styleId="Tabledesillustrations">
    <w:name w:val="table of figures"/>
    <w:basedOn w:val="Normal"/>
    <w:next w:val="Normal"/>
    <w:uiPriority w:val="99"/>
    <w:unhideWhenUsed/>
    <w:rsid w:val="00CD2D32"/>
    <w:pPr>
      <w:spacing w:after="0"/>
    </w:pPr>
  </w:style>
  <w:style w:type="paragraph" w:styleId="Textedebulles">
    <w:name w:val="Balloon Text"/>
    <w:basedOn w:val="Normal"/>
    <w:link w:val="TextedebullesCar"/>
    <w:uiPriority w:val="99"/>
    <w:semiHidden/>
    <w:unhideWhenUsed/>
    <w:rsid w:val="00E14D3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0332">
      <w:bodyDiv w:val="1"/>
      <w:marLeft w:val="0"/>
      <w:marRight w:val="0"/>
      <w:marTop w:val="0"/>
      <w:marBottom w:val="0"/>
      <w:divBdr>
        <w:top w:val="none" w:sz="0" w:space="0" w:color="auto"/>
        <w:left w:val="none" w:sz="0" w:space="0" w:color="auto"/>
        <w:bottom w:val="none" w:sz="0" w:space="0" w:color="auto"/>
        <w:right w:val="none" w:sz="0" w:space="0" w:color="auto"/>
      </w:divBdr>
    </w:div>
    <w:div w:id="288166889">
      <w:bodyDiv w:val="1"/>
      <w:marLeft w:val="0"/>
      <w:marRight w:val="0"/>
      <w:marTop w:val="0"/>
      <w:marBottom w:val="0"/>
      <w:divBdr>
        <w:top w:val="none" w:sz="0" w:space="0" w:color="auto"/>
        <w:left w:val="none" w:sz="0" w:space="0" w:color="auto"/>
        <w:bottom w:val="none" w:sz="0" w:space="0" w:color="auto"/>
        <w:right w:val="none" w:sz="0" w:space="0" w:color="auto"/>
      </w:divBdr>
    </w:div>
    <w:div w:id="662703253">
      <w:bodyDiv w:val="1"/>
      <w:marLeft w:val="0"/>
      <w:marRight w:val="0"/>
      <w:marTop w:val="0"/>
      <w:marBottom w:val="0"/>
      <w:divBdr>
        <w:top w:val="none" w:sz="0" w:space="0" w:color="auto"/>
        <w:left w:val="none" w:sz="0" w:space="0" w:color="auto"/>
        <w:bottom w:val="none" w:sz="0" w:space="0" w:color="auto"/>
        <w:right w:val="none" w:sz="0" w:space="0" w:color="auto"/>
      </w:divBdr>
    </w:div>
    <w:div w:id="745420069">
      <w:bodyDiv w:val="1"/>
      <w:marLeft w:val="0"/>
      <w:marRight w:val="0"/>
      <w:marTop w:val="0"/>
      <w:marBottom w:val="0"/>
      <w:divBdr>
        <w:top w:val="none" w:sz="0" w:space="0" w:color="auto"/>
        <w:left w:val="none" w:sz="0" w:space="0" w:color="auto"/>
        <w:bottom w:val="none" w:sz="0" w:space="0" w:color="auto"/>
        <w:right w:val="none" w:sz="0" w:space="0" w:color="auto"/>
      </w:divBdr>
    </w:div>
    <w:div w:id="1115173310">
      <w:bodyDiv w:val="1"/>
      <w:marLeft w:val="0"/>
      <w:marRight w:val="0"/>
      <w:marTop w:val="0"/>
      <w:marBottom w:val="0"/>
      <w:divBdr>
        <w:top w:val="none" w:sz="0" w:space="0" w:color="auto"/>
        <w:left w:val="none" w:sz="0" w:space="0" w:color="auto"/>
        <w:bottom w:val="none" w:sz="0" w:space="0" w:color="auto"/>
        <w:right w:val="none" w:sz="0" w:space="0" w:color="auto"/>
      </w:divBdr>
    </w:div>
    <w:div w:id="1470905069">
      <w:bodyDiv w:val="1"/>
      <w:marLeft w:val="0"/>
      <w:marRight w:val="0"/>
      <w:marTop w:val="0"/>
      <w:marBottom w:val="0"/>
      <w:divBdr>
        <w:top w:val="none" w:sz="0" w:space="0" w:color="auto"/>
        <w:left w:val="none" w:sz="0" w:space="0" w:color="auto"/>
        <w:bottom w:val="none" w:sz="0" w:space="0" w:color="auto"/>
        <w:right w:val="none" w:sz="0" w:space="0" w:color="auto"/>
      </w:divBdr>
    </w:div>
    <w:div w:id="1866214305">
      <w:bodyDiv w:val="1"/>
      <w:marLeft w:val="0"/>
      <w:marRight w:val="0"/>
      <w:marTop w:val="0"/>
      <w:marBottom w:val="0"/>
      <w:divBdr>
        <w:top w:val="none" w:sz="0" w:space="0" w:color="auto"/>
        <w:left w:val="none" w:sz="0" w:space="0" w:color="auto"/>
        <w:bottom w:val="none" w:sz="0" w:space="0" w:color="auto"/>
        <w:right w:val="none" w:sz="0" w:space="0" w:color="auto"/>
      </w:divBdr>
    </w:div>
    <w:div w:id="20113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2902122334046"/>
          <c:y val="5.2231718898385564E-2"/>
          <c:w val="0.64709787766595406"/>
          <c:h val="0.60158377638692595"/>
        </c:manualLayout>
      </c:layout>
      <c:lineChart>
        <c:grouping val="standard"/>
        <c:varyColors val="0"/>
        <c:ser>
          <c:idx val="0"/>
          <c:order val="0"/>
          <c:tx>
            <c:strRef>
              <c:f>Feuil1!$D$32</c:f>
              <c:strCache>
                <c:ptCount val="1"/>
                <c:pt idx="0">
                  <c:v>Part santé dans budget Etat</c:v>
                </c:pt>
              </c:strCache>
            </c:strRef>
          </c:tx>
          <c:spPr>
            <a:ln w="28575" cap="rnd">
              <a:solidFill>
                <a:schemeClr val="accent1"/>
              </a:solidFill>
              <a:round/>
            </a:ln>
            <a:effectLst/>
          </c:spPr>
          <c:marker>
            <c:symbol val="none"/>
          </c:marker>
          <c:dLbls>
            <c:dLbl>
              <c:idx val="3"/>
              <c:layout>
                <c:manualLayout>
                  <c:x val="-6.4083875650322905E-2"/>
                  <c:y val="-5.82300104429481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93-4147-89D4-29B2B05E29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1"/>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Feuil1!$C$33:$C$36</c:f>
              <c:numCache>
                <c:formatCode>General</c:formatCode>
                <c:ptCount val="4"/>
                <c:pt idx="0">
                  <c:v>2014</c:v>
                </c:pt>
                <c:pt idx="1">
                  <c:v>2015</c:v>
                </c:pt>
                <c:pt idx="2">
                  <c:v>2016</c:v>
                </c:pt>
                <c:pt idx="3">
                  <c:v>2017</c:v>
                </c:pt>
              </c:numCache>
            </c:numRef>
          </c:cat>
          <c:val>
            <c:numRef>
              <c:f>Feuil1!$D$33:$D$36</c:f>
              <c:numCache>
                <c:formatCode>0.0%</c:formatCode>
                <c:ptCount val="4"/>
                <c:pt idx="0">
                  <c:v>2.4E-2</c:v>
                </c:pt>
                <c:pt idx="1">
                  <c:v>4.2700000000000002E-2</c:v>
                </c:pt>
                <c:pt idx="2">
                  <c:v>4.6600000000000003E-2</c:v>
                </c:pt>
                <c:pt idx="3">
                  <c:v>4.9399999999999999E-2</c:v>
                </c:pt>
              </c:numCache>
            </c:numRef>
          </c:val>
          <c:smooth val="0"/>
          <c:extLst>
            <c:ext xmlns:c16="http://schemas.microsoft.com/office/drawing/2014/chart" uri="{C3380CC4-5D6E-409C-BE32-E72D297353CC}">
              <c16:uniqueId val="{00000001-EA93-4147-89D4-29B2B05E2989}"/>
            </c:ext>
          </c:extLst>
        </c:ser>
        <c:ser>
          <c:idx val="2"/>
          <c:order val="1"/>
          <c:tx>
            <c:strRef>
              <c:f>Feuil1!$E$32</c:f>
              <c:strCache>
                <c:ptCount val="1"/>
                <c:pt idx="0">
                  <c:v>Objectif Gouvernement</c:v>
                </c:pt>
              </c:strCache>
            </c:strRef>
          </c:tx>
          <c:spPr>
            <a:ln w="28575" cap="rnd">
              <a:solidFill>
                <a:schemeClr val="accent2"/>
              </a:solidFill>
              <a:prstDash val="dash"/>
              <a:round/>
            </a:ln>
            <a:effectLst/>
          </c:spPr>
          <c:marker>
            <c:symbol val="none"/>
          </c:marker>
          <c:cat>
            <c:numRef>
              <c:f>Feuil1!$C$33:$C$36</c:f>
              <c:numCache>
                <c:formatCode>General</c:formatCode>
                <c:ptCount val="4"/>
                <c:pt idx="0">
                  <c:v>2014</c:v>
                </c:pt>
                <c:pt idx="1">
                  <c:v>2015</c:v>
                </c:pt>
                <c:pt idx="2">
                  <c:v>2016</c:v>
                </c:pt>
                <c:pt idx="3">
                  <c:v>2017</c:v>
                </c:pt>
              </c:numCache>
            </c:numRef>
          </c:cat>
          <c:val>
            <c:numRef>
              <c:f>Feuil1!$E$33:$E$36</c:f>
              <c:numCache>
                <c:formatCode>0%</c:formatCode>
                <c:ptCount val="4"/>
                <c:pt idx="0">
                  <c:v>0.1</c:v>
                </c:pt>
                <c:pt idx="1">
                  <c:v>0.1</c:v>
                </c:pt>
                <c:pt idx="2">
                  <c:v>0.1</c:v>
                </c:pt>
                <c:pt idx="3">
                  <c:v>0.1</c:v>
                </c:pt>
              </c:numCache>
            </c:numRef>
          </c:val>
          <c:smooth val="0"/>
          <c:extLst>
            <c:ext xmlns:c16="http://schemas.microsoft.com/office/drawing/2014/chart" uri="{C3380CC4-5D6E-409C-BE32-E72D297353CC}">
              <c16:uniqueId val="{00000002-EA93-4147-89D4-29B2B05E2989}"/>
            </c:ext>
          </c:extLst>
        </c:ser>
        <c:ser>
          <c:idx val="3"/>
          <c:order val="2"/>
          <c:tx>
            <c:strRef>
              <c:f>Feuil1!$F$32</c:f>
              <c:strCache>
                <c:ptCount val="1"/>
                <c:pt idx="0">
                  <c:v>Objectif Union africaine</c:v>
                </c:pt>
              </c:strCache>
            </c:strRef>
          </c:tx>
          <c:spPr>
            <a:ln w="28575" cap="rnd">
              <a:solidFill>
                <a:srgbClr val="00B050"/>
              </a:solidFill>
              <a:prstDash val="lgDash"/>
              <a:round/>
            </a:ln>
            <a:effectLst/>
          </c:spPr>
          <c:marker>
            <c:symbol val="none"/>
          </c:marker>
          <c:cat>
            <c:numRef>
              <c:f>Feuil1!$C$33:$C$36</c:f>
              <c:numCache>
                <c:formatCode>General</c:formatCode>
                <c:ptCount val="4"/>
                <c:pt idx="0">
                  <c:v>2014</c:v>
                </c:pt>
                <c:pt idx="1">
                  <c:v>2015</c:v>
                </c:pt>
                <c:pt idx="2">
                  <c:v>2016</c:v>
                </c:pt>
                <c:pt idx="3">
                  <c:v>2017</c:v>
                </c:pt>
              </c:numCache>
            </c:numRef>
          </c:cat>
          <c:val>
            <c:numRef>
              <c:f>Feuil1!$F$33:$F$36</c:f>
              <c:numCache>
                <c:formatCode>0%</c:formatCode>
                <c:ptCount val="4"/>
                <c:pt idx="0">
                  <c:v>0.15</c:v>
                </c:pt>
                <c:pt idx="1">
                  <c:v>0.15</c:v>
                </c:pt>
                <c:pt idx="2">
                  <c:v>0.15</c:v>
                </c:pt>
                <c:pt idx="3">
                  <c:v>0.15</c:v>
                </c:pt>
              </c:numCache>
            </c:numRef>
          </c:val>
          <c:smooth val="0"/>
          <c:extLst>
            <c:ext xmlns:c16="http://schemas.microsoft.com/office/drawing/2014/chart" uri="{C3380CC4-5D6E-409C-BE32-E72D297353CC}">
              <c16:uniqueId val="{00000003-EA93-4147-89D4-29B2B05E2989}"/>
            </c:ext>
          </c:extLst>
        </c:ser>
        <c:dLbls>
          <c:showLegendKey val="0"/>
          <c:showVal val="0"/>
          <c:showCatName val="0"/>
          <c:showSerName val="0"/>
          <c:showPercent val="0"/>
          <c:showBubbleSize val="0"/>
        </c:dLbls>
        <c:smooth val="0"/>
        <c:axId val="-812763856"/>
        <c:axId val="-727460592"/>
      </c:lineChart>
      <c:catAx>
        <c:axId val="-812763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27460592"/>
        <c:crosses val="autoZero"/>
        <c:auto val="1"/>
        <c:lblAlgn val="ctr"/>
        <c:lblOffset val="100"/>
        <c:noMultiLvlLbl val="0"/>
      </c:catAx>
      <c:valAx>
        <c:axId val="-72746059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12763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lgn="just">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9835-9267-4B6F-B409-7C742CD4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11011</Words>
  <Characters>60561</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Adama</dc:creator>
  <cp:keywords/>
  <dc:description/>
  <cp:lastModifiedBy>Huber, Goetz GIZ GN</cp:lastModifiedBy>
  <cp:revision>3</cp:revision>
  <dcterms:created xsi:type="dcterms:W3CDTF">2021-03-24T13:31:00Z</dcterms:created>
  <dcterms:modified xsi:type="dcterms:W3CDTF">2022-03-10T08:58:00Z</dcterms:modified>
</cp:coreProperties>
</file>