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28027" w14:textId="77777777" w:rsidR="00C569EF" w:rsidRPr="00C96D0F" w:rsidRDefault="00C569EF" w:rsidP="00C569EF">
      <w:pPr>
        <w:rPr>
          <w:sz w:val="24"/>
          <w:szCs w:val="24"/>
        </w:rPr>
      </w:pPr>
      <w:r w:rsidRPr="00C96D0F">
        <w:rPr>
          <w:noProof/>
          <w:sz w:val="24"/>
          <w:szCs w:val="24"/>
          <w:lang w:eastAsia="fr-FR"/>
        </w:rPr>
        <w:drawing>
          <wp:anchor distT="0" distB="0" distL="0" distR="0" simplePos="0" relativeHeight="251659264" behindDoc="0" locked="0" layoutInCell="1" allowOverlap="1" wp14:anchorId="617FD535" wp14:editId="5B4F73CC">
            <wp:simplePos x="0" y="0"/>
            <wp:positionH relativeFrom="column">
              <wp:posOffset>-255816</wp:posOffset>
            </wp:positionH>
            <wp:positionV relativeFrom="paragraph">
              <wp:posOffset>-504825</wp:posOffset>
            </wp:positionV>
            <wp:extent cx="1498600" cy="1066800"/>
            <wp:effectExtent l="0" t="0" r="6350" b="0"/>
            <wp:wrapNone/>
            <wp:docPr id="1" name="Image 4" descr="Guin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Guine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6D0F">
        <w:rPr>
          <w:noProof/>
          <w:sz w:val="24"/>
          <w:szCs w:val="24"/>
          <w:lang w:eastAsia="fr-FR"/>
        </w:rPr>
        <w:drawing>
          <wp:anchor distT="0" distB="0" distL="0" distR="0" simplePos="0" relativeHeight="251660288" behindDoc="0" locked="0" layoutInCell="1" allowOverlap="1" wp14:anchorId="646757F6" wp14:editId="6BA66277">
            <wp:simplePos x="0" y="0"/>
            <wp:positionH relativeFrom="column">
              <wp:posOffset>4571365</wp:posOffset>
            </wp:positionH>
            <wp:positionV relativeFrom="paragraph">
              <wp:posOffset>-501650</wp:posOffset>
            </wp:positionV>
            <wp:extent cx="1207135" cy="105473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689">
        <w:rPr>
          <w:sz w:val="24"/>
          <w:szCs w:val="24"/>
        </w:rPr>
        <w:t xml:space="preserve"> </w:t>
      </w:r>
    </w:p>
    <w:p w14:paraId="218B29EB" w14:textId="77777777" w:rsidR="00C569EF" w:rsidRPr="00C96D0F" w:rsidRDefault="00C569EF" w:rsidP="00C569EF">
      <w:pPr>
        <w:rPr>
          <w:sz w:val="24"/>
          <w:szCs w:val="24"/>
        </w:rPr>
      </w:pPr>
    </w:p>
    <w:p w14:paraId="600E484F" w14:textId="77777777" w:rsidR="00291FBC" w:rsidRPr="00C96D0F" w:rsidRDefault="00291FBC" w:rsidP="00291FBC">
      <w:pPr>
        <w:ind w:hanging="426"/>
        <w:rPr>
          <w:sz w:val="24"/>
          <w:szCs w:val="24"/>
        </w:rPr>
      </w:pPr>
      <w:r w:rsidRPr="00C96D0F">
        <w:rPr>
          <w:b/>
          <w:bCs/>
          <w:color w:val="F80909"/>
          <w:sz w:val="24"/>
          <w:szCs w:val="24"/>
        </w:rPr>
        <w:t>Travail</w:t>
      </w:r>
      <w:r w:rsidRPr="00C96D0F">
        <w:rPr>
          <w:b/>
          <w:bCs/>
          <w:sz w:val="24"/>
          <w:szCs w:val="24"/>
        </w:rPr>
        <w:t>-</w:t>
      </w:r>
      <w:r w:rsidRPr="00C96D0F">
        <w:rPr>
          <w:b/>
          <w:bCs/>
          <w:color w:val="FFFF00"/>
          <w:sz w:val="24"/>
          <w:szCs w:val="24"/>
        </w:rPr>
        <w:t>Justice</w:t>
      </w:r>
      <w:r w:rsidRPr="00C96D0F">
        <w:rPr>
          <w:b/>
          <w:bCs/>
          <w:sz w:val="24"/>
          <w:szCs w:val="24"/>
        </w:rPr>
        <w:t>-</w:t>
      </w:r>
      <w:r w:rsidRPr="00C96D0F">
        <w:rPr>
          <w:b/>
          <w:bCs/>
          <w:color w:val="26D513"/>
          <w:sz w:val="24"/>
          <w:szCs w:val="24"/>
        </w:rPr>
        <w:t>Solidarité</w:t>
      </w:r>
    </w:p>
    <w:p w14:paraId="43D39E41" w14:textId="77777777" w:rsidR="00C569EF" w:rsidRPr="00C96D0F" w:rsidRDefault="00C569EF" w:rsidP="00C569EF">
      <w:pPr>
        <w:rPr>
          <w:b/>
          <w:bCs/>
          <w:sz w:val="24"/>
          <w:szCs w:val="24"/>
        </w:rPr>
      </w:pPr>
    </w:p>
    <w:p w14:paraId="297EF45A" w14:textId="77777777" w:rsidR="00C569EF" w:rsidRPr="00C96D0F" w:rsidRDefault="00C569EF" w:rsidP="00C569EF">
      <w:pPr>
        <w:rPr>
          <w:sz w:val="24"/>
          <w:szCs w:val="24"/>
        </w:rPr>
      </w:pPr>
    </w:p>
    <w:p w14:paraId="0670E8DB" w14:textId="77777777" w:rsidR="00C569EF" w:rsidRPr="00C96D0F" w:rsidRDefault="00C569EF" w:rsidP="00C569EF">
      <w:pPr>
        <w:rPr>
          <w:b/>
          <w:bCs/>
          <w:sz w:val="24"/>
          <w:szCs w:val="24"/>
        </w:rPr>
      </w:pPr>
    </w:p>
    <w:p w14:paraId="34A1C9F7" w14:textId="77777777" w:rsidR="00C569EF" w:rsidRPr="00C96D0F" w:rsidRDefault="00C569EF" w:rsidP="00C569EF">
      <w:pPr>
        <w:jc w:val="center"/>
        <w:rPr>
          <w:b/>
          <w:bCs/>
          <w:sz w:val="24"/>
          <w:szCs w:val="24"/>
        </w:rPr>
      </w:pPr>
      <w:r w:rsidRPr="00C96D0F">
        <w:rPr>
          <w:b/>
          <w:bCs/>
          <w:sz w:val="24"/>
          <w:szCs w:val="24"/>
        </w:rPr>
        <w:t xml:space="preserve">MINISTERE DE LA SANTE ET DE L’HYGIÈNE PUBLIQUE   </w:t>
      </w:r>
    </w:p>
    <w:p w14:paraId="3DCDC93F" w14:textId="77777777" w:rsidR="00C569EF" w:rsidRPr="00C96D0F" w:rsidRDefault="00C569EF" w:rsidP="00C569EF">
      <w:pPr>
        <w:jc w:val="center"/>
        <w:rPr>
          <w:sz w:val="24"/>
          <w:szCs w:val="24"/>
        </w:rPr>
      </w:pPr>
      <w:r w:rsidRPr="00C96D0F">
        <w:rPr>
          <w:b/>
          <w:bCs/>
          <w:sz w:val="24"/>
          <w:szCs w:val="24"/>
        </w:rPr>
        <w:t xml:space="preserve">   RÉPUBLIQUE DE GUINÉE</w:t>
      </w:r>
    </w:p>
    <w:p w14:paraId="1AAE386D" w14:textId="77777777" w:rsidR="00C569EF" w:rsidRPr="00C96D0F" w:rsidRDefault="00C569EF" w:rsidP="00C569EF">
      <w:pPr>
        <w:jc w:val="center"/>
        <w:rPr>
          <w:b/>
          <w:bCs/>
          <w:sz w:val="24"/>
          <w:szCs w:val="24"/>
        </w:rPr>
      </w:pPr>
      <w:r w:rsidRPr="00C96D0F">
        <w:rPr>
          <w:b/>
          <w:bCs/>
          <w:sz w:val="24"/>
          <w:szCs w:val="24"/>
        </w:rPr>
        <w:t>------------------</w:t>
      </w:r>
    </w:p>
    <w:p w14:paraId="28B76C77" w14:textId="77777777" w:rsidR="00C569EF" w:rsidRPr="00C96D0F" w:rsidRDefault="00C569EF" w:rsidP="00C569EF">
      <w:pPr>
        <w:jc w:val="center"/>
        <w:rPr>
          <w:b/>
          <w:bCs/>
          <w:sz w:val="24"/>
          <w:szCs w:val="24"/>
        </w:rPr>
      </w:pPr>
      <w:r w:rsidRPr="00C96D0F">
        <w:rPr>
          <w:b/>
          <w:bCs/>
          <w:sz w:val="24"/>
          <w:szCs w:val="24"/>
        </w:rPr>
        <w:t>------------------</w:t>
      </w:r>
    </w:p>
    <w:p w14:paraId="1FC8D3EB" w14:textId="77777777" w:rsidR="00C569EF" w:rsidRPr="00C96D0F" w:rsidRDefault="00C569EF" w:rsidP="00C569EF">
      <w:pPr>
        <w:jc w:val="center"/>
        <w:rPr>
          <w:b/>
          <w:bCs/>
          <w:sz w:val="24"/>
          <w:szCs w:val="24"/>
        </w:rPr>
      </w:pPr>
      <w:r w:rsidRPr="00C96D0F">
        <w:rPr>
          <w:b/>
          <w:bCs/>
          <w:sz w:val="24"/>
          <w:szCs w:val="24"/>
        </w:rPr>
        <w:t>SERVICE DE MODERNISATION DES SYSTÈMES D’INFORMATION</w:t>
      </w:r>
    </w:p>
    <w:p w14:paraId="7676AB2B" w14:textId="77777777" w:rsidR="00C569EF" w:rsidRPr="00C96D0F" w:rsidRDefault="00C569EF" w:rsidP="00C569E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291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6127FD" w:rsidRPr="00C96D0F" w14:paraId="0979144D" w14:textId="77777777" w:rsidTr="00B44AAD">
        <w:trPr>
          <w:trHeight w:val="557"/>
        </w:trPr>
        <w:tc>
          <w:tcPr>
            <w:tcW w:w="10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9197CB" w14:textId="77777777" w:rsidR="006127FD" w:rsidRPr="00C96D0F" w:rsidRDefault="006127FD" w:rsidP="006127F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96D0F">
              <w:rPr>
                <w:rFonts w:ascii="Century Gothic" w:hAnsi="Century Gothic"/>
                <w:b/>
                <w:sz w:val="24"/>
                <w:szCs w:val="24"/>
              </w:rPr>
              <w:t>RAPPORT REUNION HEBDOMADAIRE DU SMSI</w:t>
            </w:r>
          </w:p>
        </w:tc>
      </w:tr>
    </w:tbl>
    <w:p w14:paraId="050C8161" w14:textId="77777777" w:rsidR="00C569EF" w:rsidRPr="006127FD" w:rsidRDefault="00C569EF" w:rsidP="00C569EF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77"/>
        <w:tblW w:w="10910" w:type="dxa"/>
        <w:tblLook w:val="0000" w:firstRow="0" w:lastRow="0" w:firstColumn="0" w:lastColumn="0" w:noHBand="0" w:noVBand="0"/>
      </w:tblPr>
      <w:tblGrid>
        <w:gridCol w:w="3478"/>
        <w:gridCol w:w="7432"/>
      </w:tblGrid>
      <w:tr w:rsidR="006127FD" w:rsidRPr="00C96D0F" w14:paraId="70DE6B4A" w14:textId="77777777" w:rsidTr="00B44AAD">
        <w:trPr>
          <w:trHeight w:val="28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CC0A94" w14:textId="77777777" w:rsidR="006127FD" w:rsidRPr="00C96D0F" w:rsidRDefault="006127FD" w:rsidP="006127FD">
            <w:pPr>
              <w:keepNext/>
              <w:keepLines/>
              <w:snapToGrid w:val="0"/>
              <w:spacing w:line="480" w:lineRule="auto"/>
              <w:jc w:val="both"/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96D0F"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  <w:t>Date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EAD46" w14:textId="20246A6A" w:rsidR="006127FD" w:rsidRPr="00C96D0F" w:rsidRDefault="006127FD" w:rsidP="006127FD">
            <w:pPr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Mercredi </w:t>
            </w:r>
            <w:r w:rsidR="002F2B42">
              <w:rPr>
                <w:rFonts w:ascii="Century Gothic" w:hAnsi="Century Gothic" w:cs="Arial"/>
                <w:sz w:val="24"/>
                <w:szCs w:val="24"/>
              </w:rPr>
              <w:t xml:space="preserve">05 octobre </w:t>
            </w:r>
            <w:r w:rsidRPr="00C96D0F">
              <w:rPr>
                <w:rFonts w:ascii="Century Gothic" w:hAnsi="Century Gothic" w:cs="Arial"/>
                <w:sz w:val="24"/>
                <w:szCs w:val="24"/>
              </w:rPr>
              <w:t>2022</w:t>
            </w:r>
          </w:p>
          <w:p w14:paraId="470A4AA5" w14:textId="77777777" w:rsidR="006127FD" w:rsidRPr="00C96D0F" w:rsidRDefault="006127FD" w:rsidP="006127FD">
            <w:pPr>
              <w:ind w:left="720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  <w:tr w:rsidR="006127FD" w:rsidRPr="00C96D0F" w14:paraId="7CABABDB" w14:textId="77777777" w:rsidTr="00B44AAD">
        <w:trPr>
          <w:trHeight w:val="283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C6DD70" w14:textId="77777777" w:rsidR="006127FD" w:rsidRPr="00C96D0F" w:rsidRDefault="006127FD" w:rsidP="006127FD">
            <w:pPr>
              <w:keepNext/>
              <w:keepLines/>
              <w:snapToGrid w:val="0"/>
              <w:spacing w:line="480" w:lineRule="auto"/>
              <w:jc w:val="both"/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96D0F"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  <w:t>Lieu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C65D" w14:textId="77777777" w:rsidR="006127FD" w:rsidRPr="00C96D0F" w:rsidRDefault="006127FD" w:rsidP="006127FD">
            <w:pPr>
              <w:ind w:left="720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>Salle de réunion du SMSI</w:t>
            </w:r>
          </w:p>
        </w:tc>
      </w:tr>
      <w:tr w:rsidR="006127FD" w:rsidRPr="00C96D0F" w14:paraId="401281C3" w14:textId="77777777" w:rsidTr="00B44AAD">
        <w:trPr>
          <w:trHeight w:val="20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ECFB19" w14:textId="77777777" w:rsidR="006127FD" w:rsidRPr="00C96D0F" w:rsidRDefault="006127FD" w:rsidP="006127FD">
            <w:pPr>
              <w:keepNext/>
              <w:keepLines/>
              <w:snapToGrid w:val="0"/>
              <w:spacing w:line="480" w:lineRule="auto"/>
              <w:jc w:val="both"/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96D0F">
              <w:rPr>
                <w:rFonts w:ascii="Century Gothic" w:eastAsia="PMingLiU" w:hAnsi="Century Gothic" w:cs="Arial"/>
                <w:b/>
                <w:bCs/>
                <w:color w:val="000000"/>
                <w:sz w:val="24"/>
                <w:szCs w:val="24"/>
                <w:lang w:eastAsia="ar-SA"/>
              </w:rPr>
              <w:t>Membres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E8BC" w14:textId="77777777" w:rsidR="006127FD" w:rsidRPr="00C96D0F" w:rsidRDefault="006127FD" w:rsidP="006127FD">
            <w:pPr>
              <w:spacing w:line="48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>VOIR LA LISTE DES PRÉSENT</w:t>
            </w:r>
          </w:p>
        </w:tc>
      </w:tr>
      <w:tr w:rsidR="006127FD" w:rsidRPr="00C96D0F" w14:paraId="4F752411" w14:textId="77777777" w:rsidTr="00B44AAD">
        <w:trPr>
          <w:trHeight w:val="207"/>
        </w:trPr>
        <w:tc>
          <w:tcPr>
            <w:tcW w:w="3478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08ED49" w14:textId="77777777" w:rsidR="006127FD" w:rsidRPr="00C96D0F" w:rsidRDefault="006127FD" w:rsidP="006127FD">
            <w:pPr>
              <w:keepNext/>
              <w:keepLines/>
              <w:snapToGrid w:val="0"/>
              <w:spacing w:line="48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b/>
                <w:bCs/>
                <w:sz w:val="24"/>
                <w:szCs w:val="24"/>
              </w:rPr>
              <w:t>Ordre du jour</w:t>
            </w:r>
          </w:p>
        </w:tc>
        <w:tc>
          <w:tcPr>
            <w:tcW w:w="74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3BC05" w14:textId="77777777" w:rsidR="006127FD" w:rsidRPr="00C96D0F" w:rsidRDefault="006127FD" w:rsidP="006127FD">
            <w:pPr>
              <w:pStyle w:val="ListParagraph"/>
              <w:ind w:left="1440"/>
              <w:rPr>
                <w:rFonts w:ascii="Century Gothic" w:hAnsi="Century Gothic" w:cs="Arial"/>
                <w:lang w:val="fr-FR"/>
              </w:rPr>
            </w:pPr>
          </w:p>
          <w:p w14:paraId="4ED0F5FD" w14:textId="77777777" w:rsidR="006127FD" w:rsidRPr="00C96D0F" w:rsidRDefault="006127FD" w:rsidP="006127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lang w:val="fr-FR"/>
              </w:rPr>
            </w:pPr>
            <w:r w:rsidRPr="00C96D0F">
              <w:rPr>
                <w:rFonts w:ascii="Century Gothic" w:hAnsi="Century Gothic" w:cs="Arial"/>
                <w:lang w:val="fr-FR"/>
              </w:rPr>
              <w:t>Présentation et validation du PV de la dernière réunion</w:t>
            </w:r>
          </w:p>
          <w:p w14:paraId="4179D396" w14:textId="77777777" w:rsidR="006127FD" w:rsidRPr="00C96D0F" w:rsidRDefault="006127FD" w:rsidP="006127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lang w:val="fr-FR"/>
              </w:rPr>
            </w:pPr>
            <w:r w:rsidRPr="00C96D0F">
              <w:rPr>
                <w:rFonts w:ascii="Century Gothic" w:hAnsi="Century Gothic" w:cs="Arial"/>
                <w:lang w:val="fr-FR"/>
              </w:rPr>
              <w:t>Information d’ordre générale</w:t>
            </w:r>
          </w:p>
          <w:p w14:paraId="79B6F1D0" w14:textId="21C042A5" w:rsidR="006127FD" w:rsidRDefault="002F2B42" w:rsidP="006127F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lang w:val="fr-FR"/>
              </w:rPr>
            </w:pPr>
            <w:r>
              <w:rPr>
                <w:rFonts w:ascii="Century Gothic" w:hAnsi="Century Gothic" w:cs="Arial"/>
                <w:lang w:val="fr-FR"/>
              </w:rPr>
              <w:t>Compte rendu du conseil de cabinet</w:t>
            </w:r>
          </w:p>
          <w:p w14:paraId="768A1B92" w14:textId="090BA8E5" w:rsidR="006127FD" w:rsidRPr="00B44AAD" w:rsidRDefault="002F2B42" w:rsidP="002F2B4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lang w:val="fr-FR"/>
              </w:rPr>
            </w:pPr>
            <w:r>
              <w:rPr>
                <w:rFonts w:ascii="Century Gothic" w:hAnsi="Century Gothic" w:cs="Arial"/>
                <w:lang w:val="fr-FR"/>
              </w:rPr>
              <w:t>Divers</w:t>
            </w:r>
          </w:p>
          <w:p w14:paraId="2B50A275" w14:textId="77777777" w:rsidR="006127FD" w:rsidRPr="00C96D0F" w:rsidRDefault="006127FD" w:rsidP="006127FD">
            <w:pPr>
              <w:pStyle w:val="ListParagraph"/>
              <w:rPr>
                <w:rFonts w:ascii="Century Gothic" w:hAnsi="Century Gothic" w:cs="Arial"/>
                <w:lang w:val="fr-FR"/>
              </w:rPr>
            </w:pPr>
          </w:p>
        </w:tc>
      </w:tr>
      <w:tr w:rsidR="002F2B42" w:rsidRPr="00C96D0F" w14:paraId="25D97091" w14:textId="77777777" w:rsidTr="00B44AAD">
        <w:trPr>
          <w:trHeight w:val="207"/>
        </w:trPr>
        <w:tc>
          <w:tcPr>
            <w:tcW w:w="3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BEA0B3" w14:textId="77777777" w:rsidR="002F2B42" w:rsidRPr="00C96D0F" w:rsidRDefault="002F2B42" w:rsidP="006127FD">
            <w:pPr>
              <w:keepNext/>
              <w:keepLines/>
              <w:snapToGrid w:val="0"/>
              <w:spacing w:line="480" w:lineRule="auto"/>
              <w:jc w:val="both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E06C" w14:textId="77777777" w:rsidR="002F2B42" w:rsidRPr="00C96D0F" w:rsidRDefault="002F2B42" w:rsidP="006127FD">
            <w:pPr>
              <w:pStyle w:val="ListParagraph"/>
              <w:ind w:left="1440"/>
              <w:rPr>
                <w:rFonts w:ascii="Century Gothic" w:hAnsi="Century Gothic" w:cs="Arial"/>
                <w:lang w:val="fr-FR"/>
              </w:rPr>
            </w:pPr>
          </w:p>
        </w:tc>
      </w:tr>
    </w:tbl>
    <w:p w14:paraId="5BF5778A" w14:textId="77777777" w:rsidR="00C569EF" w:rsidRPr="00C96D0F" w:rsidRDefault="00C569EF" w:rsidP="00C569EF">
      <w:pPr>
        <w:rPr>
          <w:sz w:val="24"/>
          <w:szCs w:val="24"/>
        </w:rPr>
      </w:pPr>
    </w:p>
    <w:p w14:paraId="72F7E164" w14:textId="77777777" w:rsidR="00C569EF" w:rsidRPr="002908F9" w:rsidRDefault="00C569EF" w:rsidP="002908F9"/>
    <w:p w14:paraId="2A8EA7A0" w14:textId="77777777" w:rsidR="00C569EF" w:rsidRPr="00C96D0F" w:rsidRDefault="00C569EF" w:rsidP="00C569EF">
      <w:pPr>
        <w:widowControl w:val="0"/>
        <w:rPr>
          <w:rFonts w:ascii="Century Gothic" w:hAnsi="Century Gothic" w:cs="Arial"/>
          <w:b/>
          <w:sz w:val="24"/>
          <w:szCs w:val="24"/>
        </w:rPr>
      </w:pPr>
    </w:p>
    <w:tbl>
      <w:tblPr>
        <w:tblW w:w="11476" w:type="dxa"/>
        <w:tblInd w:w="-1226" w:type="dxa"/>
        <w:tblLook w:val="04A0" w:firstRow="1" w:lastRow="0" w:firstColumn="1" w:lastColumn="0" w:noHBand="0" w:noVBand="1"/>
      </w:tblPr>
      <w:tblGrid>
        <w:gridCol w:w="11476"/>
      </w:tblGrid>
      <w:tr w:rsidR="00C569EF" w:rsidRPr="00C96D0F" w14:paraId="3F98C4C9" w14:textId="77777777" w:rsidTr="002030C1">
        <w:trPr>
          <w:trHeight w:val="20"/>
        </w:trPr>
        <w:tc>
          <w:tcPr>
            <w:tcW w:w="1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C166FD" w14:textId="77777777" w:rsidR="00C569EF" w:rsidRPr="00C96D0F" w:rsidRDefault="00C569EF" w:rsidP="002030C1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C96D0F"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</w:rPr>
              <w:t>DEROULEMENT</w:t>
            </w:r>
          </w:p>
        </w:tc>
      </w:tr>
      <w:tr w:rsidR="00C569EF" w:rsidRPr="00C96D0F" w14:paraId="4029C423" w14:textId="77777777" w:rsidTr="002030C1">
        <w:trPr>
          <w:trHeight w:val="1857"/>
        </w:trPr>
        <w:tc>
          <w:tcPr>
            <w:tcW w:w="114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23ACB" w14:textId="77777777" w:rsidR="00C569EF" w:rsidRPr="00C96D0F" w:rsidRDefault="00C569EF" w:rsidP="002030C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50566D8A" w14:textId="77777777" w:rsidR="00E20FBF" w:rsidRDefault="00C569EF" w:rsidP="00E20FB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lang w:val="fr-FR"/>
              </w:rPr>
            </w:pPr>
            <w:r w:rsidRPr="00C96D0F">
              <w:rPr>
                <w:rFonts w:ascii="Century Gothic" w:hAnsi="Century Gothic" w:cs="Arial"/>
                <w:b/>
                <w:lang w:val="fr-FR"/>
              </w:rPr>
              <w:t>Présentation et validation du PV de la dernière réunion</w:t>
            </w:r>
          </w:p>
          <w:p w14:paraId="1EB52146" w14:textId="77777777" w:rsidR="00E20FBF" w:rsidRPr="00E20FBF" w:rsidRDefault="00E20FBF" w:rsidP="00E20FBF">
            <w:pPr>
              <w:pStyle w:val="ListParagraph"/>
              <w:rPr>
                <w:rFonts w:ascii="Century Gothic" w:hAnsi="Century Gothic" w:cs="Arial"/>
                <w:b/>
                <w:lang w:val="fr-FR"/>
              </w:rPr>
            </w:pPr>
          </w:p>
          <w:p w14:paraId="04D3FEB7" w14:textId="6EFC98A4" w:rsidR="002F2B42" w:rsidRDefault="00C569EF" w:rsidP="002030C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>Après la désignation des rapporteu</w:t>
            </w:r>
            <w:r w:rsidR="00F545B4">
              <w:rPr>
                <w:rFonts w:ascii="Century Gothic" w:hAnsi="Century Gothic" w:cs="Arial"/>
                <w:sz w:val="24"/>
                <w:szCs w:val="24"/>
              </w:rPr>
              <w:t>rs</w:t>
            </w: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 w:rsidR="002F2B42">
              <w:rPr>
                <w:rFonts w:ascii="Century Gothic" w:hAnsi="Century Gothic" w:cs="Arial"/>
                <w:sz w:val="24"/>
                <w:szCs w:val="24"/>
              </w:rPr>
              <w:t>puis</w:t>
            </w: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F2B42">
              <w:rPr>
                <w:rFonts w:ascii="Century Gothic" w:hAnsi="Century Gothic" w:cs="Arial"/>
                <w:sz w:val="24"/>
                <w:szCs w:val="24"/>
              </w:rPr>
              <w:t xml:space="preserve">la physionomie de la salle ou chacun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s’est</w:t>
            </w:r>
            <w:r w:rsidR="002F2B4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présenté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B248A21" w14:textId="271228EC" w:rsidR="00161C50" w:rsidRDefault="00161C50" w:rsidP="002030C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pres, 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suivi la </w:t>
            </w:r>
            <w:r w:rsidR="00C569EF" w:rsidRPr="00C96D0F">
              <w:rPr>
                <w:rFonts w:ascii="Century Gothic" w:hAnsi="Century Gothic" w:cs="Arial"/>
                <w:sz w:val="24"/>
                <w:szCs w:val="24"/>
              </w:rPr>
              <w:t>lecture</w:t>
            </w:r>
            <w:r w:rsidR="00934689">
              <w:rPr>
                <w:rFonts w:ascii="Century Gothic" w:hAnsi="Century Gothic" w:cs="Arial"/>
                <w:sz w:val="24"/>
                <w:szCs w:val="24"/>
              </w:rPr>
              <w:t xml:space="preserve"> du rapport</w:t>
            </w:r>
            <w:r w:rsidR="00C569EF" w:rsidRPr="00C96D0F">
              <w:rPr>
                <w:rFonts w:ascii="Century Gothic" w:hAnsi="Century Gothic" w:cs="Arial"/>
                <w:sz w:val="24"/>
                <w:szCs w:val="24"/>
              </w:rPr>
              <w:t xml:space="preserve"> du</w:t>
            </w:r>
            <w:r w:rsidR="00EC2122" w:rsidRPr="00C96D0F">
              <w:rPr>
                <w:rFonts w:ascii="Century Gothic" w:hAnsi="Century Gothic" w:cs="Arial"/>
                <w:sz w:val="24"/>
                <w:szCs w:val="24"/>
              </w:rPr>
              <w:t xml:space="preserve"> 21</w:t>
            </w:r>
            <w:r w:rsidR="00E952B0" w:rsidRPr="00C96D0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EC2122" w:rsidRPr="00C96D0F">
              <w:rPr>
                <w:rFonts w:ascii="Century Gothic" w:hAnsi="Century Gothic" w:cs="Arial"/>
                <w:sz w:val="24"/>
                <w:szCs w:val="24"/>
              </w:rPr>
              <w:t>septembre 2022</w:t>
            </w:r>
            <w:r w:rsidR="00934689">
              <w:rPr>
                <w:rFonts w:ascii="Century Gothic" w:hAnsi="Century Gothic" w:cs="Arial"/>
                <w:sz w:val="24"/>
                <w:szCs w:val="24"/>
              </w:rPr>
              <w:t>. Il</w:t>
            </w:r>
            <w:r w:rsidR="00C569EF" w:rsidRPr="00C96D0F">
              <w:rPr>
                <w:rFonts w:ascii="Century Gothic" w:hAnsi="Century Gothic" w:cs="Arial"/>
                <w:sz w:val="24"/>
                <w:szCs w:val="24"/>
              </w:rPr>
              <w:t xml:space="preserve"> fut </w:t>
            </w:r>
            <w:r>
              <w:rPr>
                <w:rFonts w:ascii="Century Gothic" w:hAnsi="Century Gothic" w:cs="Arial"/>
                <w:sz w:val="24"/>
                <w:szCs w:val="24"/>
              </w:rPr>
              <w:t>lu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par 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>un c</w:t>
            </w:r>
            <w:r w:rsidR="009E4921" w:rsidRPr="009E4921">
              <w:rPr>
                <w:rFonts w:ascii="Century Gothic" w:hAnsi="Century Gothic" w:cs="Arial"/>
                <w:sz w:val="24"/>
                <w:szCs w:val="24"/>
              </w:rPr>
              <w:t>adre du SMSI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25CA419D" w14:textId="5D5FA1E0" w:rsidR="00C569EF" w:rsidRPr="00C96D0F" w:rsidRDefault="00161C50" w:rsidP="002030C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 chef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d’informatique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le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l’</w:t>
            </w:r>
            <w:r>
              <w:rPr>
                <w:rFonts w:ascii="Century Gothic" w:hAnsi="Century Gothic" w:cs="Arial"/>
                <w:sz w:val="24"/>
                <w:szCs w:val="24"/>
              </w:rPr>
              <w:t>ANSS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a fait une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petite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rectification au niveau de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l’information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d’ordre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>générale puis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 xml:space="preserve"> le rapport fut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569EF" w:rsidRPr="00C96D0F">
              <w:rPr>
                <w:rFonts w:ascii="Century Gothic" w:hAnsi="Century Gothic" w:cs="Arial"/>
                <w:sz w:val="24"/>
                <w:szCs w:val="24"/>
              </w:rPr>
              <w:t>approuvé par l’ensemble des participants.</w:t>
            </w:r>
          </w:p>
          <w:p w14:paraId="5B43ECF0" w14:textId="25EDA323" w:rsidR="00C569EF" w:rsidRPr="00C96D0F" w:rsidRDefault="00C569EF" w:rsidP="002030C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A noter que certains </w:t>
            </w:r>
            <w:r w:rsidR="00934689">
              <w:rPr>
                <w:rFonts w:ascii="Century Gothic" w:hAnsi="Century Gothic" w:cs="Arial"/>
                <w:sz w:val="24"/>
                <w:szCs w:val="24"/>
              </w:rPr>
              <w:t>cadres ont assist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é</w:t>
            </w: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 la réunion en ligne suites à leurs participations dans différentes activités.</w:t>
            </w:r>
          </w:p>
          <w:p w14:paraId="57E5A946" w14:textId="77777777" w:rsidR="00C569EF" w:rsidRPr="00C96D0F" w:rsidRDefault="00C569EF" w:rsidP="002030C1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09BC676" w14:textId="77777777" w:rsidR="00C569EF" w:rsidRPr="00C96D0F" w:rsidRDefault="00C569EF" w:rsidP="002030C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lang w:val="fr-FR"/>
              </w:rPr>
            </w:pPr>
            <w:r w:rsidRPr="00C96D0F">
              <w:rPr>
                <w:rFonts w:ascii="Century Gothic" w:hAnsi="Century Gothic" w:cs="Arial"/>
                <w:b/>
                <w:lang w:val="fr-FR"/>
              </w:rPr>
              <w:t>Information d’ordre générale</w:t>
            </w:r>
          </w:p>
          <w:p w14:paraId="13196327" w14:textId="77777777" w:rsidR="00E952B0" w:rsidRPr="00C96D0F" w:rsidRDefault="00E952B0" w:rsidP="00E952B0">
            <w:pPr>
              <w:pStyle w:val="ListParagraph"/>
              <w:rPr>
                <w:rFonts w:ascii="Century Gothic" w:hAnsi="Century Gothic" w:cs="Arial"/>
                <w:b/>
                <w:lang w:val="fr-FR"/>
              </w:rPr>
            </w:pPr>
          </w:p>
          <w:p w14:paraId="04BDFBA9" w14:textId="5D23E3E4" w:rsidR="009F6251" w:rsidRDefault="00C569EF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Prenant la parole,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le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conseil</w:t>
            </w:r>
            <w:r w:rsidR="002C2FFE" w:rsidRPr="00C96D0F">
              <w:rPr>
                <w:rFonts w:ascii="Century Gothic" w:hAnsi="Century Gothic" w:cs="Arial"/>
                <w:sz w:val="24"/>
                <w:szCs w:val="24"/>
              </w:rPr>
              <w:t>l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er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technique de la 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GIZ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nous 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a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fait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savoir 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>qu’ils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sont entrains 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>de travailler sur plusieurs TDR</w:t>
            </w:r>
            <w:r w:rsidR="009F6251">
              <w:rPr>
                <w:rFonts w:ascii="Century Gothic" w:hAnsi="Century Gothic" w:cs="Arial"/>
                <w:sz w:val="24"/>
                <w:szCs w:val="24"/>
              </w:rPr>
              <w:t xml:space="preserve"> dont</w:t>
            </w:r>
          </w:p>
          <w:p w14:paraId="24D886E9" w14:textId="7BBFD85F" w:rsidR="009F6251" w:rsidRDefault="009F6251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1.La 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formation en </w:t>
            </w:r>
            <w:r>
              <w:rPr>
                <w:rFonts w:ascii="Century Gothic" w:hAnsi="Century Gothic" w:cs="Arial"/>
                <w:sz w:val="24"/>
                <w:szCs w:val="24"/>
              </w:rPr>
              <w:t>Word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presse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avancée qui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était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prévu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aussi dans le PAO et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qu’il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ont trouv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é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un cabinet pour </w:t>
            </w:r>
            <w:r>
              <w:rPr>
                <w:rFonts w:ascii="Century Gothic" w:hAnsi="Century Gothic" w:cs="Arial"/>
                <w:sz w:val="24"/>
                <w:szCs w:val="24"/>
              </w:rPr>
              <w:t>cette</w:t>
            </w:r>
            <w:r w:rsidR="00DD6B8F">
              <w:rPr>
                <w:rFonts w:ascii="Century Gothic" w:hAnsi="Century Gothic" w:cs="Arial"/>
                <w:sz w:val="24"/>
                <w:szCs w:val="24"/>
              </w:rPr>
              <w:t xml:space="preserve"> formation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> ;</w:t>
            </w:r>
          </w:p>
          <w:p w14:paraId="59F6A3C1" w14:textId="150401F5" w:rsidR="009F6251" w:rsidRDefault="009F6251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2.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ur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l’inventaire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qu’il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 déjà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envoyé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ce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document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au chef de service de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SMSI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en attendant une </w:t>
            </w:r>
            <w:r w:rsidR="004E46F5">
              <w:rPr>
                <w:rFonts w:ascii="Century Gothic" w:hAnsi="Century Gothic" w:cs="Arial"/>
                <w:sz w:val="24"/>
                <w:szCs w:val="24"/>
              </w:rPr>
              <w:t>réponse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pour ajouter aussi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quelques choses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655EBBFA" w14:textId="167695AB" w:rsidR="009F6251" w:rsidRDefault="009F6251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3.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L</w:t>
            </w:r>
            <w:r>
              <w:rPr>
                <w:rFonts w:ascii="Century Gothic" w:hAnsi="Century Gothic" w:cs="Arial"/>
                <w:sz w:val="24"/>
                <w:szCs w:val="24"/>
              </w:rPr>
              <w:t>a formation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 xml:space="preserve"> sur les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application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SNIS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> 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 sur ce point il avait promis de discuter avec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l’équipe</w:t>
            </w:r>
            <w:r w:rsidR="00E146E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giz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la semaine qui sui</w:t>
            </w:r>
            <w:r w:rsidR="00E146EE">
              <w:rPr>
                <w:rFonts w:ascii="Century Gothic" w:hAnsi="Century Gothic" w:cs="Arial"/>
                <w:sz w:val="24"/>
                <w:szCs w:val="24"/>
              </w:rPr>
              <w:t>v</w:t>
            </w:r>
            <w:r w:rsidR="002C2FFE" w:rsidRPr="002C2FFE"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nte.</w:t>
            </w:r>
          </w:p>
          <w:p w14:paraId="4599580A" w14:textId="47430C59" w:rsidR="00E146EE" w:rsidRDefault="00E146EE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4.Pour la formation en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DHIS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2 </w:t>
            </w:r>
            <w:r w:rsidR="007451CD">
              <w:rPr>
                <w:rFonts w:ascii="Century Gothic" w:hAnsi="Century Gothic" w:cs="Arial"/>
                <w:sz w:val="24"/>
                <w:szCs w:val="24"/>
              </w:rPr>
              <w:t>l’équipe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giz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est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en train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d’acquérir quatre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(4) serveurs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pour 6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mois 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la </w:t>
            </w:r>
            <w:r w:rsidR="007451CD">
              <w:rPr>
                <w:rFonts w:ascii="Century Gothic" w:hAnsi="Century Gothic" w:cs="Arial"/>
                <w:sz w:val="24"/>
                <w:szCs w:val="24"/>
              </w:rPr>
              <w:t>procédure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est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presque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finie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 xml:space="preserve"> et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>qu’ils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ont besoins de la confirmation du SMSI pour que la GIZ puise payer.</w:t>
            </w:r>
          </w:p>
          <w:p w14:paraId="3D914184" w14:textId="55682943" w:rsidR="00E146EE" w:rsidRDefault="00E146EE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5.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ur la formation du DHIS2 TRACER le financement par la GIZ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n’est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pas possible</w:t>
            </w:r>
            <w:r w:rsidR="00BE4718">
              <w:rPr>
                <w:rFonts w:ascii="Century Gothic" w:hAnsi="Century Gothic" w:cs="Arial"/>
                <w:sz w:val="24"/>
                <w:szCs w:val="24"/>
              </w:rPr>
              <w:t xml:space="preserve"> il faut que le SMSI cherche un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autre bayeur</w:t>
            </w:r>
            <w:r w:rsidR="00BE4718">
              <w:rPr>
                <w:rFonts w:ascii="Century Gothic" w:hAnsi="Century Gothic" w:cs="Arial"/>
                <w:sz w:val="24"/>
                <w:szCs w:val="24"/>
              </w:rPr>
              <w:t xml:space="preserve"> de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fond</w:t>
            </w:r>
            <w:r w:rsidR="00BE471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E83D04F" w14:textId="1586C22F" w:rsidR="00BE4718" w:rsidRDefault="00BE4718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Pour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clôturer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sa parole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, qu’il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annonça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qu’ils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sont aussi en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discussion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avec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l’hébergeur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des serveuses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Visio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conférence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qu’ils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utilisent en ce moment pour la prolongation du contrat pour une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durée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deux (2) ans et il posa une question de savoir </w:t>
            </w:r>
            <w:r w:rsidR="00363672">
              <w:rPr>
                <w:rFonts w:ascii="Century Gothic" w:hAnsi="Century Gothic" w:cs="Arial"/>
                <w:sz w:val="24"/>
                <w:szCs w:val="24"/>
              </w:rPr>
              <w:t xml:space="preserve">la confirmation si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les 4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serveurs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DHIS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2 training 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 xml:space="preserve">sont accessible </w:t>
            </w:r>
            <w:r w:rsidR="00363672">
              <w:rPr>
                <w:rFonts w:ascii="Century Gothic" w:hAnsi="Century Gothic" w:cs="Arial"/>
                <w:sz w:val="24"/>
                <w:szCs w:val="24"/>
              </w:rPr>
              <w:t xml:space="preserve">dans le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cl</w:t>
            </w:r>
            <w:r w:rsidR="002C2FFE">
              <w:rPr>
                <w:rFonts w:ascii="Century Gothic" w:hAnsi="Century Gothic" w:cs="Arial"/>
                <w:sz w:val="24"/>
                <w:szCs w:val="24"/>
              </w:rPr>
              <w:t>oud</w:t>
            </w:r>
            <w:r w:rsidR="00363672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4FFD912E" w14:textId="71A88126" w:rsidR="00C569EF" w:rsidRPr="00C96D0F" w:rsidRDefault="003E503B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Le </w:t>
            </w:r>
            <w:r w:rsidR="00C569EF" w:rsidRPr="00C96D0F">
              <w:rPr>
                <w:rFonts w:ascii="Century Gothic" w:hAnsi="Century Gothic" w:cs="Arial"/>
                <w:sz w:val="24"/>
                <w:szCs w:val="24"/>
              </w:rPr>
              <w:t>Chef de service du SMSI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A6647" w:rsidRPr="00C96D0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commençant par répondre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à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 question 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>pos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ée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par le conseil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ler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technique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d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>e GIZ</w:t>
            </w:r>
            <w:r w:rsidR="009E492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en confirmant effectivement que les serveurs sont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accessibles, puis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A6647" w:rsidRPr="00C96D0F">
              <w:rPr>
                <w:rFonts w:ascii="Century Gothic" w:hAnsi="Century Gothic" w:cs="Arial"/>
                <w:sz w:val="24"/>
                <w:szCs w:val="24"/>
              </w:rPr>
              <w:t xml:space="preserve">annonça 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qu’il est bloqué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à</w:t>
            </w:r>
            <w:r w:rsidR="00A07F0E">
              <w:rPr>
                <w:rFonts w:ascii="Century Gothic" w:hAnsi="Century Gothic" w:cs="Arial"/>
                <w:sz w:val="24"/>
                <w:szCs w:val="24"/>
              </w:rPr>
              <w:t xml:space="preserve"> Ouagadougou</w:t>
            </w:r>
            <w:r w:rsidR="004A6647" w:rsidRPr="00C96D0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en raison de l’annulation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 xml:space="preserve">de tous les </w:t>
            </w:r>
            <w:r>
              <w:rPr>
                <w:rFonts w:ascii="Century Gothic" w:hAnsi="Century Gothic" w:cs="Arial"/>
                <w:sz w:val="24"/>
                <w:szCs w:val="24"/>
              </w:rPr>
              <w:t>vol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Turkish Airlines sur Ouagadougou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et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qu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’</w:t>
            </w:r>
            <w:r>
              <w:rPr>
                <w:rFonts w:ascii="Century Gothic" w:hAnsi="Century Gothic" w:cs="Arial"/>
                <w:sz w:val="24"/>
                <w:szCs w:val="24"/>
              </w:rPr>
              <w:t>i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l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devrai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venir depuis lundi mais ils ont fait une requête d’urgence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à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 banque mondial pour qu’ils puissent leur trouver un vol dans le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plus bref délais pour ne pas qu’ils reste bloqu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plus longtemps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au Burkina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C48C3BF" w14:textId="3419CD31" w:rsidR="00C569EF" w:rsidRDefault="00C569EF" w:rsidP="00DD6B8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96D0F">
              <w:rPr>
                <w:rFonts w:ascii="Century Gothic" w:hAnsi="Century Gothic" w:cs="Arial"/>
                <w:sz w:val="24"/>
                <w:szCs w:val="24"/>
              </w:rPr>
              <w:t xml:space="preserve">Après cette première information,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il </w:t>
            </w:r>
            <w:r w:rsidRPr="00C96D0F">
              <w:rPr>
                <w:rFonts w:ascii="Century Gothic" w:hAnsi="Century Gothic" w:cs="Arial"/>
                <w:sz w:val="24"/>
                <w:szCs w:val="24"/>
              </w:rPr>
              <w:t>se prononç</w:t>
            </w:r>
            <w:r w:rsidR="00BE3509" w:rsidRPr="00C96D0F">
              <w:rPr>
                <w:rFonts w:ascii="Century Gothic" w:hAnsi="Century Gothic" w:cs="Arial"/>
                <w:sz w:val="24"/>
                <w:szCs w:val="24"/>
              </w:rPr>
              <w:t>a sur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l’entretient qu’il a eu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à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faire avec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nos partenaires techniques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de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GAVI sur l’aspect du registre vaccinal</w:t>
            </w:r>
            <w:r w:rsidR="006A40E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933E8">
              <w:rPr>
                <w:rFonts w:ascii="Century Gothic" w:hAnsi="Century Gothic" w:cs="Arial"/>
                <w:sz w:val="24"/>
                <w:szCs w:val="24"/>
              </w:rPr>
              <w:t>au cours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de leur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échange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le chef de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service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du </w:t>
            </w:r>
            <w:r w:rsidR="006A40EA">
              <w:rPr>
                <w:rFonts w:ascii="Century Gothic" w:hAnsi="Century Gothic" w:cs="Arial"/>
                <w:sz w:val="24"/>
                <w:szCs w:val="24"/>
              </w:rPr>
              <w:t>SMS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I</w:t>
            </w:r>
            <w:r w:rsidR="006A40E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>nous a fait savoir que le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partenaire GAVI a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beaucoup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de font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disponible</w:t>
            </w:r>
            <w:r w:rsidR="00426F5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mais il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 xml:space="preserve"> veulent qu’on fasse la géolocalisation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des mamans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 xml:space="preserve"> en ceintes ou les enfant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 xml:space="preserve"> déjà n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és</w:t>
            </w:r>
            <w:r w:rsidR="00120571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4F4F6B8D" w14:textId="583C74D2" w:rsidR="00120571" w:rsidRDefault="00120571" w:rsidP="00DD6B8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Apres cette informations on a eu quelques soucis avec le </w:t>
            </w:r>
            <w:r w:rsidR="00075389">
              <w:rPr>
                <w:rFonts w:ascii="Century Gothic" w:hAnsi="Century Gothic" w:cs="Arial"/>
                <w:sz w:val="24"/>
                <w:szCs w:val="24"/>
              </w:rPr>
              <w:t>réseau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F339F5">
              <w:rPr>
                <w:rFonts w:ascii="Century Gothic" w:hAnsi="Century Gothic" w:cs="Arial"/>
                <w:sz w:val="24"/>
                <w:szCs w:val="24"/>
              </w:rPr>
              <w:t xml:space="preserve">de sa part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en suite il est revenu en nous rassurant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qu’ils y ont</w:t>
            </w:r>
            <w:r w:rsidR="0007538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be</w:t>
            </w:r>
            <w:r w:rsidR="00075389">
              <w:rPr>
                <w:rFonts w:ascii="Century Gothic" w:hAnsi="Century Gothic" w:cs="Arial"/>
                <w:sz w:val="24"/>
                <w:szCs w:val="24"/>
              </w:rPr>
              <w:t>aucoup d’activités en cours notamment l’activité de connexion internet au niveau du ministère ou il a déjà</w:t>
            </w:r>
            <w:r w:rsidR="00535A4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75389">
              <w:rPr>
                <w:rFonts w:ascii="Century Gothic" w:hAnsi="Century Gothic" w:cs="Arial"/>
                <w:sz w:val="24"/>
                <w:szCs w:val="24"/>
              </w:rPr>
              <w:t>eu le recrutement d’un cabinet avec lequel</w:t>
            </w:r>
            <w:r w:rsidR="00535A4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75389">
              <w:rPr>
                <w:rFonts w:ascii="Century Gothic" w:hAnsi="Century Gothic" w:cs="Arial"/>
                <w:sz w:val="24"/>
                <w:szCs w:val="24"/>
              </w:rPr>
              <w:t>on va travailler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9C98E51" w14:textId="055AD481" w:rsidR="004D26BA" w:rsidRPr="00426F58" w:rsidRDefault="004D26BA" w:rsidP="00DD6B8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Ce pendant un cadre qui </w:t>
            </w:r>
            <w:r w:rsidR="00535A41">
              <w:rPr>
                <w:rFonts w:ascii="Century Gothic" w:hAnsi="Century Gothic" w:cs="Arial"/>
                <w:sz w:val="24"/>
                <w:szCs w:val="24"/>
              </w:rPr>
              <w:t>suivait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 réunion en ligne leva sa main pour intervenir en nous disant que y a une coupure de connexion au niveau des ressources humaines du </w:t>
            </w:r>
            <w:r w:rsidR="006A40EA">
              <w:rPr>
                <w:rFonts w:ascii="Century Gothic" w:hAnsi="Century Gothic" w:cs="Arial"/>
                <w:sz w:val="24"/>
                <w:szCs w:val="24"/>
              </w:rPr>
              <w:t>ministère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la sante par manque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switch non fonctionnel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et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qui avait été déplac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é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par VDC et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quelques   membres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du SMSI</w:t>
            </w:r>
          </w:p>
          <w:p w14:paraId="0E8A66DC" w14:textId="295C1661" w:rsidR="000F72E3" w:rsidRDefault="001933E8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 chef d’informatique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de l’ANSS proposa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revoir le switch si y a une possibilité de le réparer ou revoir au niveau des autres racks si y a des ports qui ne sont pas utilisés et qu’on</w:t>
            </w:r>
            <w:r w:rsidR="00741851">
              <w:rPr>
                <w:rFonts w:ascii="Century Gothic" w:hAnsi="Century Gothic" w:cs="Arial"/>
                <w:sz w:val="24"/>
                <w:szCs w:val="24"/>
              </w:rPr>
              <w:t xml:space="preserve"> peut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diminue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des switches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au niveau de certains racks pour envoyer de l’autre cote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d’où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il </w:t>
            </w:r>
            <w:r w:rsidR="00667F65">
              <w:rPr>
                <w:rFonts w:ascii="Century Gothic" w:hAnsi="Century Gothic" w:cs="Arial"/>
                <w:sz w:val="24"/>
                <w:szCs w:val="24"/>
              </w:rPr>
              <w:t>recommand</w:t>
            </w:r>
            <w:r w:rsidR="00853A43">
              <w:rPr>
                <w:rFonts w:ascii="Century Gothic" w:hAnsi="Century Gothic" w:cs="Arial"/>
                <w:sz w:val="24"/>
                <w:szCs w:val="24"/>
              </w:rPr>
              <w:t xml:space="preserve">a </w:t>
            </w:r>
            <w:r w:rsidR="00667F65">
              <w:rPr>
                <w:rFonts w:ascii="Century Gothic" w:hAnsi="Century Gothic" w:cs="Arial"/>
                <w:sz w:val="24"/>
                <w:szCs w:val="24"/>
              </w:rPr>
              <w:t>d’ajouter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une partie action </w:t>
            </w:r>
            <w:r w:rsidR="00667F65">
              <w:rPr>
                <w:rFonts w:ascii="Century Gothic" w:hAnsi="Century Gothic" w:cs="Arial"/>
                <w:sz w:val="24"/>
                <w:szCs w:val="24"/>
              </w:rPr>
              <w:t>au niveau des ordre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667F65">
              <w:rPr>
                <w:rFonts w:ascii="Century Gothic" w:hAnsi="Century Gothic" w:cs="Arial"/>
                <w:sz w:val="24"/>
                <w:szCs w:val="24"/>
              </w:rPr>
              <w:t xml:space="preserve"> de jour désormais pour les prochaines réunions.</w:t>
            </w:r>
          </w:p>
          <w:p w14:paraId="6C40B576" w14:textId="65B028BB" w:rsidR="005F5FAC" w:rsidRDefault="005C686E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Le chef de service de SMSI </w:t>
            </w:r>
            <w:r w:rsidR="000A52AD">
              <w:rPr>
                <w:rFonts w:ascii="Century Gothic" w:hAnsi="Century Gothic" w:cs="Arial"/>
                <w:sz w:val="24"/>
                <w:szCs w:val="24"/>
              </w:rPr>
              <w:t>recommanda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A52AD">
              <w:rPr>
                <w:rFonts w:ascii="Century Gothic" w:hAnsi="Century Gothic" w:cs="Arial"/>
                <w:sz w:val="24"/>
                <w:szCs w:val="24"/>
              </w:rPr>
              <w:t>également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</w:t>
            </w:r>
            <w:r w:rsidR="000A52AD">
              <w:rPr>
                <w:rFonts w:ascii="Century Gothic" w:hAnsi="Century Gothic" w:cs="Arial"/>
                <w:sz w:val="24"/>
                <w:szCs w:val="24"/>
              </w:rPr>
              <w:t>récupérer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les deux serveurs physiques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avec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 xml:space="preserve"> le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BND </w:t>
            </w:r>
          </w:p>
          <w:p w14:paraId="3C577918" w14:textId="6543A22A" w:rsidR="00C85B46" w:rsidRPr="00075389" w:rsidRDefault="00C85B46" w:rsidP="000F72E3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Par ailleurs un autre cadre de SMSI</w:t>
            </w:r>
            <w:r w:rsidR="0009541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gramStart"/>
            <w:r w:rsidR="0009541F">
              <w:rPr>
                <w:rFonts w:ascii="Century Gothic" w:hAnsi="Century Gothic" w:cs="Arial"/>
                <w:sz w:val="24"/>
                <w:szCs w:val="24"/>
              </w:rPr>
              <w:t>a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9541F">
              <w:rPr>
                <w:rFonts w:ascii="Century Gothic" w:hAnsi="Century Gothic" w:cs="Arial"/>
                <w:sz w:val="24"/>
                <w:szCs w:val="24"/>
              </w:rPr>
              <w:t>intervenu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en nous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faisant savoir que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ce n’est pas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seulement </w:t>
            </w:r>
            <w:r w:rsidR="00CB102F">
              <w:rPr>
                <w:rFonts w:ascii="Century Gothic" w:hAnsi="Century Gothic" w:cs="Arial"/>
                <w:sz w:val="24"/>
                <w:szCs w:val="24"/>
              </w:rPr>
              <w:t>les ressources humaines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qui n’a pas de connexion c’est presque </w:t>
            </w:r>
            <w:r w:rsidR="007005B1">
              <w:rPr>
                <w:rFonts w:ascii="Century Gothic" w:hAnsi="Century Gothic" w:cs="Arial"/>
                <w:sz w:val="24"/>
                <w:szCs w:val="24"/>
              </w:rPr>
              <w:t>l</w:t>
            </w:r>
            <w:r>
              <w:rPr>
                <w:rFonts w:ascii="Century Gothic" w:hAnsi="Century Gothic" w:cs="Arial"/>
                <w:sz w:val="24"/>
                <w:szCs w:val="24"/>
              </w:rPr>
              <w:t>a moitié du compartiment</w:t>
            </w:r>
            <w:r w:rsidR="00535A4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 gauche du département avant de monter les escaliers</w:t>
            </w:r>
            <w:r w:rsidR="005F5FA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ED185C4" w14:textId="77777777" w:rsidR="00754414" w:rsidRPr="00C96D0F" w:rsidRDefault="00754414" w:rsidP="00754414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cs="Arial"/>
                <w:b/>
                <w:lang w:val="fr-FR"/>
              </w:rPr>
            </w:pPr>
            <w:r w:rsidRPr="00C96D0F">
              <w:rPr>
                <w:rFonts w:ascii="Century Gothic" w:hAnsi="Century Gothic" w:cs="Arial"/>
                <w:b/>
                <w:lang w:val="fr-FR"/>
              </w:rPr>
              <w:t>Divers</w:t>
            </w:r>
          </w:p>
          <w:p w14:paraId="170577B0" w14:textId="486C6E74" w:rsidR="00477C3A" w:rsidRDefault="00BF4329" w:rsidP="000F72E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Un cadre de</w:t>
            </w:r>
            <w:r w:rsidR="005115E9" w:rsidRPr="00840829">
              <w:rPr>
                <w:rFonts w:ascii="Century Gothic" w:hAnsi="Century Gothic"/>
                <w:lang w:val="fr-FR"/>
              </w:rPr>
              <w:t xml:space="preserve"> SMSI</w:t>
            </w:r>
            <w:r w:rsidR="00477C3A" w:rsidRPr="00840829">
              <w:rPr>
                <w:rFonts w:ascii="Century Gothic" w:hAnsi="Century Gothic"/>
                <w:lang w:val="fr-FR"/>
              </w:rPr>
              <w:t xml:space="preserve"> </w:t>
            </w:r>
            <w:r>
              <w:rPr>
                <w:rFonts w:ascii="Century Gothic" w:hAnsi="Century Gothic"/>
                <w:lang w:val="fr-FR"/>
              </w:rPr>
              <w:t>qui faisait partir des gens qui avait représenté le ministère de la sant</w:t>
            </w:r>
            <w:r w:rsidR="00084D6D">
              <w:rPr>
                <w:rFonts w:ascii="Century Gothic" w:hAnsi="Century Gothic"/>
                <w:lang w:val="fr-FR"/>
              </w:rPr>
              <w:t>é</w:t>
            </w:r>
            <w:r>
              <w:rPr>
                <w:rFonts w:ascii="Century Gothic" w:hAnsi="Century Gothic"/>
                <w:lang w:val="fr-FR"/>
              </w:rPr>
              <w:t xml:space="preserve"> pour la fête de l’indépendance du 02 octobre au palais du peuple nous a fait le compte rendu</w:t>
            </w:r>
            <w:r w:rsidR="00084D6D">
              <w:rPr>
                <w:rFonts w:ascii="Century Gothic" w:hAnsi="Century Gothic"/>
                <w:lang w:val="fr-FR"/>
              </w:rPr>
              <w:t xml:space="preserve"> et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r w:rsidR="00477C1B">
              <w:rPr>
                <w:rFonts w:ascii="Century Gothic" w:hAnsi="Century Gothic"/>
                <w:lang w:val="fr-FR"/>
              </w:rPr>
              <w:t xml:space="preserve">s’est plaint pour </w:t>
            </w:r>
            <w:r w:rsidR="00084D6D">
              <w:rPr>
                <w:rFonts w:ascii="Century Gothic" w:hAnsi="Century Gothic"/>
                <w:lang w:val="fr-FR"/>
              </w:rPr>
              <w:t xml:space="preserve">la </w:t>
            </w:r>
            <w:r>
              <w:rPr>
                <w:rFonts w:ascii="Century Gothic" w:hAnsi="Century Gothic"/>
                <w:lang w:val="fr-FR"/>
              </w:rPr>
              <w:t>ma</w:t>
            </w:r>
            <w:r w:rsidR="00084D6D">
              <w:rPr>
                <w:rFonts w:ascii="Century Gothic" w:hAnsi="Century Gothic"/>
                <w:lang w:val="fr-FR"/>
              </w:rPr>
              <w:t>uvaise</w:t>
            </w:r>
            <w:r>
              <w:rPr>
                <w:rFonts w:ascii="Century Gothic" w:hAnsi="Century Gothic"/>
                <w:lang w:val="fr-FR"/>
              </w:rPr>
              <w:t xml:space="preserve"> organisation de la part du </w:t>
            </w:r>
            <w:r w:rsidR="00CB102F">
              <w:rPr>
                <w:rFonts w:ascii="Century Gothic" w:hAnsi="Century Gothic"/>
                <w:lang w:val="fr-FR"/>
              </w:rPr>
              <w:t>département</w:t>
            </w:r>
            <w:r>
              <w:rPr>
                <w:rFonts w:ascii="Century Gothic" w:hAnsi="Century Gothic"/>
                <w:lang w:val="fr-FR"/>
              </w:rPr>
              <w:t xml:space="preserve"> et le retard d’acquisition </w:t>
            </w:r>
            <w:r w:rsidR="00CB102F">
              <w:rPr>
                <w:rFonts w:ascii="Century Gothic" w:hAnsi="Century Gothic"/>
                <w:lang w:val="fr-FR"/>
              </w:rPr>
              <w:t>des t-shirts</w:t>
            </w:r>
            <w:r>
              <w:rPr>
                <w:rFonts w:ascii="Century Gothic" w:hAnsi="Century Gothic"/>
                <w:lang w:val="fr-FR"/>
              </w:rPr>
              <w:t xml:space="preserve"> et demande de remédier </w:t>
            </w:r>
            <w:r w:rsidR="00084D6D">
              <w:rPr>
                <w:rFonts w:ascii="Century Gothic" w:hAnsi="Century Gothic"/>
                <w:lang w:val="fr-FR"/>
              </w:rPr>
              <w:t>à</w:t>
            </w:r>
            <w:r>
              <w:rPr>
                <w:rFonts w:ascii="Century Gothic" w:hAnsi="Century Gothic"/>
                <w:lang w:val="fr-FR"/>
              </w:rPr>
              <w:t xml:space="preserve"> cela pour la prochaine fois.</w:t>
            </w:r>
          </w:p>
          <w:p w14:paraId="07FB7A8F" w14:textId="4AE8BB14" w:rsidR="00837083" w:rsidRDefault="00837083" w:rsidP="000F72E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Le chef de service </w:t>
            </w:r>
            <w:r w:rsidR="00CB102F">
              <w:rPr>
                <w:rFonts w:ascii="Century Gothic" w:hAnsi="Century Gothic"/>
                <w:lang w:val="fr-FR"/>
              </w:rPr>
              <w:t>SMSI informa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r w:rsidR="00084D6D">
              <w:rPr>
                <w:rFonts w:ascii="Century Gothic" w:hAnsi="Century Gothic"/>
                <w:lang w:val="fr-FR"/>
              </w:rPr>
              <w:t>à</w:t>
            </w:r>
            <w:r>
              <w:rPr>
                <w:rFonts w:ascii="Century Gothic" w:hAnsi="Century Gothic"/>
                <w:lang w:val="fr-FR"/>
              </w:rPr>
              <w:t xml:space="preserve"> son retour du </w:t>
            </w:r>
            <w:r w:rsidR="00F545B4">
              <w:rPr>
                <w:rFonts w:ascii="Century Gothic" w:hAnsi="Century Gothic"/>
                <w:lang w:val="fr-FR"/>
              </w:rPr>
              <w:t>Burkina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r w:rsidR="00F545B4">
              <w:rPr>
                <w:rFonts w:ascii="Century Gothic" w:hAnsi="Century Gothic"/>
                <w:lang w:val="fr-FR"/>
              </w:rPr>
              <w:t>Fasso</w:t>
            </w:r>
            <w:r>
              <w:rPr>
                <w:rFonts w:ascii="Century Gothic" w:hAnsi="Century Gothic"/>
                <w:lang w:val="fr-FR"/>
              </w:rPr>
              <w:t xml:space="preserve"> </w:t>
            </w:r>
            <w:r w:rsidR="00F545B4">
              <w:rPr>
                <w:rFonts w:ascii="Century Gothic" w:hAnsi="Century Gothic"/>
                <w:lang w:val="fr-FR"/>
              </w:rPr>
              <w:t>qu’il</w:t>
            </w:r>
            <w:r>
              <w:rPr>
                <w:rFonts w:ascii="Century Gothic" w:hAnsi="Century Gothic"/>
                <w:lang w:val="fr-FR"/>
              </w:rPr>
              <w:t xml:space="preserve"> doit aller </w:t>
            </w:r>
            <w:r w:rsidR="00084D6D">
              <w:rPr>
                <w:rFonts w:ascii="Century Gothic" w:hAnsi="Century Gothic"/>
                <w:lang w:val="fr-FR"/>
              </w:rPr>
              <w:t>aux</w:t>
            </w:r>
            <w:r>
              <w:rPr>
                <w:rFonts w:ascii="Century Gothic" w:hAnsi="Century Gothic"/>
                <w:lang w:val="fr-FR"/>
              </w:rPr>
              <w:t xml:space="preserve"> USA.</w:t>
            </w:r>
          </w:p>
          <w:p w14:paraId="47CD595A" w14:textId="2D1D4456" w:rsidR="00477C3A" w:rsidRPr="00B44AAD" w:rsidRDefault="00F545B4" w:rsidP="00B44AAD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 xml:space="preserve">Un cadre de SMSI a informé du </w:t>
            </w:r>
            <w:r w:rsidR="00CB102F">
              <w:rPr>
                <w:rFonts w:ascii="Century Gothic" w:hAnsi="Century Gothic"/>
                <w:lang w:val="fr-FR"/>
              </w:rPr>
              <w:t>b</w:t>
            </w:r>
            <w:r w:rsidR="00CB102F" w:rsidRPr="00F545B4">
              <w:rPr>
                <w:rFonts w:ascii="Century Gothic" w:hAnsi="Century Gothic"/>
                <w:lang w:val="fr-FR"/>
              </w:rPr>
              <w:t xml:space="preserve">aptême </w:t>
            </w:r>
            <w:r w:rsidR="00CB102F">
              <w:rPr>
                <w:rFonts w:ascii="Century Gothic" w:hAnsi="Century Gothic"/>
                <w:lang w:val="fr-FR"/>
              </w:rPr>
              <w:t>du</w:t>
            </w:r>
            <w:r>
              <w:rPr>
                <w:rFonts w:ascii="Century Gothic" w:hAnsi="Century Gothic"/>
                <w:lang w:val="fr-FR"/>
              </w:rPr>
              <w:t xml:space="preserve"> fils d’un de nos collègue</w:t>
            </w:r>
            <w:r w:rsidR="0050123F">
              <w:rPr>
                <w:rFonts w:ascii="Century Gothic" w:hAnsi="Century Gothic"/>
                <w:lang w:val="fr-FR"/>
              </w:rPr>
              <w:t>s</w:t>
            </w:r>
            <w:r>
              <w:rPr>
                <w:rFonts w:ascii="Century Gothic" w:hAnsi="Century Gothic"/>
                <w:lang w:val="fr-FR"/>
              </w:rPr>
              <w:t xml:space="preserve"> qui aura lieu le dimanche 09/10/2022 à </w:t>
            </w:r>
            <w:r w:rsidR="00CB102F">
              <w:rPr>
                <w:rFonts w:ascii="Century Gothic" w:hAnsi="Century Gothic"/>
                <w:lang w:val="fr-FR"/>
              </w:rPr>
              <w:t>Sanoyah</w:t>
            </w:r>
            <w:r w:rsidRPr="00F545B4">
              <w:rPr>
                <w:rFonts w:ascii="Century Gothic" w:hAnsi="Century Gothic"/>
                <w:lang w:val="fr-FR"/>
              </w:rPr>
              <w:t>.</w:t>
            </w:r>
          </w:p>
          <w:p w14:paraId="2BE9B74D" w14:textId="76C229E9" w:rsidR="00754414" w:rsidRPr="00477C1B" w:rsidRDefault="00754414" w:rsidP="00477C1B">
            <w:pPr>
              <w:jc w:val="both"/>
            </w:pPr>
          </w:p>
        </w:tc>
      </w:tr>
      <w:tr w:rsidR="00FA0C97" w:rsidRPr="00C96D0F" w14:paraId="595674AA" w14:textId="77777777" w:rsidTr="002030C1">
        <w:trPr>
          <w:trHeight w:val="20"/>
        </w:trPr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8186E6" w14:textId="77777777" w:rsidR="00FA0C97" w:rsidRDefault="00FA0C97" w:rsidP="00FA0C97">
            <w:pPr>
              <w:widowControl w:val="0"/>
              <w:rPr>
                <w:rFonts w:ascii="Century Gothic" w:hAnsi="Century Gothic" w:cs="Calibri"/>
                <w:b/>
              </w:rPr>
            </w:pPr>
          </w:p>
          <w:p w14:paraId="0621102E" w14:textId="77777777" w:rsidR="00FA0C97" w:rsidRDefault="00FA0C97" w:rsidP="00FA0C97">
            <w:pPr>
              <w:jc w:val="center"/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  <w:lang w:val="en-US"/>
              </w:rPr>
              <w:t xml:space="preserve">Action(s)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  <w:lang w:val="en-US"/>
              </w:rPr>
              <w:t xml:space="preserve"> entreprendre(s)</w:t>
            </w:r>
          </w:p>
          <w:p w14:paraId="3D767A65" w14:textId="77777777" w:rsidR="00FA0C97" w:rsidRDefault="00FA0C97" w:rsidP="00FA0C97">
            <w:pPr>
              <w:jc w:val="center"/>
              <w:rPr>
                <w:rFonts w:ascii="Century Gothic" w:eastAsia="Times New Roman" w:hAnsi="Century Gothic" w:cs="Arial"/>
                <w:b/>
                <w:bCs/>
                <w:caps/>
                <w:color w:val="000000"/>
                <w:sz w:val="24"/>
                <w:szCs w:val="24"/>
                <w:lang w:val="en-US"/>
              </w:rPr>
            </w:pPr>
          </w:p>
          <w:p w14:paraId="05424BB0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Récupérer les API avec Bountouraby et les gardés dans la salle serveur</w:t>
            </w:r>
          </w:p>
          <w:p w14:paraId="5B5E4DFE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Rétablir la connexion internet aux compartiment gauche du département (RHS, IGS, …)</w:t>
            </w:r>
          </w:p>
          <w:p w14:paraId="4BE2E5CF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Faire la restitution du DHIS2 avec AFNET</w:t>
            </w:r>
          </w:p>
          <w:p w14:paraId="5A971C8D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Faire la restitution de la formation du DHIS2 (déploiement des serveurs)</w:t>
            </w:r>
          </w:p>
          <w:p w14:paraId="722F2BB4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Prendre en main les interfaces du cloud pour la formation et paramétrage du DHIS2</w:t>
            </w:r>
          </w:p>
          <w:p w14:paraId="16AC9A78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Récupérer les deux (2) physiques avec BND</w:t>
            </w:r>
          </w:p>
          <w:p w14:paraId="76AEADA8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 xml:space="preserve">Prendre contact avec la santé famille pour la recherche des fonds </w:t>
            </w:r>
          </w:p>
          <w:p w14:paraId="2648EB7C" w14:textId="77777777" w:rsidR="00FA0C97" w:rsidRPr="00FA0C97" w:rsidRDefault="00FA0C97" w:rsidP="00FA0C97">
            <w:pPr>
              <w:pStyle w:val="ListParagraph"/>
              <w:numPr>
                <w:ilvl w:val="0"/>
                <w:numId w:val="14"/>
              </w:numPr>
              <w:rPr>
                <w:rFonts w:ascii="Century Gothic" w:eastAsia="Times New Roman" w:hAnsi="Century Gothic" w:cs="Arial"/>
                <w:color w:val="000000"/>
                <w:lang w:val="fr-FR"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  <w:lang w:val="fr-FR"/>
              </w:rPr>
              <w:t>Elaborer une fiche de collecte des besoins exprimer par structures qui sera signé et cacheter par eux.</w:t>
            </w:r>
          </w:p>
          <w:p w14:paraId="708FD7CB" w14:textId="567ECBC9" w:rsidR="00FA0C97" w:rsidRPr="00FA0C97" w:rsidRDefault="00FA0C97" w:rsidP="00FA0C97">
            <w:pPr>
              <w:widowControl w:val="0"/>
              <w:rPr>
                <w:rFonts w:ascii="Century Gothic" w:hAnsi="Century Gothic" w:cs="Calibri"/>
                <w:b/>
              </w:rPr>
            </w:pPr>
            <w:r w:rsidRPr="00FA0C97">
              <w:rPr>
                <w:rFonts w:ascii="Century Gothic" w:eastAsia="Times New Roman" w:hAnsi="Century Gothic" w:cs="Arial"/>
                <w:color w:val="000000"/>
              </w:rPr>
              <w:t>Faire la répartition des éléments du SMSI selon le cadre organique et les Cv des éléments du SMSI.</w:t>
            </w:r>
          </w:p>
        </w:tc>
      </w:tr>
      <w:tr w:rsidR="00C569EF" w:rsidRPr="00C96D0F" w14:paraId="4E279392" w14:textId="77777777" w:rsidTr="002030C1">
        <w:trPr>
          <w:trHeight w:val="20"/>
        </w:trPr>
        <w:tc>
          <w:tcPr>
            <w:tcW w:w="1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565147" w14:textId="77777777" w:rsidR="00C569EF" w:rsidRPr="00C96D0F" w:rsidRDefault="00C569EF" w:rsidP="003118CC">
            <w:pPr>
              <w:widowControl w:val="0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047D886D" w14:textId="57F62411" w:rsidR="00120571" w:rsidRDefault="003118CC" w:rsidP="00120571">
            <w:pPr>
              <w:widowControl w:val="0"/>
              <w:jc w:val="right"/>
              <w:rPr>
                <w:rFonts w:ascii="Century Gothic" w:eastAsia="Times New Roman" w:hAnsi="Century Gothic" w:cs="Calibri"/>
                <w:b/>
                <w:bCs/>
                <w:caps/>
                <w:color w:val="000000"/>
                <w:sz w:val="24"/>
                <w:szCs w:val="24"/>
              </w:rPr>
            </w:pPr>
            <w:r w:rsidRPr="00C96D0F">
              <w:rPr>
                <w:rFonts w:ascii="Century Gothic" w:eastAsia="Times New Roman" w:hAnsi="Century Gothic" w:cs="Calibri"/>
                <w:b/>
                <w:bCs/>
                <w:caps/>
                <w:color w:val="000000"/>
                <w:sz w:val="24"/>
                <w:szCs w:val="24"/>
              </w:rPr>
              <w:t>Rapporteu</w:t>
            </w:r>
            <w:r w:rsidR="00DE524A">
              <w:rPr>
                <w:rFonts w:ascii="Century Gothic" w:eastAsia="Times New Roman" w:hAnsi="Century Gothic" w:cs="Calibri"/>
                <w:b/>
                <w:bCs/>
                <w:caps/>
                <w:color w:val="000000"/>
                <w:sz w:val="24"/>
                <w:szCs w:val="24"/>
              </w:rPr>
              <w:t>RS</w:t>
            </w:r>
          </w:p>
          <w:p w14:paraId="131D4A75" w14:textId="68091F0C" w:rsidR="000A52AD" w:rsidRDefault="000A52AD" w:rsidP="00120571">
            <w:pPr>
              <w:widowControl w:val="0"/>
              <w:jc w:val="right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BARRY MARIAMA</w:t>
            </w:r>
          </w:p>
          <w:p w14:paraId="16EAF0E1" w14:textId="17C12730" w:rsidR="00C569EF" w:rsidRPr="00C96D0F" w:rsidRDefault="000A52AD" w:rsidP="00120571">
            <w:pPr>
              <w:widowControl w:val="0"/>
              <w:jc w:val="right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JEAN KOLIE</w:t>
            </w:r>
            <w:r w:rsidR="003118CC" w:rsidRPr="00C96D0F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C569EF" w:rsidRPr="00C96D0F">
              <w:rPr>
                <w:rFonts w:ascii="Century Gothic" w:eastAsia="Times New Roman" w:hAnsi="Century Gothic" w:cs="Calibri"/>
                <w:b/>
                <w:bCs/>
                <w:caps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14:paraId="5F552BD8" w14:textId="77777777" w:rsidR="00D776EF" w:rsidRPr="00E829B6" w:rsidRDefault="00D776EF" w:rsidP="00E829B6">
      <w:pPr>
        <w:widowControl w:val="0"/>
        <w:rPr>
          <w:rFonts w:ascii="Century Gothic" w:hAnsi="Century Gothic" w:cs="Calibri"/>
          <w:b/>
          <w:sz w:val="24"/>
          <w:szCs w:val="24"/>
        </w:rPr>
      </w:pPr>
    </w:p>
    <w:sectPr w:rsidR="00D776EF" w:rsidRPr="00E829B6" w:rsidSect="00291FBC">
      <w:footerReference w:type="default" r:id="rId10"/>
      <w:pgSz w:w="12240" w:h="15840"/>
      <w:pgMar w:top="1440" w:right="900" w:bottom="1440" w:left="1418" w:header="0" w:footer="3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9552" w14:textId="77777777" w:rsidR="008024E1" w:rsidRDefault="008024E1" w:rsidP="001357C2">
      <w:pPr>
        <w:spacing w:after="0" w:line="240" w:lineRule="auto"/>
      </w:pPr>
      <w:r>
        <w:separator/>
      </w:r>
    </w:p>
  </w:endnote>
  <w:endnote w:type="continuationSeparator" w:id="0">
    <w:p w14:paraId="70EA49E8" w14:textId="77777777" w:rsidR="008024E1" w:rsidRDefault="008024E1" w:rsidP="0013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464483"/>
      <w:docPartObj>
        <w:docPartGallery w:val="Page Numbers (Top of Page)"/>
        <w:docPartUnique/>
      </w:docPartObj>
    </w:sdtPr>
    <w:sdtEndPr/>
    <w:sdtContent>
      <w:p w14:paraId="2A0524D0" w14:textId="77777777" w:rsidR="009F21F0" w:rsidRDefault="00B712E9">
        <w:pPr>
          <w:pStyle w:val="Footer"/>
          <w:jc w:val="center"/>
        </w:pPr>
        <w:r>
          <w:rPr>
            <w:rFonts w:ascii="Century Gothic" w:hAnsi="Century Gothic"/>
            <w:b/>
            <w:bCs/>
          </w:rPr>
          <w:fldChar w:fldCharType="begin"/>
        </w:r>
        <w:r>
          <w:rPr>
            <w:rFonts w:ascii="Century Gothic" w:hAnsi="Century Gothic"/>
            <w:b/>
            <w:bCs/>
          </w:rPr>
          <w:instrText>PAGE</w:instrText>
        </w:r>
        <w:r>
          <w:rPr>
            <w:rFonts w:ascii="Century Gothic" w:hAnsi="Century Gothic"/>
            <w:b/>
            <w:bCs/>
          </w:rPr>
          <w:fldChar w:fldCharType="separate"/>
        </w:r>
        <w:r w:rsidR="008024E1">
          <w:rPr>
            <w:rFonts w:ascii="Century Gothic" w:hAnsi="Century Gothic"/>
            <w:b/>
            <w:bCs/>
            <w:noProof/>
          </w:rPr>
          <w:t>1</w:t>
        </w:r>
        <w:r>
          <w:rPr>
            <w:rFonts w:ascii="Century Gothic" w:hAnsi="Century Gothic"/>
            <w:b/>
            <w:bCs/>
          </w:rPr>
          <w:fldChar w:fldCharType="end"/>
        </w:r>
        <w:r>
          <w:rPr>
            <w:rFonts w:ascii="Century Gothic" w:hAnsi="Century Gothic"/>
          </w:rPr>
          <w:t>/</w:t>
        </w:r>
        <w:r>
          <w:rPr>
            <w:rFonts w:ascii="Century Gothic" w:hAnsi="Century Gothic"/>
            <w:b/>
            <w:bCs/>
          </w:rPr>
          <w:fldChar w:fldCharType="begin"/>
        </w:r>
        <w:r>
          <w:rPr>
            <w:rFonts w:ascii="Century Gothic" w:hAnsi="Century Gothic"/>
            <w:b/>
            <w:bCs/>
          </w:rPr>
          <w:instrText>NUMPAGES</w:instrText>
        </w:r>
        <w:r>
          <w:rPr>
            <w:rFonts w:ascii="Century Gothic" w:hAnsi="Century Gothic"/>
            <w:b/>
            <w:bCs/>
          </w:rPr>
          <w:fldChar w:fldCharType="separate"/>
        </w:r>
        <w:r w:rsidR="008024E1">
          <w:rPr>
            <w:rFonts w:ascii="Century Gothic" w:hAnsi="Century Gothic"/>
            <w:b/>
            <w:bCs/>
            <w:noProof/>
          </w:rPr>
          <w:t>1</w:t>
        </w:r>
        <w:r>
          <w:rPr>
            <w:rFonts w:ascii="Century Gothic" w:hAnsi="Century Gothic"/>
            <w:b/>
            <w:bCs/>
          </w:rPr>
          <w:fldChar w:fldCharType="end"/>
        </w:r>
      </w:p>
    </w:sdtContent>
  </w:sdt>
  <w:p w14:paraId="22620134" w14:textId="77777777" w:rsidR="009F21F0" w:rsidRDefault="00A71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5F3F" w14:textId="77777777" w:rsidR="008024E1" w:rsidRDefault="008024E1" w:rsidP="001357C2">
      <w:pPr>
        <w:spacing w:after="0" w:line="240" w:lineRule="auto"/>
      </w:pPr>
      <w:r>
        <w:separator/>
      </w:r>
    </w:p>
  </w:footnote>
  <w:footnote w:type="continuationSeparator" w:id="0">
    <w:p w14:paraId="1ED78584" w14:textId="77777777" w:rsidR="008024E1" w:rsidRDefault="008024E1" w:rsidP="0013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7BA"/>
    <w:multiLevelType w:val="multilevel"/>
    <w:tmpl w:val="C98220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2D0B7A"/>
    <w:multiLevelType w:val="multilevel"/>
    <w:tmpl w:val="F360504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2872B6"/>
    <w:multiLevelType w:val="hybridMultilevel"/>
    <w:tmpl w:val="F95025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142C"/>
    <w:multiLevelType w:val="multilevel"/>
    <w:tmpl w:val="1D3E2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E216D52"/>
    <w:multiLevelType w:val="multilevel"/>
    <w:tmpl w:val="6FC41E3E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0EE2BDA"/>
    <w:multiLevelType w:val="hybridMultilevel"/>
    <w:tmpl w:val="4DB22E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9566A"/>
    <w:multiLevelType w:val="multilevel"/>
    <w:tmpl w:val="EBA6C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6295F8C"/>
    <w:multiLevelType w:val="multilevel"/>
    <w:tmpl w:val="EBA6CD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6560BDE"/>
    <w:multiLevelType w:val="hybridMultilevel"/>
    <w:tmpl w:val="FA82EE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D1C"/>
    <w:multiLevelType w:val="hybridMultilevel"/>
    <w:tmpl w:val="51383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63512"/>
    <w:multiLevelType w:val="hybridMultilevel"/>
    <w:tmpl w:val="D5EAEC3C"/>
    <w:lvl w:ilvl="0" w:tplc="A6AA4B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6A2CE6"/>
    <w:multiLevelType w:val="multilevel"/>
    <w:tmpl w:val="1D3E2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0484694"/>
    <w:multiLevelType w:val="multilevel"/>
    <w:tmpl w:val="FB0451AA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230891"/>
    <w:multiLevelType w:val="hybridMultilevel"/>
    <w:tmpl w:val="C3843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4404">
    <w:abstractNumId w:val="3"/>
  </w:num>
  <w:num w:numId="2" w16cid:durableId="1376857455">
    <w:abstractNumId w:val="6"/>
  </w:num>
  <w:num w:numId="3" w16cid:durableId="1398169931">
    <w:abstractNumId w:val="0"/>
  </w:num>
  <w:num w:numId="4" w16cid:durableId="934167229">
    <w:abstractNumId w:val="1"/>
  </w:num>
  <w:num w:numId="5" w16cid:durableId="762186021">
    <w:abstractNumId w:val="5"/>
  </w:num>
  <w:num w:numId="6" w16cid:durableId="1335300802">
    <w:abstractNumId w:val="2"/>
  </w:num>
  <w:num w:numId="7" w16cid:durableId="407388923">
    <w:abstractNumId w:val="7"/>
  </w:num>
  <w:num w:numId="8" w16cid:durableId="1173034556">
    <w:abstractNumId w:val="10"/>
  </w:num>
  <w:num w:numId="9" w16cid:durableId="1587380126">
    <w:abstractNumId w:val="11"/>
  </w:num>
  <w:num w:numId="10" w16cid:durableId="1141193480">
    <w:abstractNumId w:val="4"/>
  </w:num>
  <w:num w:numId="11" w16cid:durableId="20935748">
    <w:abstractNumId w:val="12"/>
  </w:num>
  <w:num w:numId="12" w16cid:durableId="1144347632">
    <w:abstractNumId w:val="9"/>
  </w:num>
  <w:num w:numId="13" w16cid:durableId="49232873">
    <w:abstractNumId w:val="13"/>
  </w:num>
  <w:num w:numId="14" w16cid:durableId="1524248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9EF"/>
    <w:rsid w:val="0006029C"/>
    <w:rsid w:val="0006301D"/>
    <w:rsid w:val="00075389"/>
    <w:rsid w:val="00084D6D"/>
    <w:rsid w:val="00086AA7"/>
    <w:rsid w:val="0009541F"/>
    <w:rsid w:val="000A52AD"/>
    <w:rsid w:val="000B31DC"/>
    <w:rsid w:val="000D25D0"/>
    <w:rsid w:val="000E7D51"/>
    <w:rsid w:val="000F72E3"/>
    <w:rsid w:val="00112B5F"/>
    <w:rsid w:val="00120571"/>
    <w:rsid w:val="00135498"/>
    <w:rsid w:val="001357C2"/>
    <w:rsid w:val="00161C50"/>
    <w:rsid w:val="001933E8"/>
    <w:rsid w:val="001D5984"/>
    <w:rsid w:val="0026757C"/>
    <w:rsid w:val="0027727B"/>
    <w:rsid w:val="002908F9"/>
    <w:rsid w:val="00291FBC"/>
    <w:rsid w:val="002B3BAB"/>
    <w:rsid w:val="002C2FFE"/>
    <w:rsid w:val="002D4442"/>
    <w:rsid w:val="002F2B42"/>
    <w:rsid w:val="003118CC"/>
    <w:rsid w:val="00327A68"/>
    <w:rsid w:val="0036067D"/>
    <w:rsid w:val="00363672"/>
    <w:rsid w:val="003C17FC"/>
    <w:rsid w:val="003E503B"/>
    <w:rsid w:val="00417A38"/>
    <w:rsid w:val="00426F58"/>
    <w:rsid w:val="004729DD"/>
    <w:rsid w:val="00477C1B"/>
    <w:rsid w:val="00477C3A"/>
    <w:rsid w:val="004A6647"/>
    <w:rsid w:val="004A6922"/>
    <w:rsid w:val="004D26BA"/>
    <w:rsid w:val="004E46F5"/>
    <w:rsid w:val="004E5A32"/>
    <w:rsid w:val="004E7C0D"/>
    <w:rsid w:val="0050123F"/>
    <w:rsid w:val="005073D5"/>
    <w:rsid w:val="005115E9"/>
    <w:rsid w:val="00535A41"/>
    <w:rsid w:val="0058119D"/>
    <w:rsid w:val="0058206C"/>
    <w:rsid w:val="005C686E"/>
    <w:rsid w:val="005D308D"/>
    <w:rsid w:val="005F5FAC"/>
    <w:rsid w:val="006127FD"/>
    <w:rsid w:val="00667F65"/>
    <w:rsid w:val="006749AC"/>
    <w:rsid w:val="006A40EA"/>
    <w:rsid w:val="006A52FC"/>
    <w:rsid w:val="006E6F62"/>
    <w:rsid w:val="007005B1"/>
    <w:rsid w:val="00741851"/>
    <w:rsid w:val="007451CD"/>
    <w:rsid w:val="00754414"/>
    <w:rsid w:val="007D178F"/>
    <w:rsid w:val="008024E1"/>
    <w:rsid w:val="00837083"/>
    <w:rsid w:val="00840829"/>
    <w:rsid w:val="00853A43"/>
    <w:rsid w:val="008821C4"/>
    <w:rsid w:val="008B321B"/>
    <w:rsid w:val="008D6B4D"/>
    <w:rsid w:val="008E7325"/>
    <w:rsid w:val="00907291"/>
    <w:rsid w:val="00934689"/>
    <w:rsid w:val="00941A68"/>
    <w:rsid w:val="009C07CF"/>
    <w:rsid w:val="009C6719"/>
    <w:rsid w:val="009E4921"/>
    <w:rsid w:val="009E73EC"/>
    <w:rsid w:val="009F6251"/>
    <w:rsid w:val="00A07F0E"/>
    <w:rsid w:val="00A21A03"/>
    <w:rsid w:val="00A25DCC"/>
    <w:rsid w:val="00A71FE4"/>
    <w:rsid w:val="00A87E4D"/>
    <w:rsid w:val="00A97D55"/>
    <w:rsid w:val="00AE05B0"/>
    <w:rsid w:val="00B1255D"/>
    <w:rsid w:val="00B1406C"/>
    <w:rsid w:val="00B44AAD"/>
    <w:rsid w:val="00B712E9"/>
    <w:rsid w:val="00B736FF"/>
    <w:rsid w:val="00BB5B3E"/>
    <w:rsid w:val="00BB6C3B"/>
    <w:rsid w:val="00BC1B92"/>
    <w:rsid w:val="00BE3509"/>
    <w:rsid w:val="00BE4718"/>
    <w:rsid w:val="00BF4329"/>
    <w:rsid w:val="00C569EF"/>
    <w:rsid w:val="00C56CE1"/>
    <w:rsid w:val="00C85B46"/>
    <w:rsid w:val="00C96D0F"/>
    <w:rsid w:val="00CA2D46"/>
    <w:rsid w:val="00CB102F"/>
    <w:rsid w:val="00CD7A17"/>
    <w:rsid w:val="00CF1174"/>
    <w:rsid w:val="00D776EF"/>
    <w:rsid w:val="00D936D1"/>
    <w:rsid w:val="00DC38FB"/>
    <w:rsid w:val="00DD6B8F"/>
    <w:rsid w:val="00DE524A"/>
    <w:rsid w:val="00E00BF9"/>
    <w:rsid w:val="00E146EE"/>
    <w:rsid w:val="00E20FBF"/>
    <w:rsid w:val="00E829B6"/>
    <w:rsid w:val="00E952B0"/>
    <w:rsid w:val="00EA6071"/>
    <w:rsid w:val="00EC0465"/>
    <w:rsid w:val="00EC2122"/>
    <w:rsid w:val="00EE2539"/>
    <w:rsid w:val="00F14AA9"/>
    <w:rsid w:val="00F23F7A"/>
    <w:rsid w:val="00F339F5"/>
    <w:rsid w:val="00F545B4"/>
    <w:rsid w:val="00F554CF"/>
    <w:rsid w:val="00FA0C97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C09A"/>
  <w15:chartTrackingRefBased/>
  <w15:docId w15:val="{21A63DA8-17FB-4BB8-AEAB-CC46A222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C569EF"/>
  </w:style>
  <w:style w:type="character" w:customStyle="1" w:styleId="ListParagraphChar">
    <w:name w:val="List Paragraph Char"/>
    <w:link w:val="ListParagraph"/>
    <w:qFormat/>
    <w:locked/>
    <w:rsid w:val="00C569EF"/>
    <w:rPr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C569EF"/>
    <w:pPr>
      <w:suppressAutoHyphens/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69EF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customStyle="1" w:styleId="PieddepageCar1">
    <w:name w:val="Pied de page Car1"/>
    <w:basedOn w:val="DefaultParagraphFont"/>
    <w:uiPriority w:val="99"/>
    <w:semiHidden/>
    <w:rsid w:val="00C569EF"/>
  </w:style>
  <w:style w:type="paragraph" w:styleId="NoSpacing">
    <w:name w:val="No Spacing"/>
    <w:uiPriority w:val="1"/>
    <w:qFormat/>
    <w:rsid w:val="00C569EF"/>
    <w:pPr>
      <w:suppressAutoHyphens/>
      <w:spacing w:after="0" w:line="240" w:lineRule="auto"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5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0D1B-EEB2-47A7-910F-338AC665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887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jean kolie</cp:lastModifiedBy>
  <cp:revision>94</cp:revision>
  <dcterms:created xsi:type="dcterms:W3CDTF">2022-09-21T10:40:00Z</dcterms:created>
  <dcterms:modified xsi:type="dcterms:W3CDTF">2022-10-06T17:52:00Z</dcterms:modified>
</cp:coreProperties>
</file>