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8213"/>
      </w:tblGrid>
      <w:tr w:rsidR="00EE3125" w:rsidRPr="003557F2" w14:paraId="74682F75" w14:textId="77777777" w:rsidTr="00241A65">
        <w:trPr>
          <w:cantSplit/>
          <w:trHeight w:val="2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316" w14:textId="4CCEF7A6" w:rsidR="00D03F2B" w:rsidRPr="003557F2" w:rsidRDefault="00D03F2B" w:rsidP="003557F2">
            <w:pPr>
              <w:spacing w:after="0" w:line="240" w:lineRule="auto"/>
              <w:rPr>
                <w:b/>
                <w:bCs/>
                <w:lang w:eastAsia="fr-FR"/>
              </w:rPr>
            </w:pPr>
            <w:r w:rsidRPr="003557F2">
              <w:rPr>
                <w:rFonts w:eastAsia="Times New Roman" w:cstheme="minorHAnsi"/>
                <w:b/>
                <w:noProof/>
                <w:color w:val="000000" w:themeColor="text1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E0008" wp14:editId="48AB5C48">
                      <wp:simplePos x="0" y="0"/>
                      <wp:positionH relativeFrom="column">
                        <wp:posOffset>-22888</wp:posOffset>
                      </wp:positionH>
                      <wp:positionV relativeFrom="paragraph">
                        <wp:posOffset>-651703</wp:posOffset>
                      </wp:positionV>
                      <wp:extent cx="6822220" cy="419100"/>
                      <wp:effectExtent l="0" t="0" r="17145" b="190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222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04188E" w14:textId="77777777" w:rsidR="00BE75BA" w:rsidRPr="00FE2632" w:rsidRDefault="00BE75BA" w:rsidP="00FE2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73EBA32E" w14:textId="39B1BBB3" w:rsidR="00BE75BA" w:rsidRPr="0053152D" w:rsidRDefault="00BE75BA" w:rsidP="00FE2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53152D"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  <w:t xml:space="preserve">Compte rendu de la </w:t>
                                  </w:r>
                                  <w:r w:rsidR="003E5094" w:rsidRPr="0053152D"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  <w:t>Neuv</w:t>
                                  </w:r>
                                  <w:r w:rsidRPr="0053152D">
                                    <w:rPr>
                                      <w:b/>
                                      <w:color w:val="0070C0"/>
                                      <w:sz w:val="32"/>
                                    </w:rPr>
                                    <w:t xml:space="preserve">ième réunion virtuelle des PTF du secteur santé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DE00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8pt;margin-top:-51.3pt;width:537.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" fillcolor="white [3201]" strokeweight=".5pt">
                      <v:textbox>
                        <w:txbxContent>
                          <w:p w14:paraId="3F04188E" w14:textId="77777777" w:rsidR="00BE75BA" w:rsidRPr="00FE2632" w:rsidRDefault="00BE75BA" w:rsidP="00FE26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3EBA32E" w14:textId="39B1BBB3" w:rsidR="00BE75BA" w:rsidRPr="0053152D" w:rsidRDefault="00BE75BA" w:rsidP="00FE26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</w:rPr>
                            </w:pPr>
                            <w:r w:rsidRPr="0053152D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Compte rendu de la </w:t>
                            </w:r>
                            <w:r w:rsidR="003E5094" w:rsidRPr="0053152D">
                              <w:rPr>
                                <w:b/>
                                <w:color w:val="0070C0"/>
                                <w:sz w:val="32"/>
                              </w:rPr>
                              <w:t>Neuv</w:t>
                            </w:r>
                            <w:r w:rsidRPr="0053152D">
                              <w:rPr>
                                <w:b/>
                                <w:color w:val="0070C0"/>
                                <w:sz w:val="32"/>
                              </w:rPr>
                              <w:t xml:space="preserve">ième réunion virtuelle des PTF du secteur santé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57F2">
              <w:rPr>
                <w:rFonts w:eastAsia="Times New Roman" w:cstheme="minorHAnsi"/>
                <w:b/>
                <w:color w:val="000000" w:themeColor="text1"/>
                <w:szCs w:val="24"/>
                <w:lang w:eastAsia="fr-FR"/>
              </w:rPr>
              <w:t xml:space="preserve"> </w:t>
            </w:r>
            <w:r w:rsidR="00BD5EB4" w:rsidRPr="003557F2">
              <w:rPr>
                <w:rFonts w:eastAsia="Times New Roman" w:cstheme="minorHAnsi"/>
                <w:b/>
                <w:color w:val="000000" w:themeColor="text1"/>
                <w:szCs w:val="24"/>
                <w:lang w:eastAsia="fr-FR"/>
              </w:rPr>
              <w:t>Date</w:t>
            </w:r>
            <w:r w:rsidR="00BD5EB4" w:rsidRPr="003557F2">
              <w:rPr>
                <w:b/>
                <w:lang w:eastAsia="fr-FR"/>
              </w:rPr>
              <w:t> 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695" w14:textId="12FB6E6F" w:rsidR="00D03F2B" w:rsidRPr="003557F2" w:rsidRDefault="007D0263" w:rsidP="007D026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color w:val="000000" w:themeColor="text1"/>
                <w:szCs w:val="24"/>
                <w:lang w:eastAsia="fr-FR"/>
              </w:rPr>
              <w:t>08 octobre</w:t>
            </w:r>
            <w:r w:rsidR="00BD5EB4" w:rsidRPr="003557F2">
              <w:rPr>
                <w:rFonts w:eastAsia="Times New Roman" w:cstheme="minorHAnsi"/>
                <w:b/>
                <w:color w:val="000000" w:themeColor="text1"/>
                <w:szCs w:val="24"/>
                <w:lang w:eastAsia="fr-FR"/>
              </w:rPr>
              <w:t xml:space="preserve"> 2021</w:t>
            </w:r>
          </w:p>
        </w:tc>
      </w:tr>
      <w:tr w:rsidR="00EE3125" w:rsidRPr="00EE3125" w14:paraId="5E51278A" w14:textId="77777777" w:rsidTr="00241A65">
        <w:trPr>
          <w:cantSplit/>
          <w:trHeight w:val="139"/>
        </w:trPr>
        <w:tc>
          <w:tcPr>
            <w:tcW w:w="10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795" w14:textId="2E5A5354" w:rsidR="004A0CB3" w:rsidRPr="00DD4ADA" w:rsidRDefault="00BD5EB4" w:rsidP="0013278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</w:pPr>
            <w:r w:rsidRPr="00DD4ADA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Président de la séance : </w:t>
            </w:r>
            <w:r w:rsidR="00132784" w:rsidRPr="00DD4ADA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 xml:space="preserve">Dr Georges KI-ZERBO, </w:t>
            </w:r>
            <w:r w:rsidRPr="00DD4ADA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>Représentant</w:t>
            </w:r>
            <w:r w:rsidR="00132784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 xml:space="preserve"> Résident</w:t>
            </w:r>
            <w:r w:rsidR="00EE3125" w:rsidRPr="00DD4ADA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 xml:space="preserve"> OMS </w:t>
            </w:r>
            <w:r w:rsidR="003E5094">
              <w:rPr>
                <w:rFonts w:cstheme="minorHAnsi"/>
                <w:color w:val="000000" w:themeColor="text1"/>
              </w:rPr>
              <w:t>du Ministre de la Santé</w:t>
            </w:r>
          </w:p>
        </w:tc>
        <w:bookmarkStart w:id="0" w:name="_GoBack"/>
        <w:bookmarkEnd w:id="0"/>
      </w:tr>
      <w:tr w:rsidR="00EE3125" w:rsidRPr="00EE3125" w14:paraId="2D188EA7" w14:textId="77777777" w:rsidTr="00241A65">
        <w:trPr>
          <w:cantSplit/>
          <w:trHeight w:val="112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F00" w14:textId="77777777" w:rsidR="0035666B" w:rsidRPr="00EE3125" w:rsidRDefault="00BD5EB4" w:rsidP="007A7B5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Cs w:val="24"/>
                <w:lang w:eastAsia="fr-FR"/>
              </w:rPr>
            </w:pPr>
            <w:r w:rsidRPr="00EB2A1B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Participants 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C9A" w14:textId="69D128CE" w:rsidR="005B77B2" w:rsidRPr="003A6EB9" w:rsidRDefault="002470E2" w:rsidP="00356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5</w:t>
            </w:r>
            <w:r w:rsidR="00A45813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3</w:t>
            </w:r>
            <w:r w:rsidR="00330ABB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</w:t>
            </w:r>
            <w:r w:rsidR="00330ABB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Participants</w:t>
            </w:r>
            <w:r w:rsidR="005B77B2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 </w:t>
            </w:r>
            <w:r w:rsidR="002B1701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(Connexions activées</w:t>
            </w:r>
            <w:r w:rsidR="00F126B0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 : voir annexe</w:t>
            </w:r>
            <w:r w:rsidR="002B1701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)</w:t>
            </w:r>
            <w:r w:rsid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</w:t>
            </w:r>
            <w:r w:rsidR="005B77B2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:</w:t>
            </w:r>
          </w:p>
          <w:p w14:paraId="39D7F99D" w14:textId="63BB7CCF" w:rsidR="005B77B2" w:rsidRPr="003A6EB9" w:rsidRDefault="005B77B2" w:rsidP="005723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PTF du secteur de la </w:t>
            </w:r>
            <w:r w:rsidR="00E130B8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santé </w:t>
            </w:r>
            <w:r w:rsidRPr="003A6EB9">
              <w:rPr>
                <w:rFonts w:eastAsia="Times New Roman" w:cstheme="minorHAnsi"/>
                <w:bCs/>
                <w:szCs w:val="24"/>
                <w:lang w:eastAsia="fr-FR"/>
              </w:rPr>
              <w:t xml:space="preserve"> </w:t>
            </w:r>
            <w:r w:rsidR="00BD5EB4" w:rsidRPr="003A6EB9">
              <w:rPr>
                <w:rFonts w:eastAsia="Times New Roman" w:cstheme="minorHAnsi"/>
                <w:bCs/>
                <w:szCs w:val="24"/>
                <w:lang w:eastAsia="fr-FR"/>
              </w:rPr>
              <w:t xml:space="preserve"> </w:t>
            </w:r>
          </w:p>
          <w:p w14:paraId="248212D0" w14:textId="627E9350" w:rsidR="00BD5EB4" w:rsidRPr="002C3FCB" w:rsidRDefault="00ED3FE2" w:rsidP="005723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Ministère de la santé</w:t>
            </w:r>
            <w:r w:rsidR="00BD3CEA" w:rsidRPr="003A6EB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 </w:t>
            </w:r>
            <w:r w:rsidR="00BD3CEA" w:rsidRPr="003A6EB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:</w:t>
            </w:r>
            <w:r w:rsidRPr="003A6EB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</w:t>
            </w:r>
            <w:r w:rsidR="00DB2168" w:rsidRPr="008A743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Conseiller du Ministre</w:t>
            </w:r>
            <w:r w:rsidR="00DB2168" w:rsidRPr="003A6EB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, BSD, </w:t>
            </w:r>
            <w:r w:rsidRPr="003A6EB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ANSS</w:t>
            </w:r>
            <w:r w:rsidR="00BD3CEA" w:rsidRPr="005B77B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</w:t>
            </w:r>
          </w:p>
        </w:tc>
      </w:tr>
      <w:tr w:rsidR="00EE3125" w:rsidRPr="00EE3125" w14:paraId="4D7037C2" w14:textId="77777777" w:rsidTr="00241A65">
        <w:trPr>
          <w:cantSplit/>
          <w:trHeight w:val="2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7563" w14:textId="1E916BE3" w:rsidR="004A0CB3" w:rsidRPr="00EB2A1B" w:rsidRDefault="007A7B56" w:rsidP="007A7B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EB2A1B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Ordre du jour :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4F6" w14:textId="5492B900" w:rsidR="00AD2525" w:rsidRPr="00AD2525" w:rsidRDefault="00AD2525" w:rsidP="0057236F">
            <w:pPr>
              <w:numPr>
                <w:ilvl w:val="0"/>
                <w:numId w:val="5"/>
              </w:numPr>
              <w:shd w:val="clear" w:color="auto" w:fill="FFFFFF"/>
              <w:spacing w:after="0" w:line="176" w:lineRule="atLeast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>Introduction de Mr Le Représentant de l’OMS et du Cabinet MS avec présentations des nouveaux venus en Guinée (Représentante UNFPA, Directrice santé USAID, Gestionnaire de Portefeuille Principal du Fonds mondial…</w:t>
            </w:r>
            <w:proofErr w:type="gramStart"/>
            <w:r w:rsidRPr="00AD2525">
              <w:rPr>
                <w:rFonts w:cstheme="minorHAnsi"/>
                <w:color w:val="000000" w:themeColor="text1"/>
              </w:rPr>
              <w:t>):</w:t>
            </w:r>
            <w:proofErr w:type="gramEnd"/>
            <w:r w:rsidRPr="00AD2525">
              <w:rPr>
                <w:rFonts w:cstheme="minorHAnsi"/>
                <w:color w:val="000000" w:themeColor="text1"/>
              </w:rPr>
              <w:t xml:space="preserve"> Pr KI-ZERBO Georges / Dr Yansane Lamine </w:t>
            </w:r>
          </w:p>
          <w:p w14:paraId="447AA745" w14:textId="77777777" w:rsidR="00AD2525" w:rsidRPr="00AD2525" w:rsidRDefault="00AD2525" w:rsidP="0057236F">
            <w:pPr>
              <w:numPr>
                <w:ilvl w:val="0"/>
                <w:numId w:val="5"/>
              </w:numPr>
              <w:shd w:val="clear" w:color="auto" w:fill="FFFFFF"/>
              <w:spacing w:after="0" w:line="176" w:lineRule="atLeast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Suivi des points d’action de la dernière réunion (Dr KONAN, OMS)  </w:t>
            </w:r>
          </w:p>
          <w:p w14:paraId="306FDD1B" w14:textId="3BB3F013" w:rsidR="00AD2525" w:rsidRPr="00AD2525" w:rsidRDefault="00AD2525" w:rsidP="0057236F">
            <w:pPr>
              <w:numPr>
                <w:ilvl w:val="0"/>
                <w:numId w:val="5"/>
              </w:numPr>
              <w:shd w:val="clear" w:color="auto" w:fill="FFFFFF"/>
              <w:spacing w:after="0" w:line="176" w:lineRule="atLeast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>Présentation ANSS/PEV (Dr Sakoba DG ANSS -Dr KONE Moussa et Dr Diallo Ibrahima ANSS / Dr DABO Moustapha Dir Coordo PEV / Dr Kevin OMS et Dr Guy Mayet UNICEF)</w:t>
            </w:r>
          </w:p>
          <w:p w14:paraId="4E8222E2" w14:textId="77777777" w:rsidR="00AD2525" w:rsidRPr="00AD2525" w:rsidRDefault="00AD2525" w:rsidP="0057236F">
            <w:pPr>
              <w:numPr>
                <w:ilvl w:val="0"/>
                <w:numId w:val="10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Situation Epidémiologique Covid 19 et autres Epidémies </w:t>
            </w:r>
          </w:p>
          <w:p w14:paraId="71811C47" w14:textId="77777777" w:rsidR="00AD2525" w:rsidRPr="00AD2525" w:rsidRDefault="00AD2525" w:rsidP="0057236F">
            <w:pPr>
              <w:numPr>
                <w:ilvl w:val="0"/>
                <w:numId w:val="10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Vaccination Covid 19 </w:t>
            </w:r>
          </w:p>
          <w:p w14:paraId="0126CA61" w14:textId="77777777" w:rsidR="00AD2525" w:rsidRPr="00AD2525" w:rsidRDefault="00AD2525" w:rsidP="0057236F">
            <w:pPr>
              <w:numPr>
                <w:ilvl w:val="0"/>
                <w:numId w:val="10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Situation des Vaccins dans le pays et déploiement de la Vaccination,  </w:t>
            </w:r>
          </w:p>
          <w:p w14:paraId="482EA502" w14:textId="77777777" w:rsidR="00AD2525" w:rsidRPr="00AD2525" w:rsidRDefault="00AD2525" w:rsidP="0057236F">
            <w:pPr>
              <w:numPr>
                <w:ilvl w:val="0"/>
                <w:numId w:val="10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>Plan, budget et Gap de Financement en lien avec le contexte actuel (Banque mondial, GAVI ou BID)</w:t>
            </w:r>
          </w:p>
          <w:p w14:paraId="407D194A" w14:textId="77777777" w:rsidR="00AD2525" w:rsidRPr="00AD2525" w:rsidRDefault="00AD2525" w:rsidP="0057236F">
            <w:pPr>
              <w:numPr>
                <w:ilvl w:val="0"/>
                <w:numId w:val="10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Revue Intra Action (RIA) de la vaccination Covid 19  </w:t>
            </w:r>
          </w:p>
          <w:p w14:paraId="7E9F2B95" w14:textId="3F12D7E4" w:rsidR="00AD2525" w:rsidRPr="00AD2525" w:rsidRDefault="00AD2525" w:rsidP="0057236F">
            <w:pPr>
              <w:numPr>
                <w:ilvl w:val="0"/>
                <w:numId w:val="5"/>
              </w:numPr>
              <w:shd w:val="clear" w:color="auto" w:fill="FFFFFF"/>
              <w:spacing w:after="0" w:line="176" w:lineRule="atLeast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Présentation sur Collecte des données de la cartographie des ressources et des dépenses de santé en République de Guinée. (Dr AMARA DRAME et Dr Diakité Souleymane BSD)  </w:t>
            </w:r>
          </w:p>
          <w:p w14:paraId="3B57FC8C" w14:textId="7E361F5C" w:rsidR="00AD2525" w:rsidRPr="00AD2525" w:rsidRDefault="00AD2525" w:rsidP="0057236F">
            <w:pPr>
              <w:numPr>
                <w:ilvl w:val="0"/>
                <w:numId w:val="5"/>
              </w:numPr>
              <w:shd w:val="clear" w:color="auto" w:fill="FFFFFF"/>
              <w:spacing w:after="0" w:line="176" w:lineRule="atLeast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>Divers</w:t>
            </w:r>
          </w:p>
          <w:p w14:paraId="398065CB" w14:textId="77777777" w:rsidR="00AD2525" w:rsidRPr="00AD2525" w:rsidRDefault="00AD2525" w:rsidP="0057236F">
            <w:pPr>
              <w:numPr>
                <w:ilvl w:val="0"/>
                <w:numId w:val="11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Priorités à venir du Ministère de la santé en cette période de Transition (Dr Yansane Mohamed Lamine Conseiller Principal / Dr DIAKITE Souleymane BSD) </w:t>
            </w:r>
          </w:p>
          <w:p w14:paraId="716BBE4B" w14:textId="1D242DDC" w:rsidR="00671F85" w:rsidRPr="00AD2525" w:rsidRDefault="00AD2525" w:rsidP="0057236F">
            <w:pPr>
              <w:numPr>
                <w:ilvl w:val="0"/>
                <w:numId w:val="11"/>
              </w:numPr>
              <w:shd w:val="clear" w:color="auto" w:fill="FFFFFF"/>
              <w:spacing w:after="0" w:line="176" w:lineRule="atLeast"/>
              <w:ind w:left="910" w:hanging="284"/>
              <w:jc w:val="both"/>
              <w:rPr>
                <w:rFonts w:cstheme="minorHAnsi"/>
                <w:color w:val="000000" w:themeColor="text1"/>
              </w:rPr>
            </w:pPr>
            <w:r w:rsidRPr="00AD2525">
              <w:rPr>
                <w:rFonts w:cstheme="minorHAnsi"/>
                <w:color w:val="000000" w:themeColor="text1"/>
              </w:rPr>
              <w:t xml:space="preserve">Autres </w:t>
            </w:r>
          </w:p>
        </w:tc>
      </w:tr>
    </w:tbl>
    <w:p w14:paraId="6517F8B2" w14:textId="77777777" w:rsidR="004A0CB3" w:rsidRPr="00EE3125" w:rsidRDefault="004A0CB3" w:rsidP="004A0CB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5351"/>
        <w:gridCol w:w="3209"/>
        <w:gridCol w:w="2101"/>
      </w:tblGrid>
      <w:tr w:rsidR="00EE3125" w:rsidRPr="00EE3125" w14:paraId="3B7BD518" w14:textId="77777777" w:rsidTr="00241A65">
        <w:tc>
          <w:tcPr>
            <w:tcW w:w="10661" w:type="dxa"/>
            <w:gridSpan w:val="3"/>
            <w:vAlign w:val="center"/>
          </w:tcPr>
          <w:p w14:paraId="6917395C" w14:textId="77777777" w:rsidR="00BD5EB4" w:rsidRPr="00EB2A1B" w:rsidRDefault="00BD5EB4" w:rsidP="00BD5EB4">
            <w:pPr>
              <w:pStyle w:val="ListParagraph"/>
              <w:ind w:left="191"/>
              <w:rPr>
                <w:color w:val="000000" w:themeColor="text1"/>
              </w:rPr>
            </w:pPr>
          </w:p>
          <w:p w14:paraId="5BE34079" w14:textId="060E9724" w:rsidR="00132784" w:rsidRDefault="00EB2A1B" w:rsidP="009675AB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  <w:r w:rsidR="004B2811" w:rsidRPr="00EB2A1B">
              <w:rPr>
                <w:rFonts w:cstheme="minorHAnsi"/>
                <w:color w:val="000000" w:themeColor="text1"/>
              </w:rPr>
              <w:t xml:space="preserve">e </w:t>
            </w:r>
            <w:r w:rsidR="00C74A66">
              <w:rPr>
                <w:rFonts w:cstheme="minorHAnsi"/>
                <w:color w:val="000000" w:themeColor="text1"/>
              </w:rPr>
              <w:t>0</w:t>
            </w:r>
            <w:r w:rsidR="00AD2525">
              <w:rPr>
                <w:rFonts w:cstheme="minorHAnsi"/>
                <w:color w:val="000000" w:themeColor="text1"/>
              </w:rPr>
              <w:t>8 octobre</w:t>
            </w:r>
            <w:r w:rsidR="00BD5EB4" w:rsidRPr="00EB2A1B">
              <w:rPr>
                <w:rFonts w:cstheme="minorHAnsi"/>
                <w:color w:val="000000" w:themeColor="text1"/>
              </w:rPr>
              <w:t xml:space="preserve"> 2021, </w:t>
            </w:r>
            <w:r w:rsidR="00AD2525">
              <w:rPr>
                <w:rFonts w:cstheme="minorHAnsi"/>
                <w:color w:val="000000" w:themeColor="text1"/>
              </w:rPr>
              <w:t>de 10H03</w:t>
            </w:r>
            <w:r w:rsidR="00132784">
              <w:rPr>
                <w:rFonts w:cstheme="minorHAnsi"/>
                <w:color w:val="000000" w:themeColor="text1"/>
              </w:rPr>
              <w:t xml:space="preserve"> à </w:t>
            </w:r>
            <w:r w:rsidR="003B0EC6">
              <w:rPr>
                <w:rFonts w:cstheme="minorHAnsi"/>
                <w:color w:val="000000" w:themeColor="text1"/>
              </w:rPr>
              <w:t>1</w:t>
            </w:r>
            <w:r w:rsidR="00194B91">
              <w:rPr>
                <w:rFonts w:cstheme="minorHAnsi"/>
                <w:color w:val="000000" w:themeColor="text1"/>
              </w:rPr>
              <w:t>2</w:t>
            </w:r>
            <w:r w:rsidR="003B0EC6">
              <w:rPr>
                <w:rFonts w:cstheme="minorHAnsi"/>
                <w:color w:val="000000" w:themeColor="text1"/>
              </w:rPr>
              <w:t>H</w:t>
            </w:r>
            <w:r w:rsidR="00AD2525">
              <w:rPr>
                <w:rFonts w:cstheme="minorHAnsi"/>
                <w:color w:val="000000" w:themeColor="text1"/>
              </w:rPr>
              <w:t>20</w:t>
            </w:r>
            <w:r w:rsidR="0013278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s’est tenue</w:t>
            </w:r>
            <w:r w:rsidRPr="00EB2A1B">
              <w:rPr>
                <w:rFonts w:cstheme="minorHAnsi"/>
                <w:color w:val="000000" w:themeColor="text1"/>
              </w:rPr>
              <w:t xml:space="preserve"> </w:t>
            </w:r>
            <w:r w:rsidR="001963A4">
              <w:rPr>
                <w:rFonts w:cstheme="minorHAnsi"/>
                <w:color w:val="000000" w:themeColor="text1"/>
              </w:rPr>
              <w:t xml:space="preserve">la </w:t>
            </w:r>
            <w:r w:rsidR="00AD2525">
              <w:rPr>
                <w:rFonts w:cstheme="minorHAnsi"/>
                <w:color w:val="000000" w:themeColor="text1"/>
              </w:rPr>
              <w:t>neuv</w:t>
            </w:r>
            <w:r w:rsidR="00330ABB">
              <w:rPr>
                <w:rFonts w:cstheme="minorHAnsi"/>
                <w:color w:val="000000" w:themeColor="text1"/>
              </w:rPr>
              <w:t>iè</w:t>
            </w:r>
            <w:r w:rsidR="001963A4">
              <w:rPr>
                <w:rFonts w:cstheme="minorHAnsi"/>
                <w:color w:val="000000" w:themeColor="text1"/>
              </w:rPr>
              <w:t>me</w:t>
            </w:r>
            <w:r w:rsidR="00132784">
              <w:rPr>
                <w:rFonts w:cstheme="minorHAnsi"/>
                <w:color w:val="000000" w:themeColor="text1"/>
              </w:rPr>
              <w:t xml:space="preserve"> </w:t>
            </w:r>
            <w:r w:rsidR="004B2811" w:rsidRPr="00EB2A1B">
              <w:rPr>
                <w:rFonts w:cstheme="minorHAnsi"/>
                <w:color w:val="000000" w:themeColor="text1"/>
              </w:rPr>
              <w:t xml:space="preserve">réunion </w:t>
            </w:r>
            <w:r w:rsidR="00BD5EB4" w:rsidRPr="00EB2A1B">
              <w:rPr>
                <w:rFonts w:cstheme="minorHAnsi"/>
                <w:color w:val="000000" w:themeColor="text1"/>
              </w:rPr>
              <w:t>virtuelle de</w:t>
            </w:r>
            <w:r w:rsidR="00132784">
              <w:rPr>
                <w:rFonts w:cstheme="minorHAnsi"/>
                <w:color w:val="000000" w:themeColor="text1"/>
              </w:rPr>
              <w:t>s partenaires techniques et financiers du secteur santé de la Guinée,</w:t>
            </w:r>
            <w:r w:rsidR="00BD5EB4" w:rsidRPr="00EB2A1B">
              <w:rPr>
                <w:rFonts w:cstheme="minorHAnsi"/>
                <w:color w:val="000000" w:themeColor="text1"/>
              </w:rPr>
              <w:t xml:space="preserve"> </w:t>
            </w:r>
            <w:r w:rsidR="00132784">
              <w:rPr>
                <w:rFonts w:cstheme="minorHAnsi"/>
                <w:color w:val="000000" w:themeColor="text1"/>
              </w:rPr>
              <w:t>s</w:t>
            </w:r>
            <w:r w:rsidR="00EB50FF">
              <w:rPr>
                <w:rFonts w:cstheme="minorHAnsi"/>
                <w:color w:val="000000" w:themeColor="text1"/>
              </w:rPr>
              <w:t>ous la présidence du</w:t>
            </w:r>
            <w:r w:rsidR="00132784" w:rsidRPr="00EB2A1B">
              <w:rPr>
                <w:rFonts w:cstheme="minorHAnsi"/>
                <w:color w:val="000000" w:themeColor="text1"/>
              </w:rPr>
              <w:t xml:space="preserve"> </w:t>
            </w:r>
            <w:r w:rsidR="00132784" w:rsidRPr="00EB2A1B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 xml:space="preserve">Représentant </w:t>
            </w:r>
            <w:r w:rsidR="00636114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 xml:space="preserve">Résident </w:t>
            </w:r>
            <w:r w:rsidR="00132784" w:rsidRPr="00EB2A1B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>de l’OMS</w:t>
            </w:r>
            <w:r w:rsidR="00194B91">
              <w:rPr>
                <w:rFonts w:eastAsia="Times New Roman" w:cstheme="minorHAnsi"/>
                <w:color w:val="000000" w:themeColor="text1"/>
                <w:szCs w:val="24"/>
                <w:lang w:eastAsia="fr-FR"/>
              </w:rPr>
              <w:t xml:space="preserve"> et du Conseiller du Ministre de la santé</w:t>
            </w:r>
            <w:r w:rsidR="00BD5EB4" w:rsidRPr="00EB2A1B">
              <w:rPr>
                <w:rFonts w:cstheme="minorHAnsi"/>
                <w:color w:val="000000" w:themeColor="text1"/>
              </w:rPr>
              <w:t>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660BC9AC" w14:textId="683E1238" w:rsidR="00DD4ADA" w:rsidRDefault="00AD2525" w:rsidP="00E522E5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  <w:r w:rsidR="003A6EB9">
              <w:rPr>
                <w:rFonts w:cstheme="minorHAnsi"/>
                <w:color w:val="000000" w:themeColor="text1"/>
              </w:rPr>
              <w:t>3</w:t>
            </w:r>
            <w:r w:rsidR="00194B91">
              <w:rPr>
                <w:rFonts w:cstheme="minorHAnsi"/>
                <w:color w:val="000000" w:themeColor="text1"/>
              </w:rPr>
              <w:t xml:space="preserve"> participants</w:t>
            </w:r>
            <w:r w:rsidR="002B1701">
              <w:rPr>
                <w:rFonts w:cstheme="minorHAnsi"/>
                <w:color w:val="000000" w:themeColor="text1"/>
              </w:rPr>
              <w:t xml:space="preserve"> (connexions activées)</w:t>
            </w:r>
            <w:r w:rsidR="00194B91">
              <w:rPr>
                <w:rFonts w:cstheme="minorHAnsi"/>
                <w:color w:val="000000" w:themeColor="text1"/>
              </w:rPr>
              <w:t xml:space="preserve"> y ont participé</w:t>
            </w:r>
            <w:r w:rsidR="003557F2">
              <w:rPr>
                <w:rFonts w:cstheme="minorHAnsi"/>
                <w:color w:val="000000" w:themeColor="text1"/>
              </w:rPr>
              <w:t xml:space="preserve"> en ligne.</w:t>
            </w:r>
          </w:p>
          <w:p w14:paraId="6D2B918E" w14:textId="14DC6498" w:rsidR="00503CBB" w:rsidRPr="00503CBB" w:rsidRDefault="00503CBB" w:rsidP="00E522E5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416091" w:rsidRPr="00416091" w14:paraId="57727D63" w14:textId="77777777" w:rsidTr="00241A65">
        <w:tc>
          <w:tcPr>
            <w:tcW w:w="10661" w:type="dxa"/>
            <w:gridSpan w:val="3"/>
            <w:vAlign w:val="center"/>
          </w:tcPr>
          <w:p w14:paraId="524F2653" w14:textId="77777777" w:rsidR="005C1E2E" w:rsidRPr="00416091" w:rsidRDefault="005C1E2E" w:rsidP="0057236F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b/>
                <w:color w:val="0070C0"/>
              </w:rPr>
            </w:pPr>
            <w:r w:rsidRPr="00416091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Introduction de Mr Le Représentant de l’OMS</w:t>
            </w:r>
          </w:p>
          <w:p w14:paraId="158CD921" w14:textId="77777777" w:rsidR="005C1E2E" w:rsidRPr="00416091" w:rsidRDefault="005C1E2E" w:rsidP="00BD5EB4">
            <w:pPr>
              <w:pStyle w:val="ListParagraph"/>
              <w:ind w:left="191"/>
              <w:rPr>
                <w:color w:val="0070C0"/>
              </w:rPr>
            </w:pPr>
          </w:p>
        </w:tc>
      </w:tr>
      <w:tr w:rsidR="005C1E2E" w:rsidRPr="00EE3125" w14:paraId="0B65A812" w14:textId="77777777" w:rsidTr="00241A65">
        <w:tc>
          <w:tcPr>
            <w:tcW w:w="10661" w:type="dxa"/>
            <w:gridSpan w:val="3"/>
            <w:vAlign w:val="center"/>
          </w:tcPr>
          <w:p w14:paraId="25567917" w14:textId="77777777" w:rsidR="00D138E8" w:rsidRDefault="00D138E8" w:rsidP="00D138E8">
            <w:pPr>
              <w:pStyle w:val="ListParagraph"/>
              <w:jc w:val="both"/>
              <w:rPr>
                <w:color w:val="000000" w:themeColor="text1"/>
              </w:rPr>
            </w:pPr>
          </w:p>
          <w:p w14:paraId="5D16B612" w14:textId="3A209ED2" w:rsidR="00D04BCD" w:rsidRPr="00FA478E" w:rsidRDefault="005C1E2E" w:rsidP="00FA478E">
            <w:pPr>
              <w:jc w:val="both"/>
              <w:rPr>
                <w:color w:val="000000" w:themeColor="text1"/>
              </w:rPr>
            </w:pPr>
            <w:r w:rsidRPr="00FA478E">
              <w:rPr>
                <w:color w:val="000000" w:themeColor="text1"/>
              </w:rPr>
              <w:t>Mot de remerciement et de bienvenue aux participants</w:t>
            </w:r>
            <w:r w:rsidR="003E5094" w:rsidRPr="00FA478E">
              <w:rPr>
                <w:color w:val="000000" w:themeColor="text1"/>
              </w:rPr>
              <w:t>,</w:t>
            </w:r>
            <w:r w:rsidRPr="00FA478E">
              <w:rPr>
                <w:color w:val="000000" w:themeColor="text1"/>
              </w:rPr>
              <w:t xml:space="preserve"> avec une mention spéciale aux </w:t>
            </w:r>
            <w:r w:rsidR="00B0394B" w:rsidRPr="00FA478E">
              <w:rPr>
                <w:color w:val="000000" w:themeColor="text1"/>
              </w:rPr>
              <w:t>PTFs ayant nouvellement pris fonction</w:t>
            </w:r>
            <w:r w:rsidRPr="00FA478E">
              <w:rPr>
                <w:color w:val="000000" w:themeColor="text1"/>
              </w:rPr>
              <w:t xml:space="preserve"> en Guinée</w:t>
            </w:r>
            <w:r w:rsidR="00485672" w:rsidRPr="00FA478E">
              <w:rPr>
                <w:color w:val="000000" w:themeColor="text1"/>
              </w:rPr>
              <w:t xml:space="preserve">. Ces derniers ont montré leur joie de rejoindre les partenaires de de Guinée. Les nouveaux venues sont </w:t>
            </w:r>
            <w:r w:rsidR="00D04BCD" w:rsidRPr="00FA478E">
              <w:rPr>
                <w:color w:val="000000" w:themeColor="text1"/>
              </w:rPr>
              <w:t>:</w:t>
            </w:r>
          </w:p>
          <w:p w14:paraId="4B53C3DA" w14:textId="77777777" w:rsidR="00D04BCD" w:rsidRDefault="00D04BCD" w:rsidP="00485672">
            <w:pPr>
              <w:pStyle w:val="ListParagraph"/>
              <w:numPr>
                <w:ilvl w:val="1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Mme Ami DIALLO (Directrice Santé de l’USAID), </w:t>
            </w:r>
          </w:p>
          <w:p w14:paraId="678D70F0" w14:textId="226EBF82" w:rsidR="00D04BCD" w:rsidRDefault="00D04BCD" w:rsidP="00485672">
            <w:pPr>
              <w:pStyle w:val="ListParagraph"/>
              <w:numPr>
                <w:ilvl w:val="1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 CLARY Bruno (Gestionnaire du </w:t>
            </w:r>
            <w:r w:rsidR="00485672">
              <w:rPr>
                <w:color w:val="000000" w:themeColor="text1"/>
              </w:rPr>
              <w:t>portefeuille</w:t>
            </w:r>
            <w:r>
              <w:rPr>
                <w:color w:val="000000" w:themeColor="text1"/>
              </w:rPr>
              <w:t xml:space="preserve"> principal du Fonds Mondial en Guinée) </w:t>
            </w:r>
          </w:p>
          <w:p w14:paraId="404080BB" w14:textId="63E84A69" w:rsidR="00D04BCD" w:rsidRDefault="00D04BCD" w:rsidP="00485672">
            <w:pPr>
              <w:pStyle w:val="ListParagraph"/>
              <w:numPr>
                <w:ilvl w:val="1"/>
                <w:numId w:val="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Mme MIKA </w:t>
            </w:r>
            <w:proofErr w:type="spellStart"/>
            <w:r>
              <w:rPr>
                <w:color w:val="000000" w:themeColor="text1"/>
              </w:rPr>
              <w:t>Kanon</w:t>
            </w:r>
            <w:proofErr w:type="spellEnd"/>
            <w:r>
              <w:rPr>
                <w:color w:val="000000" w:themeColor="text1"/>
              </w:rPr>
              <w:t xml:space="preserve"> (Représentante Adjointe de la JICA en Guinée) </w:t>
            </w:r>
          </w:p>
          <w:p w14:paraId="1A797F75" w14:textId="2EA8C096" w:rsidR="00485672" w:rsidRPr="00485672" w:rsidRDefault="00485672" w:rsidP="00485672">
            <w:pPr>
              <w:pStyle w:val="ListParagraph"/>
              <w:numPr>
                <w:ilvl w:val="1"/>
                <w:numId w:val="1"/>
              </w:numPr>
              <w:jc w:val="both"/>
              <w:rPr>
                <w:color w:val="000000" w:themeColor="text1"/>
              </w:rPr>
            </w:pPr>
            <w:r w:rsidRPr="00485672">
              <w:rPr>
                <w:color w:val="000000" w:themeColor="text1"/>
              </w:rPr>
              <w:t>Mme Corine Delphine N’DAW Représentante UN</w:t>
            </w:r>
            <w:r>
              <w:rPr>
                <w:color w:val="000000" w:themeColor="text1"/>
              </w:rPr>
              <w:t>FFA (excusée)</w:t>
            </w:r>
          </w:p>
          <w:p w14:paraId="0C634BB4" w14:textId="1D5491CD" w:rsidR="00D04BCD" w:rsidRPr="00485672" w:rsidRDefault="00D04BCD" w:rsidP="00D04BCD">
            <w:pPr>
              <w:jc w:val="both"/>
              <w:rPr>
                <w:color w:val="000000" w:themeColor="text1"/>
              </w:rPr>
            </w:pPr>
          </w:p>
          <w:p w14:paraId="281143C3" w14:textId="1847797E" w:rsidR="00D04BCD" w:rsidRDefault="00FA478E" w:rsidP="00DB7B54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A478E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La 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réunion s’est poursuivie avec la présentation de l’ordre du jour.</w:t>
            </w:r>
          </w:p>
          <w:p w14:paraId="002AF780" w14:textId="4C34FE6C" w:rsidR="00FA478E" w:rsidRPr="00FA478E" w:rsidRDefault="00FA478E" w:rsidP="00DB7B54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</w:tc>
      </w:tr>
      <w:tr w:rsidR="005C1E2E" w:rsidRPr="00EE3125" w14:paraId="5CF1F493" w14:textId="77777777" w:rsidTr="00241A65">
        <w:trPr>
          <w:trHeight w:val="330"/>
        </w:trPr>
        <w:tc>
          <w:tcPr>
            <w:tcW w:w="10661" w:type="dxa"/>
            <w:gridSpan w:val="3"/>
            <w:vAlign w:val="center"/>
          </w:tcPr>
          <w:p w14:paraId="5A9338AC" w14:textId="2D811111" w:rsidR="005C1E2E" w:rsidRPr="00416091" w:rsidRDefault="005C1E2E" w:rsidP="0057236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</w:pPr>
            <w:r w:rsidRPr="00416091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Suivi des points d’action de la dernière réunion (Dr KONAN, OMS)</w:t>
            </w:r>
          </w:p>
        </w:tc>
      </w:tr>
      <w:tr w:rsidR="005C1E2E" w:rsidRPr="00EE3125" w14:paraId="4909DB24" w14:textId="77777777" w:rsidTr="00241A65">
        <w:tc>
          <w:tcPr>
            <w:tcW w:w="10661" w:type="dxa"/>
            <w:gridSpan w:val="3"/>
            <w:vAlign w:val="center"/>
          </w:tcPr>
          <w:p w14:paraId="2C83198D" w14:textId="77777777" w:rsidR="00D138E8" w:rsidRDefault="00D138E8" w:rsidP="00D138E8">
            <w:pPr>
              <w:pStyle w:val="ListParagraph"/>
              <w:ind w:left="191"/>
              <w:jc w:val="both"/>
            </w:pPr>
          </w:p>
          <w:p w14:paraId="3AA16049" w14:textId="51BBCBB7" w:rsidR="005C1E2E" w:rsidRDefault="005C1E2E" w:rsidP="005C1E2E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 w:rsidRPr="00FB7308">
              <w:lastRenderedPageBreak/>
              <w:t xml:space="preserve">Une revue </w:t>
            </w:r>
            <w:r>
              <w:t xml:space="preserve">a été faite </w:t>
            </w:r>
            <w:r w:rsidRPr="00FB7308">
              <w:t xml:space="preserve">des </w:t>
            </w:r>
            <w:r>
              <w:t>0</w:t>
            </w:r>
            <w:r w:rsidR="00D04BCD">
              <w:t>5</w:t>
            </w:r>
            <w:r w:rsidRPr="00FB7308">
              <w:t xml:space="preserve"> points d’action de la précédente réunion portant sur 03 domaines</w:t>
            </w:r>
            <w:r>
              <w:t>, avec comme résultats</w:t>
            </w:r>
            <w:r w:rsidRPr="00FB7308">
              <w:t> :  0</w:t>
            </w:r>
            <w:r>
              <w:t>2</w:t>
            </w:r>
            <w:r w:rsidRPr="00FB7308">
              <w:t xml:space="preserve"> points d’actions réalisés</w:t>
            </w:r>
            <w:r>
              <w:t xml:space="preserve"> et 0</w:t>
            </w:r>
            <w:r w:rsidR="00D04BCD">
              <w:t>3</w:t>
            </w:r>
            <w:r w:rsidRPr="00FB7308">
              <w:t xml:space="preserve"> en cours de réalisation</w:t>
            </w:r>
          </w:p>
          <w:p w14:paraId="5BF79F91" w14:textId="77777777" w:rsidR="005C1E2E" w:rsidRDefault="005C1E2E" w:rsidP="005C1E2E">
            <w:pPr>
              <w:jc w:val="both"/>
            </w:pPr>
          </w:p>
          <w:p w14:paraId="548B131D" w14:textId="70B74CD0" w:rsidR="00D04BCD" w:rsidRDefault="005C1E2E" w:rsidP="005C1E2E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 xml:space="preserve">Le Représentant de l’OMS a insisté sur la </w:t>
            </w:r>
            <w:r w:rsidR="00D04BCD">
              <w:t xml:space="preserve">Couverture Santé Universelle dont l’agenda engage toute les parties prenantes, </w:t>
            </w:r>
            <w:r w:rsidR="00FA478E">
              <w:t xml:space="preserve">sur les priorités du Ministère de la santé dans cette transition spécialement Les Etats Généraux de la santé et </w:t>
            </w:r>
            <w:r w:rsidR="00B0394B">
              <w:t xml:space="preserve">de même que </w:t>
            </w:r>
            <w:r w:rsidR="00D04BCD">
              <w:t>la scoping mission et l</w:t>
            </w:r>
            <w:r w:rsidR="00FA478E">
              <w:t>e plan triennal</w:t>
            </w:r>
          </w:p>
          <w:p w14:paraId="2E8896B1" w14:textId="72FAEAE1" w:rsidR="00D04BCD" w:rsidRPr="00FB7308" w:rsidRDefault="00D04BCD" w:rsidP="00D138E8">
            <w:pPr>
              <w:pStyle w:val="ListParagraph"/>
              <w:ind w:left="191"/>
              <w:jc w:val="both"/>
            </w:pPr>
          </w:p>
        </w:tc>
      </w:tr>
      <w:tr w:rsidR="00B12215" w:rsidRPr="00EE3125" w14:paraId="19364815" w14:textId="77777777" w:rsidTr="003E5094">
        <w:tc>
          <w:tcPr>
            <w:tcW w:w="5351" w:type="dxa"/>
            <w:vAlign w:val="center"/>
          </w:tcPr>
          <w:p w14:paraId="2554122B" w14:textId="642E4AA2" w:rsidR="00C74A66" w:rsidRPr="001163F0" w:rsidRDefault="00C74A66" w:rsidP="00C74A66">
            <w:pPr>
              <w:pStyle w:val="ListParagraph"/>
              <w:ind w:left="346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332AA2">
              <w:rPr>
                <w:rFonts w:ascii="Times New Roman" w:hAnsi="Times New Roman"/>
                <w:b/>
                <w:smallCaps/>
                <w:sz w:val="26"/>
                <w:szCs w:val="26"/>
              </w:rPr>
              <w:lastRenderedPageBreak/>
              <w:t>Résumé des points de discussion</w:t>
            </w:r>
          </w:p>
        </w:tc>
        <w:tc>
          <w:tcPr>
            <w:tcW w:w="3209" w:type="dxa"/>
          </w:tcPr>
          <w:p w14:paraId="4BB391BA" w14:textId="20480FF7" w:rsidR="00C74A66" w:rsidRPr="00FB7308" w:rsidRDefault="00C74A66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Points d</w:t>
            </w:r>
            <w:r w:rsidRPr="00D31EDA">
              <w:rPr>
                <w:rFonts w:ascii="Times New Roman" w:hAnsi="Times New Roman"/>
                <w:b/>
                <w:smallCaps/>
                <w:sz w:val="26"/>
                <w:szCs w:val="26"/>
              </w:rPr>
              <w:t>’action</w:t>
            </w: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 / Recommandations</w:t>
            </w:r>
          </w:p>
        </w:tc>
        <w:tc>
          <w:tcPr>
            <w:tcW w:w="2101" w:type="dxa"/>
          </w:tcPr>
          <w:p w14:paraId="2549BF22" w14:textId="4B93D275" w:rsidR="00C74A66" w:rsidRPr="00FB7308" w:rsidRDefault="005C1E2E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 w:rsidRPr="00D31EDA">
              <w:rPr>
                <w:rFonts w:ascii="Times New Roman" w:hAnsi="Times New Roman"/>
                <w:b/>
                <w:smallCaps/>
                <w:sz w:val="26"/>
                <w:szCs w:val="26"/>
              </w:rPr>
              <w:t>Responsables</w:t>
            </w:r>
          </w:p>
        </w:tc>
      </w:tr>
      <w:tr w:rsidR="00A96B99" w:rsidRPr="00EE3125" w14:paraId="6474532A" w14:textId="77777777" w:rsidTr="003E5094">
        <w:tc>
          <w:tcPr>
            <w:tcW w:w="5351" w:type="dxa"/>
            <w:vMerge w:val="restart"/>
            <w:vAlign w:val="center"/>
          </w:tcPr>
          <w:p w14:paraId="77FD45E6" w14:textId="68C073D5" w:rsidR="00A96B99" w:rsidRPr="003E5094" w:rsidRDefault="00A96B99" w:rsidP="008A743B">
            <w:pPr>
              <w:pStyle w:val="ListParagraph"/>
              <w:ind w:left="67"/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Plaidoyer auprès des nouvelles autorités pour que la santé soit toujours une priorité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en les informant</w:t>
            </w: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des acquis et gaps de la revue du PNDS, 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et en nous remettant en cause </w:t>
            </w: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notre façon de travailler</w:t>
            </w:r>
            <w:r w:rsidR="00416091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.</w:t>
            </w:r>
          </w:p>
        </w:tc>
        <w:tc>
          <w:tcPr>
            <w:tcW w:w="3209" w:type="dxa"/>
          </w:tcPr>
          <w:p w14:paraId="4A6F847C" w14:textId="41CE840C" w:rsidR="00A96B99" w:rsidRPr="00FB7308" w:rsidRDefault="00A96B99" w:rsidP="00E5719D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Revue des TDR des processus lourds en cours (</w:t>
            </w:r>
            <w:r w:rsidR="00416091">
              <w:t>replanification</w:t>
            </w:r>
            <w:r>
              <w:t xml:space="preserve"> du PNDS, Feuille de route sur la CSU) lien entre le PNDS et l’agenda de transition pour que la santé reste au cœur des priorité</w:t>
            </w:r>
          </w:p>
        </w:tc>
        <w:tc>
          <w:tcPr>
            <w:tcW w:w="2101" w:type="dxa"/>
          </w:tcPr>
          <w:p w14:paraId="333A73AC" w14:textId="77777777" w:rsidR="00A96B99" w:rsidRPr="00FB7308" w:rsidRDefault="00A96B99" w:rsidP="00E5719D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Dr KONAN</w:t>
            </w:r>
          </w:p>
        </w:tc>
      </w:tr>
      <w:tr w:rsidR="00A96B99" w:rsidRPr="00EE3125" w14:paraId="4B0E82BC" w14:textId="77777777" w:rsidTr="003E5094">
        <w:tc>
          <w:tcPr>
            <w:tcW w:w="5351" w:type="dxa"/>
            <w:vMerge/>
            <w:vAlign w:val="center"/>
          </w:tcPr>
          <w:p w14:paraId="627F5EF2" w14:textId="77777777" w:rsidR="00A96B99" w:rsidRPr="001163F0" w:rsidRDefault="00A96B99" w:rsidP="005C1E2E">
            <w:pPr>
              <w:pStyle w:val="ListParagraph"/>
              <w:ind w:left="346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3209" w:type="dxa"/>
          </w:tcPr>
          <w:p w14:paraId="064D4970" w14:textId="194BF112" w:rsidR="00A96B99" w:rsidRPr="00FB7308" w:rsidRDefault="00A96B99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 xml:space="preserve">Partager avec les minutes de cette réunion la redistribution des partenaires dans les différents groupes </w:t>
            </w:r>
            <w:r w:rsidR="00416091">
              <w:t>thématiques</w:t>
            </w:r>
            <w:r>
              <w:t xml:space="preserve"> </w:t>
            </w:r>
          </w:p>
        </w:tc>
        <w:tc>
          <w:tcPr>
            <w:tcW w:w="2101" w:type="dxa"/>
          </w:tcPr>
          <w:p w14:paraId="4B6A60C0" w14:textId="549D1304" w:rsidR="00A96B99" w:rsidRPr="00FB7308" w:rsidRDefault="00A96B99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Dr KONAN</w:t>
            </w:r>
          </w:p>
        </w:tc>
      </w:tr>
      <w:tr w:rsidR="00A96B99" w:rsidRPr="00EE3125" w14:paraId="25405251" w14:textId="77777777" w:rsidTr="003E5094">
        <w:tc>
          <w:tcPr>
            <w:tcW w:w="5351" w:type="dxa"/>
            <w:vMerge/>
            <w:vAlign w:val="center"/>
          </w:tcPr>
          <w:p w14:paraId="0131433A" w14:textId="77777777" w:rsidR="00A96B99" w:rsidRPr="001163F0" w:rsidRDefault="00A96B99" w:rsidP="005C1E2E">
            <w:pPr>
              <w:pStyle w:val="ListParagraph"/>
              <w:ind w:left="346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3209" w:type="dxa"/>
          </w:tcPr>
          <w:p w14:paraId="59ECC729" w14:textId="47B90518" w:rsidR="00A96B99" w:rsidRPr="00FB7308" w:rsidRDefault="00A96B99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Suivre les orientations du Ministère de la santé</w:t>
            </w:r>
          </w:p>
        </w:tc>
        <w:tc>
          <w:tcPr>
            <w:tcW w:w="2101" w:type="dxa"/>
          </w:tcPr>
          <w:p w14:paraId="6BA1477C" w14:textId="4A34986C" w:rsidR="00A96B99" w:rsidRPr="00FB7308" w:rsidRDefault="00A96B99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PTFs</w:t>
            </w:r>
          </w:p>
        </w:tc>
      </w:tr>
      <w:tr w:rsidR="00A96B99" w:rsidRPr="00EE3125" w14:paraId="5E45BCF7" w14:textId="77777777" w:rsidTr="003E5094">
        <w:tc>
          <w:tcPr>
            <w:tcW w:w="5351" w:type="dxa"/>
            <w:vMerge/>
            <w:vAlign w:val="center"/>
          </w:tcPr>
          <w:p w14:paraId="4F4EA084" w14:textId="14FE1E28" w:rsidR="00A96B99" w:rsidRPr="001163F0" w:rsidRDefault="00A96B99" w:rsidP="005C1E2E">
            <w:pPr>
              <w:pStyle w:val="ListParagraph"/>
              <w:ind w:left="346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3209" w:type="dxa"/>
          </w:tcPr>
          <w:p w14:paraId="1670C82A" w14:textId="27F73F4B" w:rsidR="00A96B99" w:rsidRPr="00FB7308" w:rsidRDefault="00A96B99" w:rsidP="003E5094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Partager les TDR de la CSU, le budget et les orientations du Ministre</w:t>
            </w:r>
          </w:p>
        </w:tc>
        <w:tc>
          <w:tcPr>
            <w:tcW w:w="2101" w:type="dxa"/>
          </w:tcPr>
          <w:p w14:paraId="7FBBAF6C" w14:textId="6A8946FE" w:rsidR="00A96B99" w:rsidRPr="00FB7308" w:rsidRDefault="00A96B99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BSD / Dr KONAN</w:t>
            </w:r>
          </w:p>
        </w:tc>
      </w:tr>
      <w:tr w:rsidR="00A96B99" w:rsidRPr="00EE3125" w14:paraId="5684C9D4" w14:textId="77777777" w:rsidTr="003E5094">
        <w:tc>
          <w:tcPr>
            <w:tcW w:w="5351" w:type="dxa"/>
            <w:vMerge/>
            <w:vAlign w:val="center"/>
          </w:tcPr>
          <w:p w14:paraId="34EA2978" w14:textId="77777777" w:rsidR="00A96B99" w:rsidRPr="001163F0" w:rsidRDefault="00A96B99" w:rsidP="005C1E2E">
            <w:pPr>
              <w:pStyle w:val="ListParagraph"/>
              <w:ind w:left="346"/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</w:p>
        </w:tc>
        <w:tc>
          <w:tcPr>
            <w:tcW w:w="3209" w:type="dxa"/>
          </w:tcPr>
          <w:p w14:paraId="1645A3F5" w14:textId="31F33A4A" w:rsidR="00A96B99" w:rsidRDefault="00A96B99" w:rsidP="00331C38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 xml:space="preserve">Organiser une réunion des PTFs sur l’optimisation et </w:t>
            </w:r>
            <w:r w:rsidR="00416091">
              <w:t xml:space="preserve">la criticalité des programmes des </w:t>
            </w:r>
            <w:r>
              <w:t>PTFs</w:t>
            </w:r>
            <w:r w:rsidR="00416091">
              <w:t xml:space="preserve"> dans cette transition.</w:t>
            </w:r>
          </w:p>
        </w:tc>
        <w:tc>
          <w:tcPr>
            <w:tcW w:w="2101" w:type="dxa"/>
          </w:tcPr>
          <w:p w14:paraId="08AFACCC" w14:textId="54E4090B" w:rsidR="00A96B99" w:rsidRDefault="00A96B99" w:rsidP="00A835B0">
            <w:pPr>
              <w:pStyle w:val="ListParagraph"/>
              <w:numPr>
                <w:ilvl w:val="0"/>
                <w:numId w:val="1"/>
              </w:numPr>
              <w:ind w:left="191" w:hanging="191"/>
              <w:jc w:val="both"/>
            </w:pPr>
            <w:r>
              <w:t>Dr KONAN</w:t>
            </w:r>
          </w:p>
        </w:tc>
      </w:tr>
      <w:tr w:rsidR="00F07C23" w:rsidRPr="00EE3125" w14:paraId="7319FD54" w14:textId="77777777" w:rsidTr="00241A65">
        <w:tc>
          <w:tcPr>
            <w:tcW w:w="10661" w:type="dxa"/>
            <w:gridSpan w:val="3"/>
            <w:vAlign w:val="center"/>
          </w:tcPr>
          <w:p w14:paraId="42E555D1" w14:textId="1B49F61F" w:rsidR="00F07C23" w:rsidRPr="00F07C23" w:rsidRDefault="00F07C23" w:rsidP="0057236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416091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 xml:space="preserve">Présentation ANSS/PEV (Dr Sakoba DG ANSS -Dr KONE Moussa et Dr Diallo Ibrahima ANSS / Dr DABO Moustapha Dir Coordo PEV / Dr Kevin OMS et Dr Guy Mayet </w:t>
            </w:r>
            <w:proofErr w:type="gramStart"/>
            <w:r w:rsidRPr="00416091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UNICEF )</w:t>
            </w:r>
            <w:proofErr w:type="gramEnd"/>
          </w:p>
        </w:tc>
      </w:tr>
      <w:tr w:rsidR="00F07C23" w:rsidRPr="00EE3125" w14:paraId="67255504" w14:textId="77777777" w:rsidTr="00241A65">
        <w:tc>
          <w:tcPr>
            <w:tcW w:w="10661" w:type="dxa"/>
            <w:gridSpan w:val="3"/>
            <w:vAlign w:val="center"/>
          </w:tcPr>
          <w:p w14:paraId="2FD1A84C" w14:textId="77777777" w:rsidR="00F07C23" w:rsidRDefault="00F07C23" w:rsidP="0057236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Situation Epidémiologique Covid-</w:t>
            </w:r>
            <w:r w:rsidRPr="001F5A56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19 at autres Epidémies (Lassa Rougeole…) </w:t>
            </w:r>
          </w:p>
          <w:p w14:paraId="34DF09A5" w14:textId="78ACF5B6" w:rsidR="00F07C23" w:rsidRPr="00B0394B" w:rsidRDefault="00F07C23" w:rsidP="0057236F">
            <w:pPr>
              <w:pStyle w:val="ListParagraph"/>
              <w:numPr>
                <w:ilvl w:val="1"/>
                <w:numId w:val="7"/>
              </w:num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B0394B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Rougeole : </w:t>
            </w:r>
            <w:r w:rsidRPr="00B0394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persistance de l’épidémie de rougeole depuis le début de l’année 2021, </w:t>
            </w:r>
            <w:r w:rsidR="00B0394B" w:rsidRPr="00B0394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augmentation des cas au 3</w:t>
            </w:r>
            <w:r w:rsidR="00B0394B" w:rsidRPr="00B0394B">
              <w:rPr>
                <w:rFonts w:eastAsia="Times New Roman" w:cstheme="minorHAnsi"/>
                <w:bCs/>
                <w:color w:val="000000" w:themeColor="text1"/>
                <w:szCs w:val="24"/>
                <w:vertAlign w:val="superscript"/>
                <w:lang w:eastAsia="fr-FR"/>
              </w:rPr>
              <w:t>ème</w:t>
            </w:r>
            <w:r w:rsidR="00B0394B" w:rsidRPr="00B0394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trimestre comparativement à la même période de l’année 2020</w:t>
            </w:r>
          </w:p>
          <w:p w14:paraId="6B81D3AF" w14:textId="14E1539C" w:rsidR="00F07C23" w:rsidRPr="008D7249" w:rsidRDefault="00F07C23" w:rsidP="0057236F">
            <w:pPr>
              <w:pStyle w:val="ListParagraph"/>
              <w:numPr>
                <w:ilvl w:val="1"/>
                <w:numId w:val="7"/>
              </w:numPr>
              <w:jc w:val="both"/>
              <w:rPr>
                <w:rFonts w:cstheme="minorHAnsi"/>
                <w:bCs/>
                <w:color w:val="000000" w:themeColor="text1"/>
              </w:rPr>
            </w:pPr>
            <w:r w:rsidRPr="008D724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Covid-19 : </w:t>
            </w:r>
            <w:r w:rsidRPr="008D7249">
              <w:rPr>
                <w:rFonts w:eastAsia="Times New Roman" w:cstheme="minorHAnsi"/>
                <w:bCs/>
                <w:color w:val="000000" w:themeColor="text1"/>
              </w:rPr>
              <w:t xml:space="preserve">A la date du </w:t>
            </w:r>
            <w:r w:rsidR="00B0394B" w:rsidRPr="008D7249">
              <w:rPr>
                <w:rFonts w:eastAsia="Times New Roman" w:cstheme="minorHAnsi"/>
                <w:bCs/>
                <w:color w:val="000000" w:themeColor="text1"/>
              </w:rPr>
              <w:t>08 octobre</w:t>
            </w:r>
            <w:r w:rsidRPr="008D7249">
              <w:rPr>
                <w:rFonts w:eastAsia="Times New Roman" w:cstheme="minorHAnsi"/>
                <w:bCs/>
                <w:color w:val="000000" w:themeColor="text1"/>
              </w:rPr>
              <w:t xml:space="preserve"> 2021 : 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Cumul de </w:t>
            </w:r>
            <w:r w:rsidR="008D7249" w:rsidRPr="008D7249">
              <w:rPr>
                <w:rFonts w:eastAsia="Times New Roman" w:cstheme="minorHAnsi"/>
                <w:bCs/>
                <w:color w:val="000000" w:themeColor="text1"/>
              </w:rPr>
              <w:t xml:space="preserve">30 452 cas confirmés </w:t>
            </w:r>
            <w:r w:rsidR="008D7249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(Un taux de positivité : 5,5%)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, </w:t>
            </w:r>
            <w:r w:rsidR="008D7249" w:rsidRPr="008D7249">
              <w:rPr>
                <w:rFonts w:eastAsia="Times New Roman" w:cstheme="minorHAnsi"/>
                <w:bCs/>
                <w:color w:val="000000" w:themeColor="text1"/>
              </w:rPr>
              <w:t>28 970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guérisons ; </w:t>
            </w:r>
            <w:r w:rsidR="008D7249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380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décès hospitaliers de COVID-19 enregistrés en Guinée depuis le 12 Mars 2020. </w:t>
            </w:r>
          </w:p>
          <w:p w14:paraId="6EA2CB1F" w14:textId="77777777" w:rsidR="00F07C23" w:rsidRDefault="00F07C23" w:rsidP="0057236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1F5A56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Situation des Vaccins dans le pays</w:t>
            </w: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</w:t>
            </w:r>
            <w:r w:rsidRPr="001F5A56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</w:t>
            </w:r>
          </w:p>
          <w:p w14:paraId="321953AD" w14:textId="23BCC20E" w:rsidR="008D7249" w:rsidRPr="00EA4739" w:rsidRDefault="00F07C23" w:rsidP="0057236F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Cs/>
                <w:color w:val="000000" w:themeColor="text1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Total vaccins reçus : </w:t>
            </w:r>
            <w:r w:rsidR="008D7249" w:rsidRPr="00EA4739">
              <w:rPr>
                <w:rFonts w:eastAsia="Times New Roman" w:cstheme="minorHAnsi"/>
                <w:b/>
                <w:bCs/>
                <w:color w:val="000000" w:themeColor="text1"/>
              </w:rPr>
              <w:t>4 407 860</w:t>
            </w:r>
          </w:p>
          <w:p w14:paraId="0DAB298A" w14:textId="68B7BB8E" w:rsidR="00F07C23" w:rsidRPr="00EA4739" w:rsidRDefault="00F07C23" w:rsidP="0057236F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Cs/>
                <w:color w:val="000000" w:themeColor="text1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Total vaccins disponibles au niveau central : </w:t>
            </w:r>
            <w:r w:rsidR="008D7249" w:rsidRPr="00EA4739">
              <w:rPr>
                <w:rFonts w:eastAsia="Times New Roman" w:cstheme="minorHAnsi"/>
                <w:b/>
                <w:bCs/>
                <w:color w:val="000000" w:themeColor="text1"/>
              </w:rPr>
              <w:t>1 640 329</w:t>
            </w:r>
          </w:p>
          <w:p w14:paraId="7A65409C" w14:textId="58AE0E7B" w:rsidR="00F07C23" w:rsidRPr="00EA4739" w:rsidRDefault="00F07C23" w:rsidP="0057236F">
            <w:pPr>
              <w:pStyle w:val="ListParagraph"/>
              <w:numPr>
                <w:ilvl w:val="1"/>
                <w:numId w:val="9"/>
              </w:numPr>
              <w:rPr>
                <w:rFonts w:cstheme="minorHAnsi"/>
                <w:bCs/>
                <w:color w:val="000000" w:themeColor="text1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Total doses de vaccins a</w:t>
            </w:r>
            <w:r w:rsidR="00B0394B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ttendus d’octobre à décembre</w:t>
            </w: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 : </w:t>
            </w:r>
            <w:r w:rsidR="008D7249" w:rsidRPr="00EA4739">
              <w:rPr>
                <w:rFonts w:eastAsia="Times New Roman" w:cstheme="minorHAnsi"/>
                <w:b/>
                <w:bCs/>
                <w:color w:val="000000" w:themeColor="text1"/>
              </w:rPr>
              <w:t>2 510 230</w:t>
            </w:r>
          </w:p>
          <w:p w14:paraId="5146D9D3" w14:textId="77777777" w:rsidR="003E5094" w:rsidRDefault="00F07C23" w:rsidP="005723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8D724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Déploiement de la Vaccination : 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A la date du </w:t>
            </w:r>
            <w:r w:rsidR="00B0394B" w:rsidRPr="008D7249">
              <w:rPr>
                <w:rFonts w:eastAsia="Times New Roman" w:cstheme="minorHAnsi"/>
                <w:bCs/>
                <w:color w:val="000000" w:themeColor="text1"/>
              </w:rPr>
              <w:t>08 octobre 2021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, </w:t>
            </w:r>
          </w:p>
          <w:p w14:paraId="196CAAB1" w14:textId="56713D3B" w:rsidR="00F07C23" w:rsidRPr="008D7249" w:rsidRDefault="00B0394B" w:rsidP="0057236F">
            <w:pPr>
              <w:pStyle w:val="ListParagraph"/>
              <w:numPr>
                <w:ilvl w:val="1"/>
                <w:numId w:val="9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1 </w:t>
            </w:r>
            <w:r w:rsidR="00F07C23"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8</w:t>
            </w: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98 477</w:t>
            </w:r>
            <w:r w:rsidR="00F07C23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doses administrées dont 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1</w:t>
            </w:r>
            <w:r w:rsidR="008D7249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 </w:t>
            </w:r>
            <w:r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2</w:t>
            </w:r>
            <w:r w:rsidR="008D7249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77 558</w:t>
            </w:r>
            <w:r w:rsidR="00F07C23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personnes vaccinés avec une dose et </w:t>
            </w: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6</w:t>
            </w:r>
            <w:r w:rsidR="008D7249"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2</w:t>
            </w:r>
            <w:r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0 </w:t>
            </w:r>
            <w:r w:rsidR="008D7249" w:rsidRPr="003E5094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919</w:t>
            </w:r>
            <w:r w:rsidR="00F07C23" w:rsidRPr="008D724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avec deux doses  </w:t>
            </w:r>
          </w:p>
          <w:p w14:paraId="78DD1240" w14:textId="4EFCC34B" w:rsidR="00F07C23" w:rsidRPr="00B0394B" w:rsidRDefault="00F07C23" w:rsidP="0057236F">
            <w:pPr>
              <w:pStyle w:val="ListParagraph"/>
              <w:numPr>
                <w:ilvl w:val="1"/>
                <w:numId w:val="9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B0394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Situation des MAPI : </w:t>
            </w:r>
            <w:r w:rsidR="00B0394B" w:rsidRPr="00B0394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1571</w:t>
            </w:r>
            <w:r w:rsidRPr="00B0394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MAPI non graves et 19 MAPI grave </w:t>
            </w:r>
          </w:p>
          <w:p w14:paraId="33CFD474" w14:textId="05966439" w:rsidR="00F07C23" w:rsidRDefault="00F07C23" w:rsidP="0057236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Plan d’accélération de la vaccination</w:t>
            </w:r>
            <w:r w:rsidR="008D7249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 </w:t>
            </w:r>
          </w:p>
          <w:p w14:paraId="5DC27EB8" w14:textId="0F9EAF03" w:rsidR="00F07C23" w:rsidRDefault="00D145BB" w:rsidP="00D145BB">
            <w:pPr>
              <w:ind w:left="720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D145BB">
              <w:rPr>
                <w:rFonts w:eastAsia="Times New Roman" w:cstheme="minorHAnsi"/>
                <w:bCs/>
                <w:color w:val="000000" w:themeColor="text1"/>
                <w:szCs w:val="24"/>
                <w:lang w:val="fr-CI" w:eastAsia="fr-FR"/>
              </w:rPr>
              <w:t xml:space="preserve">- objectif général : </w:t>
            </w:r>
            <w:r w:rsidRPr="00D145BB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Contribuer à la réduction de la mortalité et la morbidité notamment les formes graves liées à la Covid-19 à travers la vaccination complète de 20% de la population totale d’ici fin décembre 2021</w:t>
            </w:r>
          </w:p>
          <w:p w14:paraId="55ACBF56" w14:textId="6932EF63" w:rsidR="00D145BB" w:rsidRDefault="00D145BB" w:rsidP="00D145BB">
            <w:pPr>
              <w:ind w:left="720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- intervention dans toutes les régions du pays, selon une priorisation des régions tenant compte de la situation épidémiologique et de la couverture vaccinale.</w:t>
            </w:r>
          </w:p>
          <w:p w14:paraId="12A56EDC" w14:textId="12622A29" w:rsidR="00D145BB" w:rsidRDefault="00D145BB" w:rsidP="00796D77">
            <w:pPr>
              <w:ind w:left="720"/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- répartition de la cible à vacciner par région selon une répartition</w:t>
            </w:r>
            <w:r w:rsidR="00796D7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de la cible à vacciner au total </w:t>
            </w:r>
            <w:r w:rsidR="00796D77" w:rsidRPr="00796D77">
              <w:rPr>
                <w:rFonts w:cstheme="minorHAnsi"/>
                <w:b/>
                <w:bCs/>
                <w:color w:val="000000" w:themeColor="text1"/>
              </w:rPr>
              <w:t>2 894</w:t>
            </w:r>
            <w:r w:rsidR="00796D77">
              <w:rPr>
                <w:rFonts w:cstheme="minorHAnsi"/>
                <w:b/>
                <w:bCs/>
                <w:color w:val="000000" w:themeColor="text1"/>
              </w:rPr>
              <w:t> </w:t>
            </w:r>
            <w:r w:rsidR="00796D77" w:rsidRPr="00796D77">
              <w:rPr>
                <w:rFonts w:cstheme="minorHAnsi"/>
                <w:b/>
                <w:bCs/>
                <w:color w:val="000000" w:themeColor="text1"/>
              </w:rPr>
              <w:t>394</w:t>
            </w:r>
            <w:r w:rsidR="00796D77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796D77" w:rsidRPr="00796D77">
              <w:rPr>
                <w:rFonts w:cstheme="minorHAnsi"/>
                <w:bCs/>
                <w:color w:val="000000" w:themeColor="text1"/>
              </w:rPr>
              <w:t>p</w:t>
            </w:r>
            <w:r w:rsidR="00796D77" w:rsidRPr="00796D7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ersonnes</w:t>
            </w:r>
            <w:r w:rsidR="00796D7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pour atteindre l’objectif de couverture vaccinal de 20%.</w:t>
            </w:r>
          </w:p>
          <w:p w14:paraId="5AF82F0D" w14:textId="7997CFD2" w:rsidR="00796D77" w:rsidRDefault="00796D77" w:rsidP="00796D77">
            <w:pPr>
              <w:ind w:left="720"/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lastRenderedPageBreak/>
              <w:t>- détermination des 11 points d’accélération de la vaccination</w:t>
            </w:r>
          </w:p>
          <w:p w14:paraId="500C9AA2" w14:textId="355728B2" w:rsidR="00796D77" w:rsidRDefault="00796D77" w:rsidP="00796D77">
            <w:pPr>
              <w:ind w:left="720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- le budget estimatif total du plan d’accélération est de </w:t>
            </w:r>
            <w:r w:rsidRPr="00796D77">
              <w:rPr>
                <w:rFonts w:eastAsia="Times New Roman" w:cstheme="minorHAnsi"/>
                <w:b/>
                <w:bCs/>
                <w:color w:val="000000" w:themeColor="text1"/>
              </w:rPr>
              <w:t>2 592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 </w:t>
            </w:r>
            <w:r w:rsidRPr="00796D77">
              <w:rPr>
                <w:rFonts w:eastAsia="Times New Roman" w:cstheme="minorHAnsi"/>
                <w:b/>
                <w:bCs/>
                <w:color w:val="000000" w:themeColor="text1"/>
              </w:rPr>
              <w:t>004</w:t>
            </w:r>
            <w:r w:rsidRPr="00796D77">
              <w:rPr>
                <w:rFonts w:cstheme="minorHAnsi"/>
                <w:b/>
                <w:bCs/>
                <w:color w:val="000000" w:themeColor="text1"/>
              </w:rPr>
              <w:t xml:space="preserve"> USD</w:t>
            </w:r>
          </w:p>
          <w:p w14:paraId="3C4A30EA" w14:textId="08F68794" w:rsidR="00796D77" w:rsidRDefault="00796D77" w:rsidP="00796D77">
            <w:pPr>
              <w:ind w:left="720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- le positionnement des partenaires a été proposé selon les régions et districts et une sollicitation a été faite pour le positionnement de PTFs dans les régions et districts non pourvus (Labé, Mamou et Faranah, Conakry (02 DCS))</w:t>
            </w:r>
          </w:p>
          <w:p w14:paraId="0DD199CE" w14:textId="55F7FA60" w:rsidR="00796D77" w:rsidRPr="00796D77" w:rsidRDefault="00796D77" w:rsidP="00796D77">
            <w:pPr>
              <w:ind w:left="720"/>
              <w:jc w:val="both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- parmi les prochaines étapes de la vaccination, figurent les missions de sensibilisation et de supervision dans l’intérieur du pays </w:t>
            </w:r>
          </w:p>
          <w:p w14:paraId="122E82CF" w14:textId="77777777" w:rsidR="003F6692" w:rsidRPr="009F6B99" w:rsidRDefault="003F6692" w:rsidP="003F6692">
            <w:pPr>
              <w:pStyle w:val="ListParagraph"/>
              <w:ind w:left="1440"/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  <w:p w14:paraId="31EF2BC1" w14:textId="55BB37EB" w:rsidR="00F07C23" w:rsidRDefault="00F07C23" w:rsidP="0057236F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>Revue en cours</w:t>
            </w:r>
            <w:r w:rsidRPr="00FB25B7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  <w:t xml:space="preserve"> </w:t>
            </w:r>
          </w:p>
          <w:p w14:paraId="44FE5AA3" w14:textId="59E0760C" w:rsidR="00796D77" w:rsidRDefault="00796D77" w:rsidP="0057236F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Une présentation du niveau de préparation des revues à venir a été fate :</w:t>
            </w:r>
          </w:p>
          <w:p w14:paraId="5DC0953C" w14:textId="74B7A9EA" w:rsidR="00F07C23" w:rsidRPr="00B32EFE" w:rsidRDefault="00F07C23" w:rsidP="0057236F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B32EFE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Revue intra action de la vaccination (RIA)</w:t>
            </w:r>
            <w:r w:rsidR="00B12215" w:rsidRPr="00B32EFE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de la vaccination contre la Covid-19 planifiée à Coyah les 26 et 27 octobre 2021 dont le budget estimatif est de 17 000 USD</w:t>
            </w:r>
          </w:p>
          <w:p w14:paraId="353A6035" w14:textId="584497FE" w:rsidR="00B12215" w:rsidRPr="00B32EFE" w:rsidRDefault="00B12215" w:rsidP="0057236F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B32EFE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Revue Après Action de la Fièvre jaune à Koundara prévue du 27 au 29 octobre 2021 à Koundara dont le budget estimatif est de 20 000 USD</w:t>
            </w:r>
          </w:p>
          <w:p w14:paraId="341F3E18" w14:textId="0BAAEB04" w:rsidR="00F07C23" w:rsidRPr="00B32EFE" w:rsidRDefault="00B12215" w:rsidP="0057236F">
            <w:pPr>
              <w:pStyle w:val="ListParagraph"/>
              <w:numPr>
                <w:ilvl w:val="1"/>
                <w:numId w:val="8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B32EFE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Revue Après Action de la Fièvre Marburg et Ebola planifiée en Novembre 2021 à N’Zérékoré</w:t>
            </w:r>
          </w:p>
          <w:p w14:paraId="262EA965" w14:textId="4484C250" w:rsidR="003F6692" w:rsidRPr="003F6692" w:rsidRDefault="003F6692" w:rsidP="003F6692">
            <w:pPr>
              <w:pStyle w:val="ListParagraph"/>
              <w:ind w:left="1440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</w:tc>
      </w:tr>
      <w:tr w:rsidR="005C1E2E" w:rsidRPr="00EE3125" w14:paraId="08F3ABCC" w14:textId="77777777" w:rsidTr="003E5094">
        <w:tc>
          <w:tcPr>
            <w:tcW w:w="5351" w:type="dxa"/>
            <w:vAlign w:val="center"/>
          </w:tcPr>
          <w:p w14:paraId="51BE2301" w14:textId="6C0982D4" w:rsidR="005C1E2E" w:rsidRPr="005C1E2E" w:rsidRDefault="005C1E2E" w:rsidP="005C1E2E">
            <w:p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5C1E2E">
              <w:rPr>
                <w:rFonts w:ascii="Times New Roman" w:hAnsi="Times New Roman"/>
                <w:b/>
                <w:smallCaps/>
                <w:sz w:val="26"/>
                <w:szCs w:val="26"/>
              </w:rPr>
              <w:lastRenderedPageBreak/>
              <w:t>R</w:t>
            </w:r>
            <w:r w:rsidR="00F07C23" w:rsidRPr="005C1E2E">
              <w:rPr>
                <w:rFonts w:ascii="Times New Roman" w:hAnsi="Times New Roman"/>
                <w:b/>
                <w:smallCaps/>
                <w:sz w:val="26"/>
                <w:szCs w:val="26"/>
              </w:rPr>
              <w:t>ésumé des points de discussion</w:t>
            </w:r>
          </w:p>
        </w:tc>
        <w:tc>
          <w:tcPr>
            <w:tcW w:w="3209" w:type="dxa"/>
          </w:tcPr>
          <w:p w14:paraId="549FB616" w14:textId="4B6847E6" w:rsidR="005C1E2E" w:rsidRPr="003557F2" w:rsidRDefault="005C1E2E" w:rsidP="005C1E2E"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Points d</w:t>
            </w:r>
            <w:r w:rsidRPr="00D31EDA">
              <w:rPr>
                <w:rFonts w:ascii="Times New Roman" w:hAnsi="Times New Roman"/>
                <w:b/>
                <w:smallCaps/>
                <w:sz w:val="26"/>
                <w:szCs w:val="26"/>
              </w:rPr>
              <w:t>’action</w:t>
            </w: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 / Recommandations</w:t>
            </w:r>
          </w:p>
        </w:tc>
        <w:tc>
          <w:tcPr>
            <w:tcW w:w="2101" w:type="dxa"/>
          </w:tcPr>
          <w:p w14:paraId="0651BE06" w14:textId="7A9B10DA" w:rsidR="005C1E2E" w:rsidRPr="003557F2" w:rsidRDefault="005C1E2E" w:rsidP="005C1E2E">
            <w:pPr>
              <w:jc w:val="both"/>
              <w:rPr>
                <w:b/>
                <w:bCs/>
                <w:color w:val="FF0000"/>
              </w:rPr>
            </w:pPr>
            <w:r w:rsidRPr="00D31EDA">
              <w:rPr>
                <w:rFonts w:ascii="Times New Roman" w:hAnsi="Times New Roman"/>
                <w:b/>
                <w:smallCaps/>
                <w:sz w:val="26"/>
                <w:szCs w:val="26"/>
              </w:rPr>
              <w:t>Responsables</w:t>
            </w:r>
          </w:p>
        </w:tc>
      </w:tr>
      <w:tr w:rsidR="005C1E2E" w:rsidRPr="00EE3125" w14:paraId="6053E8B5" w14:textId="77777777" w:rsidTr="003E5094">
        <w:tc>
          <w:tcPr>
            <w:tcW w:w="5351" w:type="dxa"/>
            <w:vAlign w:val="center"/>
          </w:tcPr>
          <w:p w14:paraId="01587A07" w14:textId="6EFB011E" w:rsidR="005C1E2E" w:rsidRPr="00EA4739" w:rsidRDefault="00EA4739" w:rsidP="00EA4739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Informations supplémentaires données sur d’autres maladies à potentiel épidémique : I</w:t>
            </w:r>
            <w:r w:rsidR="00E924CF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nterruption de la fièvre à virus Marburg à la mi- septembre 2021 et les 90 jours de la fin d’épidémie Ebola</w:t>
            </w:r>
          </w:p>
        </w:tc>
        <w:tc>
          <w:tcPr>
            <w:tcW w:w="3209" w:type="dxa"/>
          </w:tcPr>
          <w:p w14:paraId="3F2A16C5" w14:textId="533F1B59" w:rsidR="005C1E2E" w:rsidRPr="00F230EC" w:rsidRDefault="00B12215" w:rsidP="00F230E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F230EC">
              <w:rPr>
                <w:bCs/>
              </w:rPr>
              <w:t>Diligenter toutes les voies et moyens pour que la saisie des données supporte le plan d’accélération</w:t>
            </w:r>
          </w:p>
        </w:tc>
        <w:tc>
          <w:tcPr>
            <w:tcW w:w="2101" w:type="dxa"/>
          </w:tcPr>
          <w:p w14:paraId="3A4E13A1" w14:textId="55EA4A43" w:rsidR="005C1E2E" w:rsidRPr="00D25998" w:rsidRDefault="0060118F" w:rsidP="005C1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ANSS</w:t>
            </w:r>
          </w:p>
        </w:tc>
      </w:tr>
      <w:tr w:rsidR="00E924CF" w:rsidRPr="00EE3125" w14:paraId="23A41B55" w14:textId="77777777" w:rsidTr="003E5094">
        <w:tc>
          <w:tcPr>
            <w:tcW w:w="5351" w:type="dxa"/>
            <w:vAlign w:val="center"/>
          </w:tcPr>
          <w:p w14:paraId="715CEA5B" w14:textId="29357600" w:rsidR="00E924CF" w:rsidRPr="00EA4739" w:rsidRDefault="00EA4739" w:rsidP="00EA4739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Rappel de la sollicitation (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SOS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) de certains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centres de santé pour la riposte 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contre l’épidémie de 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rougeole, 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gestion de la situation 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actuelle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du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</w:t>
            </w: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paludisme 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(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pic période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)</w:t>
            </w:r>
            <w:r w:rsidR="00B12215"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, problème de validation des données (amélioration de la gestion des données)</w:t>
            </w:r>
          </w:p>
        </w:tc>
        <w:tc>
          <w:tcPr>
            <w:tcW w:w="3209" w:type="dxa"/>
          </w:tcPr>
          <w:p w14:paraId="1497A530" w14:textId="627AD597" w:rsidR="00E924CF" w:rsidRPr="00277C35" w:rsidRDefault="00277C35" w:rsidP="00277C35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277C35">
              <w:rPr>
                <w:bCs/>
              </w:rPr>
              <w:t>Suivi de la Riposte contre la Rougeole</w:t>
            </w:r>
          </w:p>
        </w:tc>
        <w:tc>
          <w:tcPr>
            <w:tcW w:w="2101" w:type="dxa"/>
          </w:tcPr>
          <w:p w14:paraId="18A8ED4B" w14:textId="3BF95580" w:rsidR="00E924CF" w:rsidRPr="00D25998" w:rsidRDefault="00277C35" w:rsidP="005C1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ANSS</w:t>
            </w:r>
          </w:p>
        </w:tc>
      </w:tr>
      <w:tr w:rsidR="00241A65" w:rsidRPr="00A15A87" w14:paraId="5E3CBE9C" w14:textId="77777777" w:rsidTr="003E5094">
        <w:tc>
          <w:tcPr>
            <w:tcW w:w="5351" w:type="dxa"/>
            <w:vAlign w:val="center"/>
          </w:tcPr>
          <w:p w14:paraId="5BC437E4" w14:textId="77777777" w:rsidR="00241A65" w:rsidRPr="00EA4739" w:rsidRDefault="00241A65" w:rsidP="009A22BA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Etat des financement additionnel tels que </w:t>
            </w:r>
            <w:proofErr w:type="spellStart"/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Gavi</w:t>
            </w:r>
            <w:proofErr w:type="spellEnd"/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, Fonds Mondial, Banque Mondiale : certain financement non disponible (BM) la Banque observe une pause au vu de la situation sociopolitique, toutefois le maintien des engagements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d’</w:t>
            </w: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avant le 5 septembre tient toujours</w:t>
            </w:r>
          </w:p>
        </w:tc>
        <w:tc>
          <w:tcPr>
            <w:tcW w:w="3209" w:type="dxa"/>
          </w:tcPr>
          <w:p w14:paraId="17913DC9" w14:textId="7FF27847" w:rsidR="00241A65" w:rsidRDefault="00416091" w:rsidP="005B3ED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5B3ED0">
              <w:rPr>
                <w:bCs/>
              </w:rPr>
              <w:t>Intégrer dans les couts unitaires les couts des vaccins</w:t>
            </w:r>
          </w:p>
          <w:p w14:paraId="13FD2645" w14:textId="6F66E6B8" w:rsidR="005B3ED0" w:rsidRPr="005B3ED0" w:rsidRDefault="005B3ED0" w:rsidP="005B3ED0">
            <w:pPr>
              <w:pStyle w:val="ListParagraph"/>
              <w:numPr>
                <w:ilvl w:val="0"/>
                <w:numId w:val="1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Suivi de la levée de la suspension de la Banque mondiale </w:t>
            </w:r>
          </w:p>
          <w:p w14:paraId="11A10F1B" w14:textId="79E9C0AA" w:rsidR="00416091" w:rsidRPr="00EA4739" w:rsidRDefault="00416091" w:rsidP="009A22BA">
            <w:pPr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2163BCD7" w14:textId="77777777" w:rsidR="00241A65" w:rsidRPr="00A15A87" w:rsidRDefault="005B3ED0" w:rsidP="009A22BA">
            <w:pPr>
              <w:jc w:val="both"/>
              <w:rPr>
                <w:b/>
                <w:bCs/>
                <w:lang w:val="en-US"/>
              </w:rPr>
            </w:pPr>
            <w:r w:rsidRPr="00A15A87">
              <w:rPr>
                <w:b/>
                <w:bCs/>
                <w:lang w:val="en-US"/>
              </w:rPr>
              <w:t xml:space="preserve">Dr KONAN </w:t>
            </w:r>
          </w:p>
          <w:p w14:paraId="454B3FF4" w14:textId="77777777" w:rsidR="005B3ED0" w:rsidRPr="00A15A87" w:rsidRDefault="005B3ED0" w:rsidP="009A22BA">
            <w:pPr>
              <w:jc w:val="both"/>
              <w:rPr>
                <w:b/>
                <w:bCs/>
                <w:lang w:val="en-US"/>
              </w:rPr>
            </w:pPr>
          </w:p>
          <w:p w14:paraId="6ACD3A26" w14:textId="5D7F5697" w:rsidR="005B3ED0" w:rsidRPr="00A15A87" w:rsidRDefault="005B3ED0" w:rsidP="009A22BA">
            <w:pPr>
              <w:jc w:val="both"/>
              <w:rPr>
                <w:b/>
                <w:bCs/>
                <w:lang w:val="en-US"/>
              </w:rPr>
            </w:pPr>
            <w:r w:rsidRPr="00A15A87">
              <w:rPr>
                <w:b/>
                <w:bCs/>
                <w:lang w:val="en-US"/>
              </w:rPr>
              <w:t>DR KONE ANSSS</w:t>
            </w:r>
          </w:p>
        </w:tc>
      </w:tr>
      <w:tr w:rsidR="00E924CF" w:rsidRPr="00EE3125" w14:paraId="6FC6DD55" w14:textId="77777777" w:rsidTr="003E5094">
        <w:tc>
          <w:tcPr>
            <w:tcW w:w="5351" w:type="dxa"/>
            <w:vAlign w:val="center"/>
          </w:tcPr>
          <w:p w14:paraId="162C89F5" w14:textId="77777777" w:rsidR="009755D8" w:rsidRDefault="007B1A69" w:rsidP="001608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Caractère urgent de la vaccination</w:t>
            </w:r>
            <w:r w:rsidR="00241A65"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contre la Covid-19</w:t>
            </w:r>
            <w:r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d’où un appel au positionnement diligent des PTF sur le plan d’accélération </w:t>
            </w:r>
            <w:r w:rsidR="00241A65"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d</w:t>
            </w:r>
            <w:r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e la vaccination.</w:t>
            </w:r>
          </w:p>
          <w:p w14:paraId="6252AC6D" w14:textId="77777777" w:rsidR="009755D8" w:rsidRDefault="00B12215" w:rsidP="001608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Réajustement au niveau du budget et financement en tenant compte de certaines annonces des partenaires</w:t>
            </w:r>
          </w:p>
          <w:p w14:paraId="5AE42A5B" w14:textId="77777777" w:rsidR="0066454B" w:rsidRDefault="0066454B" w:rsidP="001608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Positionnement de la CRF dans la région de Faranah avec une possibilité de positionnement à Conakry ; USAID à travers JHPIEGO dans les </w:t>
            </w:r>
            <w:r w:rsidR="00241A65"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régions</w:t>
            </w:r>
            <w:r w:rsidRPr="009755D8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de BOKE et KINDIA, OMS dans 3 DCS de CONAKRY, UNICEF et ALIMA à NZEREKORE. La possibilité du positionnement de la BM dans les régions non appuyées</w:t>
            </w:r>
          </w:p>
          <w:p w14:paraId="310C3E92" w14:textId="77777777" w:rsidR="009755D8" w:rsidRDefault="009755D8" w:rsidP="001608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Précision sur le financement du Fond Mondial destiné à supporter la continuité des services en cette période de Covid. Les ASC peuvent être utiliser pour accompagner la vaccination</w:t>
            </w:r>
            <w:r w:rsidR="00E5747A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par des approches intégrées</w:t>
            </w:r>
          </w:p>
          <w:p w14:paraId="30C93510" w14:textId="113388DA" w:rsidR="00E5747A" w:rsidRPr="009755D8" w:rsidRDefault="00E5747A" w:rsidP="0016083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lastRenderedPageBreak/>
              <w:t xml:space="preserve">USAID a informé les partenaire de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la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l’appui mise à disposition pou la continuité des vols UNHAS jusqu’en février 2022</w:t>
            </w:r>
          </w:p>
        </w:tc>
        <w:tc>
          <w:tcPr>
            <w:tcW w:w="3209" w:type="dxa"/>
          </w:tcPr>
          <w:p w14:paraId="32D65F09" w14:textId="77777777" w:rsidR="00E924CF" w:rsidRPr="00E5747A" w:rsidRDefault="00230D29" w:rsidP="005B3ED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E5747A">
              <w:rPr>
                <w:bCs/>
              </w:rPr>
              <w:lastRenderedPageBreak/>
              <w:t>Partager la présentation sur le plan d’accélération avec la minute de cette réunio</w:t>
            </w:r>
            <w:r w:rsidR="00416091" w:rsidRPr="00E5747A">
              <w:rPr>
                <w:bCs/>
              </w:rPr>
              <w:t>n</w:t>
            </w:r>
          </w:p>
          <w:p w14:paraId="18B55390" w14:textId="77777777" w:rsidR="00416091" w:rsidRDefault="00416091" w:rsidP="005B3ED0">
            <w:pPr>
              <w:rPr>
                <w:bCs/>
              </w:rPr>
            </w:pPr>
          </w:p>
          <w:p w14:paraId="127E70F0" w14:textId="3837678E" w:rsidR="00416091" w:rsidRPr="00E5747A" w:rsidRDefault="00072C4E" w:rsidP="005B3ED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Suivi de l’</w:t>
            </w:r>
            <w:r w:rsidR="00416091" w:rsidRPr="00E5747A">
              <w:rPr>
                <w:bCs/>
              </w:rPr>
              <w:t>Engagement des partenaires ayant financé la phase 1</w:t>
            </w:r>
            <w:r>
              <w:rPr>
                <w:bCs/>
              </w:rPr>
              <w:t xml:space="preserve"> à financer la phase 2</w:t>
            </w:r>
            <w:r w:rsidR="00416091" w:rsidRPr="00E5747A">
              <w:rPr>
                <w:bCs/>
              </w:rPr>
              <w:t xml:space="preserve"> en attendant que </w:t>
            </w:r>
            <w:r w:rsidR="009755D8" w:rsidRPr="00E5747A">
              <w:rPr>
                <w:bCs/>
              </w:rPr>
              <w:t>les financement mobilisés auprès de la Banque mondiales ne soient effectifs</w:t>
            </w:r>
          </w:p>
          <w:p w14:paraId="255342EB" w14:textId="77777777" w:rsidR="009755D8" w:rsidRDefault="009755D8" w:rsidP="005B3ED0">
            <w:pPr>
              <w:rPr>
                <w:bCs/>
              </w:rPr>
            </w:pPr>
          </w:p>
          <w:p w14:paraId="2C5537C5" w14:textId="35329557" w:rsidR="009755D8" w:rsidRDefault="00072C4E" w:rsidP="005B3ED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Suivi </w:t>
            </w:r>
            <w:r w:rsidR="009755D8" w:rsidRPr="00E5747A">
              <w:rPr>
                <w:bCs/>
              </w:rPr>
              <w:t>Plaidoyer en ciblant l’équité soit pris en compte dans les stratégies (population à risque, Migrants, populations zones minière)</w:t>
            </w:r>
          </w:p>
          <w:p w14:paraId="0BA8E265" w14:textId="77777777" w:rsidR="00E5747A" w:rsidRPr="00E5747A" w:rsidRDefault="00E5747A" w:rsidP="005B3ED0">
            <w:pPr>
              <w:pStyle w:val="ListParagraph"/>
              <w:rPr>
                <w:bCs/>
              </w:rPr>
            </w:pPr>
          </w:p>
          <w:p w14:paraId="4CF26F69" w14:textId="01380B7E" w:rsidR="00E5747A" w:rsidRPr="00E5747A" w:rsidRDefault="00E5747A" w:rsidP="005B3ED0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Partager le budget de la phase 2 pour un positionnement des partenaires</w:t>
            </w:r>
          </w:p>
          <w:p w14:paraId="32057C4F" w14:textId="48742FA9" w:rsidR="00E5747A" w:rsidRPr="00EA4739" w:rsidRDefault="00E5747A" w:rsidP="005B3ED0">
            <w:pPr>
              <w:rPr>
                <w:bCs/>
              </w:rPr>
            </w:pPr>
          </w:p>
        </w:tc>
        <w:tc>
          <w:tcPr>
            <w:tcW w:w="2101" w:type="dxa"/>
          </w:tcPr>
          <w:p w14:paraId="177E9FD8" w14:textId="3C7F48D9" w:rsidR="00E924CF" w:rsidRPr="00D25998" w:rsidRDefault="00230D29" w:rsidP="005C1E2E">
            <w:pPr>
              <w:jc w:val="both"/>
              <w:rPr>
                <w:b/>
                <w:bCs/>
              </w:rPr>
            </w:pPr>
            <w:r w:rsidRPr="00D25998">
              <w:rPr>
                <w:b/>
                <w:bCs/>
              </w:rPr>
              <w:lastRenderedPageBreak/>
              <w:t>Dr KONAN</w:t>
            </w:r>
          </w:p>
        </w:tc>
      </w:tr>
      <w:tr w:rsidR="007B1A69" w:rsidRPr="00EE3125" w14:paraId="289B01F1" w14:textId="77777777" w:rsidTr="003E5094">
        <w:tc>
          <w:tcPr>
            <w:tcW w:w="5351" w:type="dxa"/>
            <w:vAlign w:val="center"/>
          </w:tcPr>
          <w:p w14:paraId="182A9D02" w14:textId="1A838EE5" w:rsidR="007B1A69" w:rsidRPr="00EA4739" w:rsidRDefault="007B1A69" w:rsidP="00F07C23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Innover dans les approches ciblant les personnes à mobilité réduite</w:t>
            </w:r>
          </w:p>
        </w:tc>
        <w:tc>
          <w:tcPr>
            <w:tcW w:w="3209" w:type="dxa"/>
          </w:tcPr>
          <w:p w14:paraId="35D61352" w14:textId="79488471" w:rsidR="007B1A69" w:rsidRPr="00072C4E" w:rsidRDefault="00230D29" w:rsidP="00072C4E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072C4E">
              <w:rPr>
                <w:bCs/>
              </w:rPr>
              <w:t>Renforcer l’attention aux populations les plus vulnérables</w:t>
            </w:r>
            <w:r w:rsidR="00241A65" w:rsidRPr="00072C4E">
              <w:rPr>
                <w:bCs/>
              </w:rPr>
              <w:t xml:space="preserve"> à travers des stratégies de vaccination adaptées</w:t>
            </w:r>
          </w:p>
        </w:tc>
        <w:tc>
          <w:tcPr>
            <w:tcW w:w="2101" w:type="dxa"/>
          </w:tcPr>
          <w:p w14:paraId="70AFF01A" w14:textId="5D8ED3E2" w:rsidR="007B1A69" w:rsidRPr="00D25998" w:rsidRDefault="00241A65" w:rsidP="005C1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ANSS</w:t>
            </w:r>
          </w:p>
        </w:tc>
      </w:tr>
      <w:tr w:rsidR="007B1A69" w:rsidRPr="00EE3125" w14:paraId="00CBABEB" w14:textId="77777777" w:rsidTr="003E5094">
        <w:tc>
          <w:tcPr>
            <w:tcW w:w="5351" w:type="dxa"/>
            <w:vAlign w:val="center"/>
          </w:tcPr>
          <w:p w14:paraId="581D97A4" w14:textId="77777777" w:rsidR="00241A65" w:rsidRDefault="00241A65" w:rsidP="00F07C23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Mettre à contribution toutes les autorités locales (journée locale et bonne sensibilisation de la communication) et saluer le travail des ONG </w:t>
            </w:r>
          </w:p>
          <w:p w14:paraId="127CEF7D" w14:textId="6D97156B" w:rsidR="007B1A69" w:rsidRPr="00EA4739" w:rsidRDefault="007B1A69" w:rsidP="00F07C23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EA4739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Communiquer sur les MAPI et le paquet d’engagement communautaire avec des message clé, intégration à la base de tous les agents de santé communautaire</w:t>
            </w:r>
          </w:p>
        </w:tc>
        <w:tc>
          <w:tcPr>
            <w:tcW w:w="3209" w:type="dxa"/>
          </w:tcPr>
          <w:p w14:paraId="5DFC3E96" w14:textId="5406448F" w:rsidR="007B1A69" w:rsidRPr="00072C4E" w:rsidRDefault="0060118F" w:rsidP="00072C4E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072C4E">
              <w:rPr>
                <w:bCs/>
              </w:rPr>
              <w:t>Adapter</w:t>
            </w:r>
            <w:r w:rsidR="007B1A69" w:rsidRPr="00072C4E">
              <w:rPr>
                <w:bCs/>
              </w:rPr>
              <w:t xml:space="preserve"> la mise en œuvre du plan d’accélération en tenant compte des agents de santé communautaire</w:t>
            </w:r>
          </w:p>
        </w:tc>
        <w:tc>
          <w:tcPr>
            <w:tcW w:w="2101" w:type="dxa"/>
          </w:tcPr>
          <w:p w14:paraId="30F9F8D4" w14:textId="048901F5" w:rsidR="007B1A69" w:rsidRPr="00C37AA4" w:rsidRDefault="0060118F" w:rsidP="005C1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ANSS</w:t>
            </w:r>
          </w:p>
        </w:tc>
      </w:tr>
      <w:tr w:rsidR="00D25998" w:rsidRPr="00EE3125" w14:paraId="456CB75A" w14:textId="77777777" w:rsidTr="003E5094">
        <w:tc>
          <w:tcPr>
            <w:tcW w:w="5351" w:type="dxa"/>
            <w:vAlign w:val="center"/>
          </w:tcPr>
          <w:p w14:paraId="44DDE2D5" w14:textId="70873061" w:rsidR="00D25998" w:rsidRDefault="00072C4E" w:rsidP="00F07C23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Revues intra action pour la vaccination</w:t>
            </w:r>
          </w:p>
          <w:p w14:paraId="5013E2A4" w14:textId="24141545" w:rsidR="00072C4E" w:rsidRPr="00EA4739" w:rsidRDefault="00072C4E" w:rsidP="00F07C23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Revues Apres action Fièvre Jaune / Epidémies Ebola Marburg</w:t>
            </w:r>
          </w:p>
        </w:tc>
        <w:tc>
          <w:tcPr>
            <w:tcW w:w="3209" w:type="dxa"/>
          </w:tcPr>
          <w:p w14:paraId="25EA7EE1" w14:textId="45C6DF41" w:rsidR="00D25998" w:rsidRPr="00072C4E" w:rsidRDefault="00D25998" w:rsidP="00072C4E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072C4E">
              <w:rPr>
                <w:bCs/>
              </w:rPr>
              <w:t>Partager une invitation pour la RIA vaccination et autres revues à tous les PTFs qui le souhaitent</w:t>
            </w:r>
          </w:p>
        </w:tc>
        <w:tc>
          <w:tcPr>
            <w:tcW w:w="2101" w:type="dxa"/>
          </w:tcPr>
          <w:p w14:paraId="3012344A" w14:textId="532DA910" w:rsidR="00D25998" w:rsidRPr="00C37AA4" w:rsidRDefault="0060118F" w:rsidP="005C1E2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OMS/ANSS</w:t>
            </w:r>
          </w:p>
        </w:tc>
      </w:tr>
      <w:tr w:rsidR="00CA0F06" w:rsidRPr="00CA0F06" w14:paraId="78F7537C" w14:textId="77777777" w:rsidTr="00241A65">
        <w:tc>
          <w:tcPr>
            <w:tcW w:w="10661" w:type="dxa"/>
            <w:gridSpan w:val="3"/>
            <w:vAlign w:val="center"/>
          </w:tcPr>
          <w:p w14:paraId="61FE6F0E" w14:textId="5996C833" w:rsidR="00B32EFE" w:rsidRPr="00CA0F06" w:rsidRDefault="002105EB" w:rsidP="0057236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color w:val="0070C0"/>
              </w:rPr>
            </w:pPr>
            <w:r w:rsidRPr="00CA0F06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Présentation sur Collecte des données de la cartographie des ressources et des dépenses de santé en République de Guinée. (Dr AMARA DRAME et Dr Diakité Souleymane BSD)</w:t>
            </w:r>
          </w:p>
        </w:tc>
      </w:tr>
      <w:tr w:rsidR="00B32EFE" w:rsidRPr="00DD4ADA" w14:paraId="4CF5C464" w14:textId="77777777" w:rsidTr="00241A65">
        <w:tc>
          <w:tcPr>
            <w:tcW w:w="10661" w:type="dxa"/>
            <w:gridSpan w:val="3"/>
            <w:vAlign w:val="center"/>
          </w:tcPr>
          <w:p w14:paraId="2DEE6702" w14:textId="340EE64B" w:rsidR="00B32EFE" w:rsidRPr="005F7B51" w:rsidRDefault="00990371" w:rsidP="004E4763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5F7B51">
              <w:rPr>
                <w:rFonts w:ascii="Calibri" w:eastAsia="Calibri" w:hAnsi="Calibri" w:cs="Times New Roman"/>
                <w:bCs/>
              </w:rPr>
              <w:t xml:space="preserve">Les </w:t>
            </w:r>
            <w:r w:rsidR="00E50375" w:rsidRPr="005F7B51">
              <w:rPr>
                <w:rFonts w:ascii="Calibri" w:eastAsia="Calibri" w:hAnsi="Calibri" w:cs="Times New Roman"/>
                <w:bCs/>
              </w:rPr>
              <w:t>objectifs pour la mise à jour de la cartographie des ressources du secteur de la santé en Guinée</w:t>
            </w:r>
            <w:r w:rsidRPr="005F7B51">
              <w:rPr>
                <w:rFonts w:ascii="Calibri" w:eastAsia="Calibri" w:hAnsi="Calibri" w:cs="Times New Roman"/>
                <w:bCs/>
              </w:rPr>
              <w:t xml:space="preserve"> sont :</w:t>
            </w:r>
          </w:p>
          <w:p w14:paraId="5BFF5B86" w14:textId="77777777" w:rsidR="00BD1061" w:rsidRPr="005F7B51" w:rsidRDefault="0057236F" w:rsidP="0057236F">
            <w:pPr>
              <w:pStyle w:val="ListParagraph"/>
              <w:numPr>
                <w:ilvl w:val="0"/>
                <w:numId w:val="12"/>
              </w:numPr>
              <w:ind w:firstLine="340"/>
              <w:jc w:val="both"/>
              <w:rPr>
                <w:rFonts w:ascii="Calibri" w:eastAsia="Calibri" w:hAnsi="Calibri" w:cs="Times New Roman"/>
              </w:rPr>
            </w:pPr>
            <w:r w:rsidRPr="005F7B51">
              <w:rPr>
                <w:rFonts w:ascii="Calibri" w:eastAsia="Calibri" w:hAnsi="Calibri" w:cs="Times New Roman"/>
              </w:rPr>
              <w:t xml:space="preserve">Evaluer le degré d’alignement des ressources domestiques et extérieures aux priorités nationales </w:t>
            </w:r>
          </w:p>
          <w:p w14:paraId="6E6715DE" w14:textId="77777777" w:rsidR="00BD1061" w:rsidRPr="0031305D" w:rsidRDefault="0057236F" w:rsidP="0057236F">
            <w:pPr>
              <w:pStyle w:val="ListParagraph"/>
              <w:numPr>
                <w:ilvl w:val="0"/>
                <w:numId w:val="12"/>
              </w:numPr>
              <w:ind w:firstLine="340"/>
              <w:jc w:val="both"/>
              <w:rPr>
                <w:rFonts w:ascii="Calibri" w:eastAsia="Calibri" w:hAnsi="Calibri" w:cs="Times New Roman"/>
              </w:rPr>
            </w:pPr>
            <w:r w:rsidRPr="005F7B51">
              <w:rPr>
                <w:rFonts w:ascii="Calibri" w:eastAsia="Calibri" w:hAnsi="Calibri" w:cs="Times New Roman"/>
              </w:rPr>
              <w:t>Estimer</w:t>
            </w:r>
            <w:r w:rsidRPr="0031305D">
              <w:rPr>
                <w:rFonts w:ascii="Calibri" w:eastAsia="Calibri" w:hAnsi="Calibri" w:cs="Times New Roman"/>
              </w:rPr>
              <w:t xml:space="preserve"> l’écart de financement (mise en perspective avec le coût estimé des priorités nationales)</w:t>
            </w:r>
          </w:p>
          <w:p w14:paraId="03BEDEF6" w14:textId="77777777" w:rsidR="00BD1061" w:rsidRPr="0031305D" w:rsidRDefault="0057236F" w:rsidP="0057236F">
            <w:pPr>
              <w:pStyle w:val="ListParagraph"/>
              <w:numPr>
                <w:ilvl w:val="0"/>
                <w:numId w:val="12"/>
              </w:numPr>
              <w:ind w:firstLine="340"/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Evaluer la concordance entre les engagements budgétaires et les dépenses réelles</w:t>
            </w:r>
          </w:p>
          <w:p w14:paraId="4C7C39D7" w14:textId="65C5C29F" w:rsidR="00BD1061" w:rsidRPr="0031305D" w:rsidRDefault="0057236F" w:rsidP="0057236F">
            <w:pPr>
              <w:pStyle w:val="ListParagraph"/>
              <w:numPr>
                <w:ilvl w:val="0"/>
                <w:numId w:val="12"/>
              </w:numPr>
              <w:ind w:firstLine="340"/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 xml:space="preserve">Evaluer le niveau d’équité en termes de financement infranational </w:t>
            </w:r>
          </w:p>
          <w:p w14:paraId="20748728" w14:textId="2DD42E80" w:rsidR="004E4763" w:rsidRPr="0031305D" w:rsidRDefault="00A6766E" w:rsidP="004E4763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 xml:space="preserve">Les champs de cette cartographie ont été </w:t>
            </w:r>
            <w:r w:rsidR="0002620C" w:rsidRPr="0031305D">
              <w:rPr>
                <w:rFonts w:ascii="Calibri" w:eastAsia="Calibri" w:hAnsi="Calibri" w:cs="Times New Roman"/>
              </w:rPr>
              <w:t>précisés</w:t>
            </w:r>
          </w:p>
          <w:p w14:paraId="741A838C" w14:textId="2FF3C181" w:rsidR="00BD1061" w:rsidRPr="0031305D" w:rsidRDefault="0057236F" w:rsidP="0057236F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Ressources domestiques et externes</w:t>
            </w:r>
          </w:p>
          <w:p w14:paraId="38357717" w14:textId="690DC8BE" w:rsidR="00BD1061" w:rsidRPr="0031305D" w:rsidRDefault="0057236F" w:rsidP="0057236F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Engagements budgétaires et dépenses réelles</w:t>
            </w:r>
          </w:p>
          <w:p w14:paraId="50F4971F" w14:textId="7B7C8CAC" w:rsidR="0002620C" w:rsidRPr="0031305D" w:rsidRDefault="0057236F" w:rsidP="0057236F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 xml:space="preserve">Période concernée par la </w:t>
            </w:r>
            <w:r w:rsidR="005F7B51" w:rsidRPr="0031305D">
              <w:rPr>
                <w:rFonts w:ascii="Calibri" w:eastAsia="Calibri" w:hAnsi="Calibri" w:cs="Times New Roman"/>
              </w:rPr>
              <w:t>cartographie :</w:t>
            </w:r>
            <w:r w:rsidRPr="0031305D">
              <w:rPr>
                <w:rFonts w:ascii="Calibri" w:eastAsia="Calibri" w:hAnsi="Calibri" w:cs="Times New Roman"/>
              </w:rPr>
              <w:t xml:space="preserve">  Dépenses exécutées (2020</w:t>
            </w:r>
            <w:r w:rsidR="005F7B51" w:rsidRPr="0031305D">
              <w:rPr>
                <w:rFonts w:ascii="Calibri" w:eastAsia="Calibri" w:hAnsi="Calibri" w:cs="Times New Roman"/>
              </w:rPr>
              <w:t>), Budgets</w:t>
            </w:r>
            <w:r w:rsidRPr="0031305D">
              <w:rPr>
                <w:rFonts w:ascii="Calibri" w:eastAsia="Calibri" w:hAnsi="Calibri" w:cs="Times New Roman"/>
              </w:rPr>
              <w:t xml:space="preserve"> prévisionnels (2020-2024)</w:t>
            </w:r>
          </w:p>
          <w:p w14:paraId="0CF830DF" w14:textId="7BB05334" w:rsidR="00BD1061" w:rsidRPr="0031305D" w:rsidRDefault="0057236F" w:rsidP="0057236F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Analyse infranationale (au niveau des régions)</w:t>
            </w:r>
          </w:p>
          <w:p w14:paraId="43197127" w14:textId="27BB0DF1" w:rsidR="004E4763" w:rsidRPr="0031305D" w:rsidRDefault="00A6766E" w:rsidP="004E4763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Les supports de collecte des données ont fait l’objet d’un pré-test et ont été validés au cours d’une réunion du Groupe financement de la santé</w:t>
            </w:r>
          </w:p>
          <w:p w14:paraId="4E12B09D" w14:textId="117300AA" w:rsidR="00A6766E" w:rsidRPr="0031305D" w:rsidRDefault="00A6766E" w:rsidP="004E4763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Les prochaines étapes sont :</w:t>
            </w:r>
          </w:p>
          <w:p w14:paraId="2A74070F" w14:textId="5EFCBF4D" w:rsidR="00BD1061" w:rsidRPr="0031305D" w:rsidRDefault="00A6766E" w:rsidP="0002620C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31305D">
              <w:rPr>
                <w:rFonts w:ascii="Calibri" w:eastAsia="Calibri" w:hAnsi="Calibri" w:cs="Times New Roman"/>
              </w:rPr>
              <w:t>Septembre</w:t>
            </w:r>
            <w:r w:rsidR="0002620C" w:rsidRPr="0031305D">
              <w:rPr>
                <w:rFonts w:ascii="Calibri" w:eastAsia="Calibri" w:hAnsi="Calibri" w:cs="Times New Roman"/>
              </w:rPr>
              <w:t xml:space="preserve"> : (i) </w:t>
            </w:r>
            <w:proofErr w:type="spellStart"/>
            <w:r w:rsidR="0002620C" w:rsidRPr="00485672">
              <w:rPr>
                <w:rFonts w:ascii="Calibri" w:eastAsia="Calibri" w:hAnsi="Calibri" w:cs="Times New Roman"/>
              </w:rPr>
              <w:t>Reunion</w:t>
            </w:r>
            <w:proofErr w:type="spellEnd"/>
            <w:r w:rsidR="0057236F" w:rsidRPr="00485672">
              <w:rPr>
                <w:rFonts w:ascii="Calibri" w:eastAsia="Calibri" w:hAnsi="Calibri" w:cs="Times New Roman"/>
              </w:rPr>
              <w:t xml:space="preserve"> de validation des outils (24/9</w:t>
            </w:r>
            <w:r w:rsidR="0002620C" w:rsidRPr="00485672">
              <w:rPr>
                <w:rFonts w:ascii="Calibri" w:eastAsia="Calibri" w:hAnsi="Calibri" w:cs="Times New Roman"/>
              </w:rPr>
              <w:t xml:space="preserve">) ; (ii) </w:t>
            </w:r>
            <w:r w:rsidR="0057236F" w:rsidRPr="00485672">
              <w:rPr>
                <w:rFonts w:ascii="Calibri" w:eastAsia="Calibri" w:hAnsi="Calibri" w:cs="Times New Roman"/>
              </w:rPr>
              <w:t>Lancement officiel de la phase de collecte des données (29/09</w:t>
            </w:r>
            <w:r w:rsidR="0002620C" w:rsidRPr="00485672">
              <w:rPr>
                <w:rFonts w:ascii="Calibri" w:eastAsia="Calibri" w:hAnsi="Calibri" w:cs="Times New Roman"/>
              </w:rPr>
              <w:t xml:space="preserve">) ; (iii) </w:t>
            </w:r>
            <w:r w:rsidR="0057236F" w:rsidRPr="0031305D">
              <w:rPr>
                <w:rFonts w:ascii="Calibri" w:eastAsia="Calibri" w:hAnsi="Calibri" w:cs="Times New Roman"/>
              </w:rPr>
              <w:t xml:space="preserve">Partage des outils de collecte validés avec les bailleurs et responsables identifiés au niveau des structures gouvernementales </w:t>
            </w:r>
          </w:p>
          <w:p w14:paraId="453F3036" w14:textId="53A76424" w:rsidR="00BD1061" w:rsidRPr="0031305D" w:rsidRDefault="00A6766E" w:rsidP="00A6766E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485672">
              <w:rPr>
                <w:rFonts w:ascii="Calibri" w:eastAsia="Calibri" w:hAnsi="Calibri" w:cs="Times New Roman"/>
              </w:rPr>
              <w:t xml:space="preserve">Octobre – </w:t>
            </w:r>
            <w:proofErr w:type="gramStart"/>
            <w:r w:rsidRPr="00485672">
              <w:rPr>
                <w:rFonts w:ascii="Calibri" w:eastAsia="Calibri" w:hAnsi="Calibri" w:cs="Times New Roman"/>
              </w:rPr>
              <w:t>Décembre:</w:t>
            </w:r>
            <w:proofErr w:type="gramEnd"/>
            <w:r w:rsidRPr="00485672">
              <w:rPr>
                <w:rFonts w:ascii="Calibri" w:eastAsia="Calibri" w:hAnsi="Calibri" w:cs="Times New Roman"/>
              </w:rPr>
              <w:t xml:space="preserve"> (i) </w:t>
            </w:r>
            <w:r w:rsidR="0057236F" w:rsidRPr="00485672">
              <w:rPr>
                <w:rFonts w:ascii="Calibri" w:eastAsia="Calibri" w:hAnsi="Calibri" w:cs="Times New Roman"/>
              </w:rPr>
              <w:t>Suivi de la collecte des données (par équipe de consul</w:t>
            </w:r>
            <w:r w:rsidRPr="00485672">
              <w:rPr>
                <w:rFonts w:ascii="Calibri" w:eastAsia="Calibri" w:hAnsi="Calibri" w:cs="Times New Roman"/>
              </w:rPr>
              <w:t xml:space="preserve">tants et Ministère de la Santé); (ii) </w:t>
            </w:r>
            <w:r w:rsidR="0057236F" w:rsidRPr="00485672">
              <w:rPr>
                <w:rFonts w:ascii="Calibri" w:eastAsia="Calibri" w:hAnsi="Calibri" w:cs="Times New Roman"/>
              </w:rPr>
              <w:t xml:space="preserve">Première échéance fixée au 20 Octobre 2021 pour le renvoi des formulaires </w:t>
            </w:r>
            <w:proofErr w:type="spellStart"/>
            <w:r w:rsidRPr="00485672">
              <w:rPr>
                <w:rFonts w:ascii="Calibri" w:eastAsia="Calibri" w:hAnsi="Calibri" w:cs="Times New Roman"/>
              </w:rPr>
              <w:t>completes</w:t>
            </w:r>
            <w:proofErr w:type="spellEnd"/>
            <w:r w:rsidRPr="00485672">
              <w:rPr>
                <w:rFonts w:ascii="Calibri" w:eastAsia="Calibri" w:hAnsi="Calibri" w:cs="Times New Roman"/>
              </w:rPr>
              <w:t xml:space="preserve">; (iii) </w:t>
            </w:r>
            <w:r w:rsidR="0057236F" w:rsidRPr="00485672">
              <w:rPr>
                <w:rFonts w:ascii="Calibri" w:eastAsia="Calibri" w:hAnsi="Calibri" w:cs="Times New Roman"/>
              </w:rPr>
              <w:t>Clarifications et phase de collecte de données complémentaire (si nécessaire)</w:t>
            </w:r>
            <w:r w:rsidRPr="00485672">
              <w:rPr>
                <w:rFonts w:ascii="Calibri" w:eastAsia="Calibri" w:hAnsi="Calibri" w:cs="Times New Roman"/>
              </w:rPr>
              <w:t xml:space="preserve">; (iv) </w:t>
            </w:r>
            <w:r w:rsidR="0057236F" w:rsidRPr="00485672">
              <w:rPr>
                <w:rFonts w:ascii="Calibri" w:eastAsia="Calibri" w:hAnsi="Calibri" w:cs="Times New Roman"/>
              </w:rPr>
              <w:t>Saisie et analyse des données collectées</w:t>
            </w:r>
          </w:p>
          <w:p w14:paraId="73E36A98" w14:textId="3B73CCFD" w:rsidR="00BD1061" w:rsidRPr="0031305D" w:rsidRDefault="00A6766E" w:rsidP="00A6766E">
            <w:pPr>
              <w:pStyle w:val="ListParagraph"/>
              <w:ind w:left="191"/>
              <w:jc w:val="both"/>
              <w:rPr>
                <w:rFonts w:ascii="Calibri" w:eastAsia="Calibri" w:hAnsi="Calibri" w:cs="Times New Roman"/>
              </w:rPr>
            </w:pPr>
            <w:r w:rsidRPr="00485672">
              <w:rPr>
                <w:rFonts w:ascii="Calibri" w:eastAsia="Calibri" w:hAnsi="Calibri" w:cs="Times New Roman"/>
              </w:rPr>
              <w:t xml:space="preserve">Janvier : (i) </w:t>
            </w:r>
            <w:r w:rsidR="0057236F" w:rsidRPr="00485672">
              <w:rPr>
                <w:rFonts w:ascii="Calibri" w:eastAsia="Calibri" w:hAnsi="Calibri" w:cs="Times New Roman"/>
              </w:rPr>
              <w:t>Rédaction et finalisation du rapport</w:t>
            </w:r>
            <w:r w:rsidRPr="00485672">
              <w:rPr>
                <w:rFonts w:ascii="Calibri" w:eastAsia="Calibri" w:hAnsi="Calibri" w:cs="Times New Roman"/>
              </w:rPr>
              <w:t xml:space="preserve"> et (ii) </w:t>
            </w:r>
            <w:r w:rsidR="0057236F" w:rsidRPr="00485672">
              <w:rPr>
                <w:rFonts w:ascii="Calibri" w:eastAsia="Calibri" w:hAnsi="Calibri" w:cs="Times New Roman"/>
              </w:rPr>
              <w:t>Présentation et validation des résultats (atelier)</w:t>
            </w:r>
          </w:p>
          <w:p w14:paraId="2976C87A" w14:textId="401CC3F9" w:rsidR="004E4763" w:rsidRPr="0031305D" w:rsidRDefault="004E4763" w:rsidP="0031305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1E2E" w:rsidRPr="00DD4ADA" w14:paraId="5793C977" w14:textId="77777777" w:rsidTr="003E5094">
        <w:tc>
          <w:tcPr>
            <w:tcW w:w="5351" w:type="dxa"/>
            <w:vAlign w:val="center"/>
          </w:tcPr>
          <w:p w14:paraId="0AF7B2E9" w14:textId="48352AA9" w:rsidR="005C1E2E" w:rsidRPr="005C1E2E" w:rsidRDefault="005C1E2E" w:rsidP="005C1E2E">
            <w:pPr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5C1E2E">
              <w:rPr>
                <w:rFonts w:ascii="Times New Roman" w:hAnsi="Times New Roman"/>
                <w:b/>
                <w:smallCaps/>
                <w:sz w:val="26"/>
                <w:szCs w:val="26"/>
              </w:rPr>
              <w:t>Résumé des points de discussion</w:t>
            </w:r>
          </w:p>
        </w:tc>
        <w:tc>
          <w:tcPr>
            <w:tcW w:w="3209" w:type="dxa"/>
          </w:tcPr>
          <w:p w14:paraId="62E9819E" w14:textId="3AB26AD1" w:rsidR="005C1E2E" w:rsidRPr="00EA4398" w:rsidRDefault="005C1E2E" w:rsidP="005C1E2E">
            <w:pPr>
              <w:pStyle w:val="ListParagraph"/>
              <w:numPr>
                <w:ilvl w:val="0"/>
                <w:numId w:val="1"/>
              </w:numPr>
              <w:ind w:left="120" w:hanging="191"/>
              <w:jc w:val="both"/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>Points d</w:t>
            </w:r>
            <w:r w:rsidRPr="00D31EDA">
              <w:rPr>
                <w:rFonts w:ascii="Times New Roman" w:hAnsi="Times New Roman"/>
                <w:b/>
                <w:smallCaps/>
                <w:sz w:val="26"/>
                <w:szCs w:val="26"/>
              </w:rPr>
              <w:t>’action</w:t>
            </w:r>
            <w:r>
              <w:rPr>
                <w:rFonts w:ascii="Times New Roman" w:hAnsi="Times New Roman"/>
                <w:b/>
                <w:smallCaps/>
                <w:sz w:val="26"/>
                <w:szCs w:val="26"/>
              </w:rPr>
              <w:t xml:space="preserve"> / Recommandations</w:t>
            </w:r>
          </w:p>
        </w:tc>
        <w:tc>
          <w:tcPr>
            <w:tcW w:w="2101" w:type="dxa"/>
          </w:tcPr>
          <w:p w14:paraId="5B97548F" w14:textId="69B8A11A" w:rsidR="005C1E2E" w:rsidRPr="00EA4398" w:rsidRDefault="005C1E2E" w:rsidP="005C1E2E">
            <w:pPr>
              <w:pStyle w:val="ListParagraph"/>
              <w:numPr>
                <w:ilvl w:val="0"/>
                <w:numId w:val="1"/>
              </w:numPr>
              <w:ind w:left="120" w:hanging="191"/>
              <w:jc w:val="both"/>
            </w:pPr>
            <w:r w:rsidRPr="00D31EDA">
              <w:rPr>
                <w:rFonts w:ascii="Times New Roman" w:hAnsi="Times New Roman"/>
                <w:b/>
                <w:smallCaps/>
                <w:sz w:val="26"/>
                <w:szCs w:val="26"/>
              </w:rPr>
              <w:t>Responsables</w:t>
            </w:r>
          </w:p>
        </w:tc>
      </w:tr>
      <w:tr w:rsidR="005C1E2E" w:rsidRPr="00DD4ADA" w14:paraId="46CD29D6" w14:textId="77777777" w:rsidTr="003E5094">
        <w:tc>
          <w:tcPr>
            <w:tcW w:w="5351" w:type="dxa"/>
            <w:vAlign w:val="center"/>
          </w:tcPr>
          <w:p w14:paraId="3AD00006" w14:textId="0FA1843F" w:rsidR="005C1E2E" w:rsidRPr="003C2820" w:rsidRDefault="003C2820" w:rsidP="003C2820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3C282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La dimension multisectorielle de l’exercice de cartographie a été prise en compte avec l’implication de toutes les structures impliquées dans les dépenses de santé </w:t>
            </w:r>
          </w:p>
          <w:p w14:paraId="425B246D" w14:textId="1EA3E9C8" w:rsidR="003C2820" w:rsidRPr="003C2820" w:rsidRDefault="003C2820" w:rsidP="003C2820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3C282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lastRenderedPageBreak/>
              <w:t>L’extension au secteur privé a également été suggéré</w:t>
            </w:r>
          </w:p>
          <w:p w14:paraId="074C448E" w14:textId="524AC80C" w:rsidR="003C2820" w:rsidRPr="00F07C23" w:rsidRDefault="003C2820" w:rsidP="003C2820">
            <w:pPr>
              <w:jc w:val="both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fr-FR"/>
              </w:rPr>
            </w:pPr>
            <w:r w:rsidRPr="003C282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L’outil primaire a été partagé à tous</w:t>
            </w:r>
          </w:p>
        </w:tc>
        <w:tc>
          <w:tcPr>
            <w:tcW w:w="3209" w:type="dxa"/>
          </w:tcPr>
          <w:p w14:paraId="2B09E98A" w14:textId="397146C2" w:rsidR="005C1E2E" w:rsidRPr="00EA4398" w:rsidRDefault="004E4763" w:rsidP="003C2820">
            <w:pPr>
              <w:pStyle w:val="ListParagraph"/>
              <w:numPr>
                <w:ilvl w:val="0"/>
                <w:numId w:val="1"/>
              </w:numPr>
              <w:ind w:left="120" w:hanging="191"/>
              <w:jc w:val="both"/>
            </w:pPr>
            <w:r>
              <w:lastRenderedPageBreak/>
              <w:t>Partage</w:t>
            </w:r>
            <w:r w:rsidR="003C2820">
              <w:t>r l</w:t>
            </w:r>
            <w:r>
              <w:t>es documents</w:t>
            </w:r>
            <w:r w:rsidR="003C2820">
              <w:t xml:space="preserve"> relatifs à la cartographie des ressources et des </w:t>
            </w:r>
            <w:r w:rsidR="007E7A02">
              <w:t>dépenses</w:t>
            </w:r>
            <w:r w:rsidR="003C2820">
              <w:t xml:space="preserve"> en santé</w:t>
            </w:r>
            <w:r>
              <w:t xml:space="preserve"> à tous les PTFs pour des inputs</w:t>
            </w:r>
            <w:r w:rsidR="007E7A02">
              <w:t xml:space="preserve"> afin que </w:t>
            </w:r>
            <w:r w:rsidR="007E7A02">
              <w:lastRenderedPageBreak/>
              <w:t>ceux-ci les retournent dans les délais</w:t>
            </w:r>
          </w:p>
        </w:tc>
        <w:tc>
          <w:tcPr>
            <w:tcW w:w="2101" w:type="dxa"/>
          </w:tcPr>
          <w:p w14:paraId="13EEAF70" w14:textId="536A51F9" w:rsidR="005C1E2E" w:rsidRPr="00EA4398" w:rsidRDefault="005F7B51" w:rsidP="005C1E2E">
            <w:pPr>
              <w:pStyle w:val="ListParagraph"/>
              <w:numPr>
                <w:ilvl w:val="0"/>
                <w:numId w:val="1"/>
              </w:numPr>
              <w:ind w:left="120" w:hanging="191"/>
              <w:jc w:val="both"/>
            </w:pPr>
            <w:r>
              <w:lastRenderedPageBreak/>
              <w:t>BSD</w:t>
            </w:r>
          </w:p>
        </w:tc>
      </w:tr>
      <w:tr w:rsidR="005C1E2E" w:rsidRPr="00DD4ADA" w14:paraId="4B6841FE" w14:textId="77777777" w:rsidTr="003E5094">
        <w:tc>
          <w:tcPr>
            <w:tcW w:w="5351" w:type="dxa"/>
            <w:vAlign w:val="center"/>
          </w:tcPr>
          <w:p w14:paraId="28C4D963" w14:textId="2727A508" w:rsidR="005C1E2E" w:rsidRPr="005F7B51" w:rsidRDefault="005F7B51" w:rsidP="005F7B51">
            <w:p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5F7B51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La prise en compte de la duplication des sources de </w:t>
            </w:r>
            <w:r w:rsidR="007E7A02" w:rsidRPr="005F7B51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financement dans</w:t>
            </w:r>
            <w:r w:rsidRPr="005F7B51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les outils de collecte accompagné d’un guide de remplissage</w:t>
            </w:r>
          </w:p>
        </w:tc>
        <w:tc>
          <w:tcPr>
            <w:tcW w:w="3209" w:type="dxa"/>
          </w:tcPr>
          <w:p w14:paraId="38B03F78" w14:textId="0CEA0142" w:rsidR="005C1E2E" w:rsidRPr="00EA4398" w:rsidRDefault="00C37AA4" w:rsidP="00F126B0">
            <w:pPr>
              <w:pStyle w:val="ListParagraph"/>
              <w:numPr>
                <w:ilvl w:val="0"/>
                <w:numId w:val="1"/>
              </w:numPr>
              <w:ind w:left="120" w:hanging="191"/>
            </w:pPr>
            <w:r>
              <w:t>Partager avec les PTFs et le MS la documentation sur les 07 accélérateurs de la CSU au niveau Global</w:t>
            </w:r>
          </w:p>
        </w:tc>
        <w:tc>
          <w:tcPr>
            <w:tcW w:w="2101" w:type="dxa"/>
          </w:tcPr>
          <w:p w14:paraId="22D473B9" w14:textId="03A0B55B" w:rsidR="005C1E2E" w:rsidRPr="00EA4398" w:rsidRDefault="005F7B51" w:rsidP="005C1E2E">
            <w:pPr>
              <w:pStyle w:val="ListParagraph"/>
              <w:numPr>
                <w:ilvl w:val="0"/>
                <w:numId w:val="1"/>
              </w:numPr>
              <w:ind w:left="120" w:hanging="191"/>
              <w:jc w:val="both"/>
            </w:pPr>
            <w:r>
              <w:t>Dr KONAN</w:t>
            </w:r>
          </w:p>
        </w:tc>
      </w:tr>
      <w:tr w:rsidR="00F126B0" w:rsidRPr="00F126B0" w14:paraId="67FB949A" w14:textId="77777777" w:rsidTr="00241A65">
        <w:trPr>
          <w:trHeight w:val="935"/>
        </w:trPr>
        <w:tc>
          <w:tcPr>
            <w:tcW w:w="10661" w:type="dxa"/>
            <w:gridSpan w:val="3"/>
            <w:vAlign w:val="center"/>
          </w:tcPr>
          <w:p w14:paraId="3F52855B" w14:textId="77777777" w:rsidR="00DF6AE3" w:rsidRPr="00F126B0" w:rsidRDefault="00DF6AE3" w:rsidP="0057236F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Divers</w:t>
            </w:r>
          </w:p>
          <w:p w14:paraId="0C409EE9" w14:textId="77777777" w:rsidR="00D25998" w:rsidRPr="00F126B0" w:rsidRDefault="00D25998" w:rsidP="0057236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Priorités à venir du Ministère de la santé en cette période de Transition (Dr Yansane Mohamed Lamine Conseiller Principal / Dr DIAKITE Souleymane BSD)</w:t>
            </w:r>
          </w:p>
          <w:p w14:paraId="1F9310E3" w14:textId="768FF897" w:rsidR="00DF6AE3" w:rsidRPr="00F126B0" w:rsidRDefault="00DF6AE3" w:rsidP="0057236F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/>
                <w:bCs/>
                <w:color w:val="0070C0"/>
                <w:szCs w:val="24"/>
                <w:lang w:eastAsia="fr-FR"/>
              </w:rPr>
              <w:t>Autres</w:t>
            </w:r>
          </w:p>
        </w:tc>
      </w:tr>
      <w:tr w:rsidR="00DF6AE3" w:rsidRPr="00DD4ADA" w14:paraId="443D3AD6" w14:textId="77777777" w:rsidTr="00241A65">
        <w:trPr>
          <w:trHeight w:val="935"/>
        </w:trPr>
        <w:tc>
          <w:tcPr>
            <w:tcW w:w="10661" w:type="dxa"/>
            <w:gridSpan w:val="3"/>
            <w:vAlign w:val="center"/>
          </w:tcPr>
          <w:p w14:paraId="5AB229A3" w14:textId="77777777" w:rsidR="00DF6AE3" w:rsidRPr="00F126B0" w:rsidRDefault="00C37AA4" w:rsidP="00F126B0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Priorités à venir du Ministère de la santé en cette période de Transition (Dr Yansane Mohamed Lamine Conseiller Principal / Dr DIAKITE Souleymane BSD)</w:t>
            </w:r>
          </w:p>
          <w:p w14:paraId="5FA20B54" w14:textId="77777777" w:rsidR="00F126B0" w:rsidRDefault="005F7B51" w:rsidP="00DF6AE3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60118F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En ce qui concerne les priorités du département de la santé, un bilan a été fait avec les nouvelles autorités et s’articule autour des points suivants : </w:t>
            </w:r>
          </w:p>
          <w:p w14:paraId="63AC15E3" w14:textId="77777777" w:rsidR="00F126B0" w:rsidRDefault="00F126B0" w:rsidP="00F126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Organisation</w:t>
            </w:r>
            <w:r w:rsidR="005F7B51"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des états généraux de la santé, </w:t>
            </w:r>
          </w:p>
          <w:p w14:paraId="7B2FBCE4" w14:textId="77777777" w:rsidR="00F126B0" w:rsidRDefault="000B7CC9" w:rsidP="00F126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E</w:t>
            </w:r>
            <w:r w:rsidR="005F7B51"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laboration d’un plan </w:t>
            </w: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triennal</w:t>
            </w:r>
            <w:r w:rsidR="005F7B51"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,</w:t>
            </w:r>
            <w:r w:rsid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2022-2022 </w:t>
            </w:r>
          </w:p>
          <w:p w14:paraId="6A5EBC44" w14:textId="77777777" w:rsidR="00F126B0" w:rsidRDefault="00F126B0" w:rsidP="00F126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L</w:t>
            </w: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a mission </w:t>
            </w: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de cadrage </w:t>
            </w:r>
            <w:r w:rsidR="005F7B51"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CSU, </w:t>
            </w:r>
          </w:p>
          <w:p w14:paraId="744E3B92" w14:textId="77777777" w:rsidR="00F126B0" w:rsidRDefault="00F126B0" w:rsidP="00F126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Formation pour les Compte nationaux de la santé</w:t>
            </w:r>
          </w:p>
          <w:p w14:paraId="50CF2C03" w14:textId="77777777" w:rsidR="00F126B0" w:rsidRDefault="005F7B51" w:rsidP="00F126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Etude national de la tarification des soins avec l’ensemble des PTF, </w:t>
            </w:r>
          </w:p>
          <w:p w14:paraId="296A3CF1" w14:textId="4CE14111" w:rsidR="005F7B51" w:rsidRDefault="005F7B51" w:rsidP="00F126B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Vaccination Covid-19.</w:t>
            </w:r>
          </w:p>
          <w:p w14:paraId="0DEA1CA4" w14:textId="1506F306" w:rsidR="005F7B51" w:rsidRPr="0060118F" w:rsidRDefault="00A15A87" w:rsidP="00DB66E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A15A8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La santé communautaire </w:t>
            </w:r>
          </w:p>
          <w:p w14:paraId="74870CD3" w14:textId="77777777" w:rsidR="00A15A87" w:rsidRDefault="00A15A87" w:rsidP="00A15A87">
            <w:pPr>
              <w:pStyle w:val="ListParagraph"/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  <w:p w14:paraId="1766FA79" w14:textId="669B7291" w:rsidR="000B7CC9" w:rsidRPr="00A15A87" w:rsidRDefault="005F7B51" w:rsidP="00A15A8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A15A8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L</w:t>
            </w:r>
            <w:r w:rsidR="00F126B0" w:rsidRPr="00A15A8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’engagement </w:t>
            </w:r>
            <w:r w:rsidRPr="00A15A8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de la plateforme des PTF</w:t>
            </w:r>
            <w:r w:rsidR="000B7CC9" w:rsidRPr="00A15A87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a été réaffirmée pour accompagner le Gouvernement.</w:t>
            </w:r>
          </w:p>
          <w:p w14:paraId="6A821B24" w14:textId="5D3B67CD" w:rsidR="000B7CC9" w:rsidRDefault="000B7CC9" w:rsidP="00F126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La </w:t>
            </w:r>
            <w:r w:rsidR="00F126B0"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nécessité</w:t>
            </w: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de discuter </w:t>
            </w:r>
            <w:r w:rsid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dans une réunion avant la prochaine rencontre des PTFs de la criticalité des programme </w:t>
            </w:r>
            <w:proofErr w:type="gramStart"/>
            <w:r w:rsid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suite à</w:t>
            </w:r>
            <w:proofErr w:type="gramEnd"/>
            <w:r w:rsid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l’i</w:t>
            </w: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mpact des </w:t>
            </w:r>
            <w:r w:rsidR="0060118F"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évènements</w:t>
            </w: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du 5 septembre</w:t>
            </w:r>
            <w:r w:rsid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>2021</w:t>
            </w:r>
            <w:r w:rsidRPr="00F126B0"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  <w:t xml:space="preserve"> a été retenue et le soutien du Ministère de la santé dans la mitigation de ces impacts.</w:t>
            </w:r>
          </w:p>
          <w:p w14:paraId="4B0A033B" w14:textId="77777777" w:rsidR="00A15A87" w:rsidRPr="00F126B0" w:rsidRDefault="00A15A87" w:rsidP="00F126B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  <w:p w14:paraId="5858851C" w14:textId="77777777" w:rsidR="005F7B51" w:rsidRPr="0060118F" w:rsidRDefault="005F7B51" w:rsidP="00DF6AE3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  <w:p w14:paraId="72F526AC" w14:textId="77777777" w:rsidR="005F7B51" w:rsidRPr="0060118F" w:rsidRDefault="005F7B51" w:rsidP="00DF6AE3">
            <w:pPr>
              <w:jc w:val="both"/>
              <w:rPr>
                <w:rFonts w:eastAsia="Times New Roman" w:cstheme="minorHAnsi"/>
                <w:bCs/>
                <w:color w:val="000000" w:themeColor="text1"/>
                <w:szCs w:val="24"/>
                <w:lang w:eastAsia="fr-FR"/>
              </w:rPr>
            </w:pPr>
          </w:p>
          <w:p w14:paraId="017D6FF8" w14:textId="03912997" w:rsidR="005F7B51" w:rsidRPr="0060118F" w:rsidRDefault="005F7B51" w:rsidP="00DF6AE3">
            <w:pPr>
              <w:jc w:val="both"/>
            </w:pPr>
          </w:p>
        </w:tc>
      </w:tr>
      <w:tr w:rsidR="00574394" w:rsidRPr="00DD4ADA" w14:paraId="4EF58C9A" w14:textId="77777777" w:rsidTr="00241A65">
        <w:trPr>
          <w:trHeight w:val="935"/>
        </w:trPr>
        <w:tc>
          <w:tcPr>
            <w:tcW w:w="10661" w:type="dxa"/>
            <w:gridSpan w:val="3"/>
            <w:vAlign w:val="center"/>
          </w:tcPr>
          <w:p w14:paraId="203974DA" w14:textId="35506184" w:rsidR="00574394" w:rsidRPr="00E03242" w:rsidRDefault="00574394" w:rsidP="00E03242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E03242">
              <w:rPr>
                <w:b/>
                <w:bCs/>
                <w:color w:val="0070C0"/>
              </w:rPr>
              <w:t xml:space="preserve">Clôture </w:t>
            </w:r>
          </w:p>
          <w:p w14:paraId="5718E9D4" w14:textId="77777777" w:rsidR="00E03242" w:rsidRDefault="00A15A87" w:rsidP="00A15A87">
            <w:pPr>
              <w:rPr>
                <w:bCs/>
              </w:rPr>
            </w:pPr>
            <w:r>
              <w:rPr>
                <w:bCs/>
              </w:rPr>
              <w:t xml:space="preserve">Avant la </w:t>
            </w:r>
            <w:r w:rsidR="00574394" w:rsidRPr="00EB15CA">
              <w:rPr>
                <w:bCs/>
              </w:rPr>
              <w:t xml:space="preserve">réunion </w:t>
            </w:r>
            <w:r>
              <w:rPr>
                <w:bCs/>
              </w:rPr>
              <w:t xml:space="preserve">qui </w:t>
            </w:r>
            <w:r w:rsidR="00574394" w:rsidRPr="00EB15CA">
              <w:rPr>
                <w:bCs/>
              </w:rPr>
              <w:t xml:space="preserve">a pris fin </w:t>
            </w:r>
            <w:r w:rsidR="00574394">
              <w:rPr>
                <w:bCs/>
              </w:rPr>
              <w:t>à 12</w:t>
            </w:r>
            <w:r w:rsidR="00574394" w:rsidRPr="00EB15CA">
              <w:rPr>
                <w:bCs/>
              </w:rPr>
              <w:t>H</w:t>
            </w:r>
            <w:r w:rsidR="00574394">
              <w:rPr>
                <w:bCs/>
              </w:rPr>
              <w:t>20,</w:t>
            </w:r>
            <w:r w:rsidR="00574394" w:rsidRPr="00EB15CA">
              <w:rPr>
                <w:bCs/>
              </w:rPr>
              <w:t xml:space="preserve"> </w:t>
            </w:r>
            <w:r>
              <w:rPr>
                <w:bCs/>
              </w:rPr>
              <w:t xml:space="preserve">le </w:t>
            </w:r>
            <w:r w:rsidRPr="00A15A87">
              <w:rPr>
                <w:bCs/>
              </w:rPr>
              <w:t>Président de la séance</w:t>
            </w:r>
            <w:r>
              <w:rPr>
                <w:bCs/>
              </w:rPr>
              <w:t xml:space="preserve"> et chef de file des PTFs le P</w:t>
            </w:r>
            <w:r w:rsidRPr="00A15A87">
              <w:rPr>
                <w:bCs/>
              </w:rPr>
              <w:t xml:space="preserve">r Georges KI-ZERBO, Représentant Résident </w:t>
            </w:r>
            <w:r w:rsidR="00E03242" w:rsidRPr="00A15A87">
              <w:rPr>
                <w:bCs/>
              </w:rPr>
              <w:t xml:space="preserve">OMS </w:t>
            </w:r>
            <w:r w:rsidR="00E03242">
              <w:rPr>
                <w:bCs/>
              </w:rPr>
              <w:t>a</w:t>
            </w:r>
            <w:r>
              <w:rPr>
                <w:bCs/>
              </w:rPr>
              <w:t xml:space="preserve"> tenu à informer l’ensemble des partenaires son départ très prochains de la Guinée pour raison de rotation. </w:t>
            </w:r>
            <w:r w:rsidR="00E03242">
              <w:rPr>
                <w:bCs/>
              </w:rPr>
              <w:t xml:space="preserve"> </w:t>
            </w:r>
          </w:p>
          <w:p w14:paraId="4FCEE35F" w14:textId="67843CAF" w:rsidR="00574394" w:rsidRPr="00D0418D" w:rsidRDefault="00E03242" w:rsidP="00A15A87">
            <w:pPr>
              <w:rPr>
                <w:color w:val="FF0000"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20C1AB86" w14:textId="77777777" w:rsidR="00E66960" w:rsidRPr="00EE3125" w:rsidRDefault="00E66960">
      <w:pPr>
        <w:rPr>
          <w:color w:val="FF0000"/>
        </w:rPr>
      </w:pPr>
    </w:p>
    <w:sectPr w:rsidR="00E66960" w:rsidRPr="00EE31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5F371" w14:textId="77777777" w:rsidR="00350D70" w:rsidRDefault="00350D70" w:rsidP="001E64E7">
      <w:pPr>
        <w:spacing w:after="0" w:line="240" w:lineRule="auto"/>
      </w:pPr>
      <w:r>
        <w:separator/>
      </w:r>
    </w:p>
  </w:endnote>
  <w:endnote w:type="continuationSeparator" w:id="0">
    <w:p w14:paraId="2ECD7E19" w14:textId="77777777" w:rsidR="00350D70" w:rsidRDefault="00350D70" w:rsidP="001E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784789"/>
      <w:docPartObj>
        <w:docPartGallery w:val="Page Numbers (Bottom of Page)"/>
        <w:docPartUnique/>
      </w:docPartObj>
    </w:sdtPr>
    <w:sdtEndPr/>
    <w:sdtContent>
      <w:p w14:paraId="1433DF08" w14:textId="19AF782C" w:rsidR="00BE75BA" w:rsidRDefault="00BE75B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36F">
          <w:rPr>
            <w:noProof/>
          </w:rPr>
          <w:t>1</w:t>
        </w:r>
        <w:r>
          <w:fldChar w:fldCharType="end"/>
        </w:r>
      </w:p>
    </w:sdtContent>
  </w:sdt>
  <w:p w14:paraId="24FFE9AF" w14:textId="77777777" w:rsidR="00BE75BA" w:rsidRDefault="00BE7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D2C8" w14:textId="77777777" w:rsidR="00350D70" w:rsidRDefault="00350D70" w:rsidP="001E64E7">
      <w:pPr>
        <w:spacing w:after="0" w:line="240" w:lineRule="auto"/>
      </w:pPr>
      <w:r>
        <w:separator/>
      </w:r>
    </w:p>
  </w:footnote>
  <w:footnote w:type="continuationSeparator" w:id="0">
    <w:p w14:paraId="4E34E38E" w14:textId="77777777" w:rsidR="00350D70" w:rsidRDefault="00350D70" w:rsidP="001E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214"/>
    <w:multiLevelType w:val="hybridMultilevel"/>
    <w:tmpl w:val="4F864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B3FA04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4C8"/>
    <w:multiLevelType w:val="hybridMultilevel"/>
    <w:tmpl w:val="51E40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BBF"/>
    <w:multiLevelType w:val="hybridMultilevel"/>
    <w:tmpl w:val="E29C248E"/>
    <w:lvl w:ilvl="0" w:tplc="E392D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5728"/>
    <w:multiLevelType w:val="hybridMultilevel"/>
    <w:tmpl w:val="74E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D05"/>
    <w:multiLevelType w:val="hybridMultilevel"/>
    <w:tmpl w:val="D93C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B3FA04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01B53"/>
    <w:multiLevelType w:val="hybridMultilevel"/>
    <w:tmpl w:val="B8900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804AE"/>
    <w:multiLevelType w:val="hybridMultilevel"/>
    <w:tmpl w:val="7B3E6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20A4"/>
    <w:multiLevelType w:val="hybridMultilevel"/>
    <w:tmpl w:val="B7945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2AE"/>
    <w:multiLevelType w:val="hybridMultilevel"/>
    <w:tmpl w:val="B01A6860"/>
    <w:lvl w:ilvl="0" w:tplc="B3FA0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3034AB7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95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8E012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AD8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23B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A96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285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4818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56151E"/>
    <w:multiLevelType w:val="hybridMultilevel"/>
    <w:tmpl w:val="3FC4A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4F8"/>
    <w:multiLevelType w:val="hybridMultilevel"/>
    <w:tmpl w:val="7764A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650A"/>
    <w:multiLevelType w:val="hybridMultilevel"/>
    <w:tmpl w:val="08EC8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B3FA04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2258F"/>
    <w:multiLevelType w:val="hybridMultilevel"/>
    <w:tmpl w:val="1A0CC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2911"/>
    <w:multiLevelType w:val="hybridMultilevel"/>
    <w:tmpl w:val="1ED2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942F0"/>
    <w:multiLevelType w:val="hybridMultilevel"/>
    <w:tmpl w:val="8260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583A34"/>
    <w:multiLevelType w:val="hybridMultilevel"/>
    <w:tmpl w:val="D9C6174E"/>
    <w:lvl w:ilvl="0" w:tplc="730E4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726D3"/>
    <w:multiLevelType w:val="hybridMultilevel"/>
    <w:tmpl w:val="24F881D6"/>
    <w:lvl w:ilvl="0" w:tplc="B60A5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6552F"/>
    <w:multiLevelType w:val="hybridMultilevel"/>
    <w:tmpl w:val="1AAE0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840ED"/>
    <w:multiLevelType w:val="hybridMultilevel"/>
    <w:tmpl w:val="BDA4C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D85345"/>
    <w:multiLevelType w:val="hybridMultilevel"/>
    <w:tmpl w:val="EFEA93E6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9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17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EC"/>
    <w:rsid w:val="00010A8E"/>
    <w:rsid w:val="00022B31"/>
    <w:rsid w:val="00023873"/>
    <w:rsid w:val="0002620C"/>
    <w:rsid w:val="00031895"/>
    <w:rsid w:val="0004566D"/>
    <w:rsid w:val="000464D1"/>
    <w:rsid w:val="00056B3F"/>
    <w:rsid w:val="00071A69"/>
    <w:rsid w:val="00072C4E"/>
    <w:rsid w:val="000807E1"/>
    <w:rsid w:val="00087F9E"/>
    <w:rsid w:val="000909D7"/>
    <w:rsid w:val="000A1B4F"/>
    <w:rsid w:val="000A4BB6"/>
    <w:rsid w:val="000A60EA"/>
    <w:rsid w:val="000B7CC9"/>
    <w:rsid w:val="000C4165"/>
    <w:rsid w:val="000D0800"/>
    <w:rsid w:val="000D34D7"/>
    <w:rsid w:val="000E1346"/>
    <w:rsid w:val="000E151E"/>
    <w:rsid w:val="000E1BF3"/>
    <w:rsid w:val="00100D82"/>
    <w:rsid w:val="001047DD"/>
    <w:rsid w:val="001074B5"/>
    <w:rsid w:val="001163F0"/>
    <w:rsid w:val="00120C14"/>
    <w:rsid w:val="001224C0"/>
    <w:rsid w:val="0012458C"/>
    <w:rsid w:val="00132784"/>
    <w:rsid w:val="00132C70"/>
    <w:rsid w:val="001366B5"/>
    <w:rsid w:val="0013693E"/>
    <w:rsid w:val="00140017"/>
    <w:rsid w:val="00141DF5"/>
    <w:rsid w:val="00142497"/>
    <w:rsid w:val="00151DCD"/>
    <w:rsid w:val="00160834"/>
    <w:rsid w:val="00165B55"/>
    <w:rsid w:val="00167D94"/>
    <w:rsid w:val="0017400D"/>
    <w:rsid w:val="00175CBC"/>
    <w:rsid w:val="00183BA6"/>
    <w:rsid w:val="00183E2F"/>
    <w:rsid w:val="00186A57"/>
    <w:rsid w:val="001907AE"/>
    <w:rsid w:val="00192A72"/>
    <w:rsid w:val="00194B91"/>
    <w:rsid w:val="001955A5"/>
    <w:rsid w:val="001963A4"/>
    <w:rsid w:val="001C59BE"/>
    <w:rsid w:val="001C6B42"/>
    <w:rsid w:val="001D3F40"/>
    <w:rsid w:val="001E64E7"/>
    <w:rsid w:val="001F5A56"/>
    <w:rsid w:val="002002F4"/>
    <w:rsid w:val="002059D7"/>
    <w:rsid w:val="002105EB"/>
    <w:rsid w:val="00220BAC"/>
    <w:rsid w:val="002251C4"/>
    <w:rsid w:val="00230D29"/>
    <w:rsid w:val="0024029E"/>
    <w:rsid w:val="00241A65"/>
    <w:rsid w:val="002463E7"/>
    <w:rsid w:val="002470E2"/>
    <w:rsid w:val="00255E82"/>
    <w:rsid w:val="00256C82"/>
    <w:rsid w:val="00271DE4"/>
    <w:rsid w:val="00277C35"/>
    <w:rsid w:val="00282C5C"/>
    <w:rsid w:val="00294527"/>
    <w:rsid w:val="00295E1F"/>
    <w:rsid w:val="002A2CBB"/>
    <w:rsid w:val="002B14B8"/>
    <w:rsid w:val="002B1701"/>
    <w:rsid w:val="002B170E"/>
    <w:rsid w:val="002B75DB"/>
    <w:rsid w:val="002C3FCB"/>
    <w:rsid w:val="002D4AA4"/>
    <w:rsid w:val="002E5CAC"/>
    <w:rsid w:val="002E77DD"/>
    <w:rsid w:val="002F7636"/>
    <w:rsid w:val="00305323"/>
    <w:rsid w:val="0031305D"/>
    <w:rsid w:val="00330ABB"/>
    <w:rsid w:val="00331C38"/>
    <w:rsid w:val="00333EDA"/>
    <w:rsid w:val="00350D70"/>
    <w:rsid w:val="0035155E"/>
    <w:rsid w:val="00355538"/>
    <w:rsid w:val="003557F2"/>
    <w:rsid w:val="00355A78"/>
    <w:rsid w:val="0035666B"/>
    <w:rsid w:val="00357A41"/>
    <w:rsid w:val="0039583C"/>
    <w:rsid w:val="003A4A43"/>
    <w:rsid w:val="003A5DB3"/>
    <w:rsid w:val="003A6EB9"/>
    <w:rsid w:val="003B0EC6"/>
    <w:rsid w:val="003B5C4F"/>
    <w:rsid w:val="003B750D"/>
    <w:rsid w:val="003C2820"/>
    <w:rsid w:val="003E0FA0"/>
    <w:rsid w:val="003E5094"/>
    <w:rsid w:val="003F5F6B"/>
    <w:rsid w:val="003F6692"/>
    <w:rsid w:val="0041374E"/>
    <w:rsid w:val="00416091"/>
    <w:rsid w:val="0042792B"/>
    <w:rsid w:val="00432E87"/>
    <w:rsid w:val="004373BC"/>
    <w:rsid w:val="00451F53"/>
    <w:rsid w:val="00452447"/>
    <w:rsid w:val="00453D06"/>
    <w:rsid w:val="0045428F"/>
    <w:rsid w:val="00464AE0"/>
    <w:rsid w:val="00466B25"/>
    <w:rsid w:val="00467CF6"/>
    <w:rsid w:val="004754E2"/>
    <w:rsid w:val="00481814"/>
    <w:rsid w:val="0048231A"/>
    <w:rsid w:val="00482811"/>
    <w:rsid w:val="00485672"/>
    <w:rsid w:val="004957F7"/>
    <w:rsid w:val="004A0CB3"/>
    <w:rsid w:val="004B2811"/>
    <w:rsid w:val="004B3935"/>
    <w:rsid w:val="004C1099"/>
    <w:rsid w:val="004C23A2"/>
    <w:rsid w:val="004C7B04"/>
    <w:rsid w:val="004D133C"/>
    <w:rsid w:val="004E4763"/>
    <w:rsid w:val="004E6646"/>
    <w:rsid w:val="004F148F"/>
    <w:rsid w:val="004F2A5E"/>
    <w:rsid w:val="004F45F9"/>
    <w:rsid w:val="00500F2F"/>
    <w:rsid w:val="00503620"/>
    <w:rsid w:val="00503CBB"/>
    <w:rsid w:val="00516EFB"/>
    <w:rsid w:val="00522F35"/>
    <w:rsid w:val="00524597"/>
    <w:rsid w:val="00525E75"/>
    <w:rsid w:val="0053152D"/>
    <w:rsid w:val="00531E43"/>
    <w:rsid w:val="00541FFD"/>
    <w:rsid w:val="005466DC"/>
    <w:rsid w:val="00547E58"/>
    <w:rsid w:val="00564CC2"/>
    <w:rsid w:val="005654CE"/>
    <w:rsid w:val="0057236F"/>
    <w:rsid w:val="00574394"/>
    <w:rsid w:val="00584F7C"/>
    <w:rsid w:val="005A00F6"/>
    <w:rsid w:val="005A0EBE"/>
    <w:rsid w:val="005A4C9F"/>
    <w:rsid w:val="005B3ED0"/>
    <w:rsid w:val="005B640D"/>
    <w:rsid w:val="005B77B2"/>
    <w:rsid w:val="005B7C20"/>
    <w:rsid w:val="005C1E2E"/>
    <w:rsid w:val="005D4E1D"/>
    <w:rsid w:val="005D55C8"/>
    <w:rsid w:val="005E1DC8"/>
    <w:rsid w:val="005E3858"/>
    <w:rsid w:val="005E5159"/>
    <w:rsid w:val="005F4792"/>
    <w:rsid w:val="005F7B51"/>
    <w:rsid w:val="0060005D"/>
    <w:rsid w:val="0060118F"/>
    <w:rsid w:val="00607B06"/>
    <w:rsid w:val="0061192E"/>
    <w:rsid w:val="00624FD2"/>
    <w:rsid w:val="00625700"/>
    <w:rsid w:val="00636114"/>
    <w:rsid w:val="0065172B"/>
    <w:rsid w:val="00660EF4"/>
    <w:rsid w:val="0066152B"/>
    <w:rsid w:val="0066454B"/>
    <w:rsid w:val="0067084C"/>
    <w:rsid w:val="00671F85"/>
    <w:rsid w:val="00674457"/>
    <w:rsid w:val="006958A6"/>
    <w:rsid w:val="006C3C0D"/>
    <w:rsid w:val="006C4043"/>
    <w:rsid w:val="006C5380"/>
    <w:rsid w:val="006D1DB4"/>
    <w:rsid w:val="006D2A7B"/>
    <w:rsid w:val="006E19D2"/>
    <w:rsid w:val="00705279"/>
    <w:rsid w:val="00715DF4"/>
    <w:rsid w:val="00720915"/>
    <w:rsid w:val="00723E3C"/>
    <w:rsid w:val="007242D8"/>
    <w:rsid w:val="007269C5"/>
    <w:rsid w:val="00736A12"/>
    <w:rsid w:val="00740724"/>
    <w:rsid w:val="007439A2"/>
    <w:rsid w:val="00744523"/>
    <w:rsid w:val="00750046"/>
    <w:rsid w:val="00776406"/>
    <w:rsid w:val="00790374"/>
    <w:rsid w:val="00791A45"/>
    <w:rsid w:val="00796D77"/>
    <w:rsid w:val="007A7B56"/>
    <w:rsid w:val="007B1A69"/>
    <w:rsid w:val="007C1B56"/>
    <w:rsid w:val="007C587C"/>
    <w:rsid w:val="007C795F"/>
    <w:rsid w:val="007D0263"/>
    <w:rsid w:val="007D4445"/>
    <w:rsid w:val="007E7A02"/>
    <w:rsid w:val="008126E9"/>
    <w:rsid w:val="00814BA3"/>
    <w:rsid w:val="008238BF"/>
    <w:rsid w:val="00827AED"/>
    <w:rsid w:val="00833BFA"/>
    <w:rsid w:val="00840518"/>
    <w:rsid w:val="00853548"/>
    <w:rsid w:val="008627C3"/>
    <w:rsid w:val="0086473B"/>
    <w:rsid w:val="008665D2"/>
    <w:rsid w:val="008712F5"/>
    <w:rsid w:val="00894F77"/>
    <w:rsid w:val="00897E40"/>
    <w:rsid w:val="008A743B"/>
    <w:rsid w:val="008C1550"/>
    <w:rsid w:val="008C75CD"/>
    <w:rsid w:val="008D15E4"/>
    <w:rsid w:val="008D64E2"/>
    <w:rsid w:val="008D7249"/>
    <w:rsid w:val="008E12AF"/>
    <w:rsid w:val="008E5678"/>
    <w:rsid w:val="008F2785"/>
    <w:rsid w:val="009162DF"/>
    <w:rsid w:val="00916ACA"/>
    <w:rsid w:val="00916CCD"/>
    <w:rsid w:val="00917249"/>
    <w:rsid w:val="00927BB9"/>
    <w:rsid w:val="009318E9"/>
    <w:rsid w:val="0093286A"/>
    <w:rsid w:val="00945FA1"/>
    <w:rsid w:val="00965A4F"/>
    <w:rsid w:val="009675AB"/>
    <w:rsid w:val="009755D8"/>
    <w:rsid w:val="00990371"/>
    <w:rsid w:val="009929F3"/>
    <w:rsid w:val="009A0BA0"/>
    <w:rsid w:val="009B56D5"/>
    <w:rsid w:val="009C466E"/>
    <w:rsid w:val="009E0D43"/>
    <w:rsid w:val="009E475D"/>
    <w:rsid w:val="009E7D09"/>
    <w:rsid w:val="009F5218"/>
    <w:rsid w:val="009F5F81"/>
    <w:rsid w:val="009F6B99"/>
    <w:rsid w:val="00A03644"/>
    <w:rsid w:val="00A03957"/>
    <w:rsid w:val="00A12350"/>
    <w:rsid w:val="00A15A87"/>
    <w:rsid w:val="00A1759A"/>
    <w:rsid w:val="00A253FE"/>
    <w:rsid w:val="00A3001B"/>
    <w:rsid w:val="00A36F2E"/>
    <w:rsid w:val="00A43C6C"/>
    <w:rsid w:val="00A45813"/>
    <w:rsid w:val="00A660C7"/>
    <w:rsid w:val="00A6766E"/>
    <w:rsid w:val="00A835B0"/>
    <w:rsid w:val="00A950FA"/>
    <w:rsid w:val="00A95112"/>
    <w:rsid w:val="00A96B99"/>
    <w:rsid w:val="00A972A8"/>
    <w:rsid w:val="00AA51AA"/>
    <w:rsid w:val="00AB620B"/>
    <w:rsid w:val="00AC0196"/>
    <w:rsid w:val="00AC1157"/>
    <w:rsid w:val="00AC28D1"/>
    <w:rsid w:val="00AC3EFF"/>
    <w:rsid w:val="00AC69E0"/>
    <w:rsid w:val="00AD2525"/>
    <w:rsid w:val="00AE3AF3"/>
    <w:rsid w:val="00AF002C"/>
    <w:rsid w:val="00B02B19"/>
    <w:rsid w:val="00B0394B"/>
    <w:rsid w:val="00B12196"/>
    <w:rsid w:val="00B12215"/>
    <w:rsid w:val="00B123A8"/>
    <w:rsid w:val="00B13C65"/>
    <w:rsid w:val="00B16129"/>
    <w:rsid w:val="00B16A07"/>
    <w:rsid w:val="00B22211"/>
    <w:rsid w:val="00B32EFE"/>
    <w:rsid w:val="00B3351E"/>
    <w:rsid w:val="00B3427C"/>
    <w:rsid w:val="00B379A3"/>
    <w:rsid w:val="00B422F5"/>
    <w:rsid w:val="00B4501F"/>
    <w:rsid w:val="00B50C11"/>
    <w:rsid w:val="00B5131C"/>
    <w:rsid w:val="00B6023A"/>
    <w:rsid w:val="00B708FC"/>
    <w:rsid w:val="00B74D53"/>
    <w:rsid w:val="00B75459"/>
    <w:rsid w:val="00BA4AA6"/>
    <w:rsid w:val="00BD1061"/>
    <w:rsid w:val="00BD3CEA"/>
    <w:rsid w:val="00BD5EB4"/>
    <w:rsid w:val="00BE38E9"/>
    <w:rsid w:val="00BE75BA"/>
    <w:rsid w:val="00BF03A4"/>
    <w:rsid w:val="00C02B53"/>
    <w:rsid w:val="00C036E5"/>
    <w:rsid w:val="00C304C1"/>
    <w:rsid w:val="00C375E9"/>
    <w:rsid w:val="00C37AA4"/>
    <w:rsid w:val="00C41C5B"/>
    <w:rsid w:val="00C62C7F"/>
    <w:rsid w:val="00C74A66"/>
    <w:rsid w:val="00C74E39"/>
    <w:rsid w:val="00C80087"/>
    <w:rsid w:val="00C96512"/>
    <w:rsid w:val="00CA0F06"/>
    <w:rsid w:val="00CB178E"/>
    <w:rsid w:val="00CB54DB"/>
    <w:rsid w:val="00CC0F52"/>
    <w:rsid w:val="00CD33A9"/>
    <w:rsid w:val="00CE1E84"/>
    <w:rsid w:val="00D03F2B"/>
    <w:rsid w:val="00D0418D"/>
    <w:rsid w:val="00D04B50"/>
    <w:rsid w:val="00D04BCD"/>
    <w:rsid w:val="00D05A8B"/>
    <w:rsid w:val="00D138E8"/>
    <w:rsid w:val="00D145BB"/>
    <w:rsid w:val="00D177B9"/>
    <w:rsid w:val="00D25998"/>
    <w:rsid w:val="00D30296"/>
    <w:rsid w:val="00D4013F"/>
    <w:rsid w:val="00D41F7E"/>
    <w:rsid w:val="00D51FA2"/>
    <w:rsid w:val="00D54D76"/>
    <w:rsid w:val="00D57DAF"/>
    <w:rsid w:val="00D61870"/>
    <w:rsid w:val="00D72A41"/>
    <w:rsid w:val="00D72DD5"/>
    <w:rsid w:val="00D73845"/>
    <w:rsid w:val="00D823C3"/>
    <w:rsid w:val="00D84CF2"/>
    <w:rsid w:val="00DB2168"/>
    <w:rsid w:val="00DB7B54"/>
    <w:rsid w:val="00DD17C2"/>
    <w:rsid w:val="00DD233E"/>
    <w:rsid w:val="00DD4ADA"/>
    <w:rsid w:val="00DE0F04"/>
    <w:rsid w:val="00DE424B"/>
    <w:rsid w:val="00DE72EC"/>
    <w:rsid w:val="00DF4892"/>
    <w:rsid w:val="00DF5A46"/>
    <w:rsid w:val="00DF6AE3"/>
    <w:rsid w:val="00E0047A"/>
    <w:rsid w:val="00E03242"/>
    <w:rsid w:val="00E130B8"/>
    <w:rsid w:val="00E21D2E"/>
    <w:rsid w:val="00E24CED"/>
    <w:rsid w:val="00E27517"/>
    <w:rsid w:val="00E33EEC"/>
    <w:rsid w:val="00E40134"/>
    <w:rsid w:val="00E42397"/>
    <w:rsid w:val="00E50375"/>
    <w:rsid w:val="00E522E5"/>
    <w:rsid w:val="00E5747A"/>
    <w:rsid w:val="00E66960"/>
    <w:rsid w:val="00E66EBC"/>
    <w:rsid w:val="00E74218"/>
    <w:rsid w:val="00E81958"/>
    <w:rsid w:val="00E924CF"/>
    <w:rsid w:val="00EA4398"/>
    <w:rsid w:val="00EA4739"/>
    <w:rsid w:val="00EB15CA"/>
    <w:rsid w:val="00EB2A1B"/>
    <w:rsid w:val="00EB50FF"/>
    <w:rsid w:val="00EB6D48"/>
    <w:rsid w:val="00EC0D6B"/>
    <w:rsid w:val="00EC15BF"/>
    <w:rsid w:val="00EC41E9"/>
    <w:rsid w:val="00EC4BEC"/>
    <w:rsid w:val="00ED3FE2"/>
    <w:rsid w:val="00ED60A3"/>
    <w:rsid w:val="00EE2458"/>
    <w:rsid w:val="00EE3125"/>
    <w:rsid w:val="00EE78C9"/>
    <w:rsid w:val="00EF2FA7"/>
    <w:rsid w:val="00F026D8"/>
    <w:rsid w:val="00F02C44"/>
    <w:rsid w:val="00F06FDD"/>
    <w:rsid w:val="00F07C23"/>
    <w:rsid w:val="00F126B0"/>
    <w:rsid w:val="00F12F7F"/>
    <w:rsid w:val="00F164B3"/>
    <w:rsid w:val="00F171A6"/>
    <w:rsid w:val="00F17364"/>
    <w:rsid w:val="00F17AC1"/>
    <w:rsid w:val="00F20C30"/>
    <w:rsid w:val="00F230EC"/>
    <w:rsid w:val="00F23D81"/>
    <w:rsid w:val="00F25E20"/>
    <w:rsid w:val="00F32FA8"/>
    <w:rsid w:val="00F33A92"/>
    <w:rsid w:val="00F5066F"/>
    <w:rsid w:val="00F67CA4"/>
    <w:rsid w:val="00F83AC9"/>
    <w:rsid w:val="00F8704C"/>
    <w:rsid w:val="00FA478E"/>
    <w:rsid w:val="00FB25B7"/>
    <w:rsid w:val="00FB7308"/>
    <w:rsid w:val="00FC0FE1"/>
    <w:rsid w:val="00FC2896"/>
    <w:rsid w:val="00FD18E7"/>
    <w:rsid w:val="00FE2632"/>
    <w:rsid w:val="00FF1AE1"/>
    <w:rsid w:val="00FF3EFF"/>
    <w:rsid w:val="00FF514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5045"/>
  <w15:docId w15:val="{607CEFA5-1759-4B3A-AB44-5126438D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0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A0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4E7"/>
  </w:style>
  <w:style w:type="paragraph" w:styleId="Footer">
    <w:name w:val="footer"/>
    <w:basedOn w:val="Normal"/>
    <w:link w:val="FooterChar"/>
    <w:uiPriority w:val="99"/>
    <w:unhideWhenUsed/>
    <w:rsid w:val="001E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4E7"/>
  </w:style>
  <w:style w:type="character" w:styleId="Hyperlink">
    <w:name w:val="Hyperlink"/>
    <w:basedOn w:val="DefaultParagraphFont"/>
    <w:uiPriority w:val="99"/>
    <w:unhideWhenUsed/>
    <w:rsid w:val="009172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2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B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1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1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19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3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0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6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3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4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8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33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57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7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4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677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331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274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85">
          <w:marLeft w:val="475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38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5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5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5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4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6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5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8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5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3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9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2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3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8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429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060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9174">
          <w:marLeft w:val="994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5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24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0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8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7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2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5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8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34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98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679">
          <w:marLeft w:val="180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14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7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48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3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379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273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033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503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726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10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49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97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647">
          <w:marLeft w:val="2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0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1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54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4358-B806-49C8-8112-DE439605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KONAN, Kouame Jean</cp:lastModifiedBy>
  <cp:revision>26</cp:revision>
  <cp:lastPrinted>2021-02-02T19:39:00Z</cp:lastPrinted>
  <dcterms:created xsi:type="dcterms:W3CDTF">2021-10-08T16:49:00Z</dcterms:created>
  <dcterms:modified xsi:type="dcterms:W3CDTF">2021-10-10T10:34:00Z</dcterms:modified>
</cp:coreProperties>
</file>