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8FD" w:rsidRPr="000C48FD" w:rsidRDefault="000C48FD" w:rsidP="000C48FD">
      <w:pPr>
        <w:spacing w:after="0" w:line="240" w:lineRule="auto"/>
        <w:jc w:val="center"/>
        <w:rPr>
          <w:rFonts w:ascii="Calibri" w:eastAsia="Times New Roman" w:hAnsi="Calibri" w:cs="Times New Roman"/>
          <w:b/>
          <w:bCs/>
          <w:color w:val="0070C0"/>
          <w:sz w:val="32"/>
          <w:szCs w:val="32"/>
        </w:rPr>
      </w:pPr>
    </w:p>
    <w:p w:rsidR="000C48FD" w:rsidRPr="000C48FD" w:rsidRDefault="000C48FD" w:rsidP="000C48FD">
      <w:pPr>
        <w:spacing w:after="0" w:line="240" w:lineRule="auto"/>
        <w:jc w:val="center"/>
        <w:rPr>
          <w:rFonts w:ascii="Calibri" w:eastAsia="Times New Roman" w:hAnsi="Calibri" w:cs="Times New Roman"/>
          <w:b/>
          <w:bCs/>
          <w:color w:val="0070C0"/>
          <w:sz w:val="32"/>
          <w:szCs w:val="32"/>
        </w:rPr>
      </w:pPr>
      <w:r w:rsidRPr="000C48FD">
        <w:rPr>
          <w:rFonts w:ascii="Calibri" w:eastAsia="Times New Roman" w:hAnsi="Calibri" w:cs="Times New Roman"/>
          <w:noProof/>
          <w:sz w:val="24"/>
          <w:szCs w:val="24"/>
        </w:rPr>
        <w:drawing>
          <wp:anchor distT="0" distB="0" distL="114300" distR="114300" simplePos="0" relativeHeight="251659264" behindDoc="0" locked="0" layoutInCell="1" allowOverlap="1" wp14:anchorId="24C21CAF" wp14:editId="45D3220B">
            <wp:simplePos x="0" y="0"/>
            <wp:positionH relativeFrom="column">
              <wp:posOffset>2120900</wp:posOffset>
            </wp:positionH>
            <wp:positionV relativeFrom="paragraph">
              <wp:posOffset>35560</wp:posOffset>
            </wp:positionV>
            <wp:extent cx="1520825" cy="608965"/>
            <wp:effectExtent l="0" t="0" r="3175" b="635"/>
            <wp:wrapSquare wrapText="bothSides"/>
            <wp:docPr id="2" name="Image 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825"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8FD" w:rsidRPr="000C48FD" w:rsidRDefault="000C48FD" w:rsidP="000C48FD">
      <w:pPr>
        <w:spacing w:after="0" w:line="240" w:lineRule="auto"/>
        <w:jc w:val="center"/>
        <w:rPr>
          <w:rFonts w:ascii="Calibri" w:eastAsia="Times New Roman" w:hAnsi="Calibri" w:cs="Times New Roman"/>
          <w:b/>
          <w:bCs/>
          <w:color w:val="0070C0"/>
          <w:sz w:val="32"/>
          <w:szCs w:val="32"/>
        </w:rPr>
      </w:pPr>
    </w:p>
    <w:p w:rsidR="000C48FD" w:rsidRPr="000C48FD" w:rsidRDefault="000C48FD" w:rsidP="000C48FD">
      <w:pPr>
        <w:spacing w:after="0" w:line="240" w:lineRule="auto"/>
        <w:jc w:val="center"/>
        <w:rPr>
          <w:rFonts w:ascii="Calibri" w:eastAsia="Times New Roman" w:hAnsi="Calibri" w:cs="Times New Roman"/>
          <w:b/>
          <w:bCs/>
          <w:color w:val="0070C0"/>
          <w:sz w:val="32"/>
          <w:szCs w:val="32"/>
        </w:rPr>
      </w:pPr>
    </w:p>
    <w:p w:rsidR="000C48FD" w:rsidRPr="000C48FD" w:rsidRDefault="000C48FD" w:rsidP="000C48FD">
      <w:pPr>
        <w:spacing w:after="0" w:line="240" w:lineRule="auto"/>
        <w:jc w:val="center"/>
        <w:rPr>
          <w:rFonts w:ascii="Calibri" w:eastAsia="Times New Roman" w:hAnsi="Calibri" w:cs="Times New Roman"/>
          <w:b/>
          <w:bCs/>
          <w:color w:val="0070C0"/>
          <w:sz w:val="32"/>
          <w:szCs w:val="32"/>
        </w:rPr>
      </w:pPr>
    </w:p>
    <w:p w:rsidR="000C48FD" w:rsidRPr="000C48FD" w:rsidRDefault="000C48FD" w:rsidP="000C48FD">
      <w:pPr>
        <w:spacing w:after="0" w:line="240" w:lineRule="auto"/>
        <w:jc w:val="center"/>
        <w:rPr>
          <w:rFonts w:ascii="Calibri" w:eastAsia="Times New Roman" w:hAnsi="Calibri" w:cs="Times New Roman"/>
          <w:b/>
          <w:bCs/>
          <w:color w:val="0070C0"/>
          <w:sz w:val="32"/>
          <w:szCs w:val="32"/>
        </w:rPr>
      </w:pPr>
    </w:p>
    <w:p w:rsidR="000C48FD" w:rsidRPr="000C48FD" w:rsidRDefault="000C48FD" w:rsidP="000C48FD">
      <w:pPr>
        <w:spacing w:after="0" w:line="240" w:lineRule="auto"/>
        <w:jc w:val="center"/>
        <w:rPr>
          <w:rFonts w:ascii="Calibri" w:eastAsia="Times New Roman" w:hAnsi="Calibri" w:cs="Times New Roman"/>
          <w:b/>
          <w:bCs/>
          <w:color w:val="0070C0"/>
          <w:sz w:val="32"/>
          <w:szCs w:val="32"/>
        </w:rPr>
      </w:pPr>
    </w:p>
    <w:p w:rsidR="000C48FD" w:rsidRPr="000C48FD" w:rsidRDefault="000C48FD" w:rsidP="000C48FD">
      <w:pPr>
        <w:spacing w:after="0" w:line="240" w:lineRule="auto"/>
        <w:jc w:val="center"/>
        <w:rPr>
          <w:rFonts w:ascii="Calibri" w:eastAsia="Times New Roman" w:hAnsi="Calibri" w:cs="Times New Roman"/>
          <w:b/>
          <w:bCs/>
          <w:color w:val="0070C0"/>
          <w:sz w:val="32"/>
          <w:szCs w:val="32"/>
        </w:rPr>
      </w:pPr>
    </w:p>
    <w:p w:rsidR="000C48FD" w:rsidRPr="000C48FD" w:rsidRDefault="000C48FD" w:rsidP="000C48FD">
      <w:pPr>
        <w:spacing w:after="0" w:line="240" w:lineRule="auto"/>
        <w:jc w:val="center"/>
        <w:rPr>
          <w:rFonts w:ascii="Calibri" w:eastAsia="Times New Roman" w:hAnsi="Calibri" w:cs="Times New Roman"/>
          <w:b/>
          <w:bCs/>
          <w:color w:val="0070C0"/>
          <w:sz w:val="32"/>
          <w:szCs w:val="32"/>
        </w:rPr>
      </w:pPr>
    </w:p>
    <w:p w:rsidR="000C48FD" w:rsidRPr="000C48FD" w:rsidRDefault="000C48FD" w:rsidP="000C48FD">
      <w:pPr>
        <w:spacing w:after="0" w:line="240" w:lineRule="auto"/>
        <w:jc w:val="center"/>
        <w:rPr>
          <w:rFonts w:ascii="Calibri" w:eastAsia="Times New Roman" w:hAnsi="Calibri" w:cs="Times New Roman"/>
          <w:b/>
          <w:bCs/>
          <w:color w:val="0070C0"/>
          <w:sz w:val="32"/>
          <w:szCs w:val="32"/>
        </w:rPr>
      </w:pPr>
    </w:p>
    <w:p w:rsidR="000C48FD" w:rsidRPr="000C48FD" w:rsidRDefault="000C48FD" w:rsidP="000C48FD">
      <w:pPr>
        <w:spacing w:after="0" w:line="240" w:lineRule="auto"/>
        <w:jc w:val="center"/>
        <w:rPr>
          <w:rFonts w:ascii="Calibri" w:eastAsia="Times New Roman" w:hAnsi="Calibri" w:cs="Times New Roman"/>
          <w:b/>
          <w:bCs/>
          <w:color w:val="0070C0"/>
          <w:sz w:val="32"/>
          <w:szCs w:val="32"/>
        </w:rPr>
      </w:pPr>
    </w:p>
    <w:p w:rsidR="000C48FD" w:rsidRPr="000C48FD" w:rsidRDefault="000C48FD" w:rsidP="000C48FD">
      <w:pPr>
        <w:spacing w:after="0" w:line="240" w:lineRule="auto"/>
        <w:jc w:val="center"/>
        <w:rPr>
          <w:rFonts w:ascii="Calibri" w:eastAsia="Times New Roman" w:hAnsi="Calibri" w:cs="Times New Roman"/>
          <w:b/>
          <w:bCs/>
          <w:color w:val="0070C0"/>
          <w:sz w:val="32"/>
          <w:szCs w:val="32"/>
        </w:rPr>
      </w:pPr>
    </w:p>
    <w:p w:rsidR="000C48FD" w:rsidRPr="000C48FD" w:rsidRDefault="000C48FD" w:rsidP="000C48FD">
      <w:pPr>
        <w:spacing w:after="0" w:line="240" w:lineRule="auto"/>
        <w:jc w:val="center"/>
        <w:rPr>
          <w:rFonts w:ascii="Calibri" w:eastAsia="Times New Roman" w:hAnsi="Calibri" w:cs="Times New Roman"/>
          <w:b/>
          <w:bCs/>
          <w:color w:val="0070C0"/>
          <w:sz w:val="32"/>
          <w:szCs w:val="32"/>
        </w:rPr>
      </w:pPr>
    </w:p>
    <w:p w:rsidR="000C48FD" w:rsidRPr="001A7044" w:rsidRDefault="001A7044" w:rsidP="000C48FD">
      <w:pPr>
        <w:spacing w:after="0" w:line="240" w:lineRule="auto"/>
        <w:jc w:val="center"/>
        <w:rPr>
          <w:rFonts w:ascii="Britannic Bold" w:eastAsia="Times New Roman" w:hAnsi="Britannic Bold" w:cs="Times New Roman"/>
          <w:b/>
          <w:bCs/>
          <w:color w:val="1B3A7E"/>
          <w:sz w:val="48"/>
          <w:szCs w:val="48"/>
        </w:rPr>
      </w:pPr>
      <w:r>
        <w:rPr>
          <w:rFonts w:ascii="Britannic Bold" w:eastAsia="Times New Roman" w:hAnsi="Britannic Bold" w:cs="Times New Roman"/>
          <w:b/>
          <w:bCs/>
          <w:color w:val="1B3A7E"/>
          <w:sz w:val="72"/>
          <w:szCs w:val="72"/>
        </w:rPr>
        <w:t xml:space="preserve">   </w:t>
      </w:r>
      <w:r w:rsidR="000C48FD" w:rsidRPr="001A7044">
        <w:rPr>
          <w:rFonts w:ascii="Britannic Bold" w:eastAsia="Times New Roman" w:hAnsi="Britannic Bold" w:cs="Times New Roman"/>
          <w:b/>
          <w:bCs/>
          <w:color w:val="1B3A7E"/>
          <w:sz w:val="72"/>
          <w:szCs w:val="72"/>
        </w:rPr>
        <w:t>NOTE CONCEPTUELLE</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5435"/>
        <w:gridCol w:w="206"/>
      </w:tblGrid>
      <w:tr w:rsidR="001A7044" w:rsidRPr="001A7044" w:rsidTr="001A7044">
        <w:trPr>
          <w:trHeight w:val="135"/>
        </w:trPr>
        <w:tc>
          <w:tcPr>
            <w:tcW w:w="7860" w:type="dxa"/>
            <w:gridSpan w:val="3"/>
            <w:shd w:val="clear" w:color="auto" w:fill="002060"/>
          </w:tcPr>
          <w:p w:rsidR="000C48FD" w:rsidRPr="001A7044" w:rsidRDefault="000C48FD" w:rsidP="000C48FD">
            <w:pPr>
              <w:jc w:val="center"/>
              <w:rPr>
                <w:rFonts w:ascii="Bahnschrift Condensed" w:eastAsia="Times New Roman" w:hAnsi="Bahnschrift Condensed"/>
                <w:b/>
                <w:bCs/>
                <w:color w:val="752EB0"/>
                <w:sz w:val="16"/>
                <w:szCs w:val="16"/>
              </w:rPr>
            </w:pPr>
          </w:p>
        </w:tc>
      </w:tr>
      <w:tr w:rsidR="001A7044" w:rsidRPr="000C48FD" w:rsidTr="001A7044">
        <w:trPr>
          <w:trHeight w:val="135"/>
        </w:trPr>
        <w:tc>
          <w:tcPr>
            <w:tcW w:w="7860" w:type="dxa"/>
            <w:gridSpan w:val="3"/>
            <w:shd w:val="clear" w:color="auto" w:fill="D565D2"/>
          </w:tcPr>
          <w:p w:rsidR="000C48FD" w:rsidRPr="000C48FD" w:rsidRDefault="000C48FD" w:rsidP="000C48FD">
            <w:pPr>
              <w:jc w:val="center"/>
              <w:rPr>
                <w:rFonts w:ascii="Bahnschrift Condensed" w:eastAsia="Times New Roman" w:hAnsi="Bahnschrift Condensed"/>
                <w:b/>
                <w:bCs/>
                <w:color w:val="752EB0"/>
                <w:sz w:val="16"/>
                <w:szCs w:val="16"/>
              </w:rPr>
            </w:pPr>
          </w:p>
        </w:tc>
      </w:tr>
      <w:tr w:rsidR="001A7044" w:rsidRPr="001343E2" w:rsidTr="001A7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Pr>
        <w:tc>
          <w:tcPr>
            <w:tcW w:w="2219" w:type="dxa"/>
            <w:tcBorders>
              <w:top w:val="nil"/>
              <w:left w:val="nil"/>
              <w:bottom w:val="nil"/>
              <w:right w:val="nil"/>
            </w:tcBorders>
          </w:tcPr>
          <w:p w:rsidR="000C48FD" w:rsidRPr="000C48FD" w:rsidRDefault="000C48FD" w:rsidP="000C48FD">
            <w:pPr>
              <w:jc w:val="center"/>
              <w:rPr>
                <w:rFonts w:ascii="Calibri" w:eastAsia="Times New Roman" w:hAnsi="Calibri"/>
                <w:b/>
                <w:bCs/>
                <w:sz w:val="32"/>
                <w:szCs w:val="32"/>
              </w:rPr>
            </w:pPr>
            <w:r w:rsidRPr="000C48FD">
              <w:rPr>
                <w:rFonts w:ascii="Bahnschrift Condensed" w:eastAsia="Times New Roman" w:hAnsi="Bahnschrift Condensed"/>
                <w:b/>
                <w:bCs/>
                <w:noProof/>
                <w:color w:val="1B3A7E"/>
                <w:sz w:val="52"/>
                <w:szCs w:val="52"/>
              </w:rPr>
              <w:drawing>
                <wp:inline distT="0" distB="0" distL="0" distR="0" wp14:anchorId="4FCDC9E0" wp14:editId="24C673F6">
                  <wp:extent cx="1092200" cy="894715"/>
                  <wp:effectExtent l="0" t="0" r="0" b="0"/>
                  <wp:docPr id="3" name="Graphic 3"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list_lt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18768" cy="998398"/>
                          </a:xfrm>
                          <a:prstGeom prst="rect">
                            <a:avLst/>
                          </a:prstGeom>
                        </pic:spPr>
                      </pic:pic>
                    </a:graphicData>
                  </a:graphic>
                </wp:inline>
              </w:drawing>
            </w:r>
          </w:p>
        </w:tc>
        <w:tc>
          <w:tcPr>
            <w:tcW w:w="5435" w:type="dxa"/>
            <w:tcBorders>
              <w:top w:val="nil"/>
              <w:left w:val="nil"/>
              <w:bottom w:val="nil"/>
              <w:right w:val="nil"/>
            </w:tcBorders>
          </w:tcPr>
          <w:p w:rsidR="000C48FD" w:rsidRPr="000C48FD" w:rsidRDefault="000C48FD" w:rsidP="001A7044">
            <w:pPr>
              <w:rPr>
                <w:rFonts w:ascii="Calibri" w:eastAsia="Times New Roman" w:hAnsi="Calibri"/>
                <w:b/>
                <w:bCs/>
                <w:sz w:val="32"/>
                <w:szCs w:val="32"/>
                <w:lang w:val="fr-FR"/>
              </w:rPr>
            </w:pPr>
            <w:r w:rsidRPr="000C48FD">
              <w:rPr>
                <w:rFonts w:ascii="Bahnschrift Condensed" w:eastAsia="Times New Roman" w:hAnsi="Bahnschrift Condensed"/>
                <w:b/>
                <w:bCs/>
                <w:color w:val="752EB0"/>
                <w:sz w:val="36"/>
                <w:szCs w:val="36"/>
                <w:lang w:val="fr-FR"/>
              </w:rPr>
              <w:t>DOMAINES D'</w:t>
            </w:r>
            <w:r w:rsidR="001A7044">
              <w:rPr>
                <w:rFonts w:ascii="Bahnschrift Condensed" w:eastAsia="Times New Roman" w:hAnsi="Bahnschrift Condensed"/>
                <w:b/>
                <w:bCs/>
                <w:color w:val="752EB0"/>
                <w:sz w:val="36"/>
                <w:szCs w:val="36"/>
                <w:lang w:val="fr-FR"/>
              </w:rPr>
              <w:t>INTERVENTIONS</w:t>
            </w:r>
            <w:r w:rsidRPr="000C48FD">
              <w:rPr>
                <w:rFonts w:ascii="Bahnschrift Condensed" w:eastAsia="Times New Roman" w:hAnsi="Bahnschrift Condensed"/>
                <w:b/>
                <w:bCs/>
                <w:color w:val="752EB0"/>
                <w:sz w:val="36"/>
                <w:szCs w:val="36"/>
                <w:lang w:val="fr-FR"/>
              </w:rPr>
              <w:t xml:space="preserve"> </w:t>
            </w:r>
            <w:r w:rsidR="001A7044">
              <w:rPr>
                <w:rFonts w:ascii="Bahnschrift Condensed" w:eastAsia="Times New Roman" w:hAnsi="Bahnschrift Condensed"/>
                <w:b/>
                <w:bCs/>
                <w:color w:val="752EB0"/>
                <w:sz w:val="36"/>
                <w:szCs w:val="36"/>
                <w:lang w:val="fr-FR"/>
              </w:rPr>
              <w:t>EN MATIERE DE</w:t>
            </w:r>
            <w:r w:rsidRPr="000C48FD">
              <w:rPr>
                <w:rFonts w:ascii="Bahnschrift Condensed" w:eastAsia="Times New Roman" w:hAnsi="Bahnschrift Condensed"/>
                <w:b/>
                <w:bCs/>
                <w:color w:val="752EB0"/>
                <w:sz w:val="36"/>
                <w:szCs w:val="36"/>
                <w:lang w:val="fr-FR"/>
              </w:rPr>
              <w:t xml:space="preserve"> PERSONNEL DE SANTÉ AU NIVEAU RÉGIONAL ET NATIONAL</w:t>
            </w:r>
            <w:r>
              <w:rPr>
                <w:rFonts w:ascii="Bahnschrift Condensed" w:eastAsia="Times New Roman" w:hAnsi="Bahnschrift Condensed"/>
                <w:b/>
                <w:bCs/>
                <w:color w:val="752EB0"/>
                <w:sz w:val="36"/>
                <w:szCs w:val="36"/>
                <w:lang w:val="fr-FR"/>
              </w:rPr>
              <w:t> :</w:t>
            </w:r>
            <w:r w:rsidR="001A7044">
              <w:rPr>
                <w:rFonts w:ascii="Bahnschrift Condensed" w:eastAsia="Times New Roman" w:hAnsi="Bahnschrift Condensed"/>
                <w:b/>
                <w:bCs/>
                <w:color w:val="752EB0"/>
                <w:sz w:val="36"/>
                <w:szCs w:val="36"/>
                <w:lang w:val="fr-FR"/>
              </w:rPr>
              <w:t xml:space="preserve"> </w:t>
            </w:r>
            <w:r w:rsidRPr="000C48FD">
              <w:rPr>
                <w:rFonts w:ascii="Bahnschrift Condensed" w:eastAsia="Times New Roman" w:hAnsi="Bahnschrift Condensed"/>
                <w:b/>
                <w:bCs/>
                <w:color w:val="752EB0"/>
                <w:sz w:val="36"/>
                <w:szCs w:val="36"/>
                <w:lang w:val="fr-FR"/>
              </w:rPr>
              <w:t xml:space="preserve">2022 </w:t>
            </w:r>
            <w:r>
              <w:rPr>
                <w:rFonts w:ascii="Bahnschrift Condensed" w:eastAsia="Times New Roman" w:hAnsi="Bahnschrift Condensed"/>
                <w:b/>
                <w:bCs/>
                <w:color w:val="752EB0"/>
                <w:sz w:val="36"/>
                <w:szCs w:val="36"/>
                <w:lang w:val="fr-FR"/>
              </w:rPr>
              <w:t>-</w:t>
            </w:r>
            <w:r w:rsidRPr="000C48FD">
              <w:rPr>
                <w:rFonts w:ascii="Bahnschrift Condensed" w:eastAsia="Times New Roman" w:hAnsi="Bahnschrift Condensed"/>
                <w:b/>
                <w:bCs/>
                <w:color w:val="752EB0"/>
                <w:sz w:val="36"/>
                <w:szCs w:val="36"/>
                <w:lang w:val="fr-FR"/>
              </w:rPr>
              <w:t xml:space="preserve"> 2023</w:t>
            </w:r>
            <w:r w:rsidRPr="000C48FD">
              <w:rPr>
                <w:rFonts w:ascii="Bahnschrift Condensed" w:eastAsia="Times New Roman" w:hAnsi="Bahnschrift Condensed"/>
                <w:b/>
                <w:bCs/>
                <w:color w:val="752EB0"/>
                <w:sz w:val="40"/>
                <w:szCs w:val="40"/>
                <w:lang w:val="fr-FR"/>
              </w:rPr>
              <w:t>.</w:t>
            </w:r>
          </w:p>
        </w:tc>
      </w:tr>
      <w:tr w:rsidR="001A7044" w:rsidRPr="001343E2" w:rsidTr="001A7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Pr>
        <w:tc>
          <w:tcPr>
            <w:tcW w:w="2219" w:type="dxa"/>
            <w:tcBorders>
              <w:top w:val="nil"/>
              <w:left w:val="nil"/>
              <w:bottom w:val="nil"/>
              <w:right w:val="nil"/>
            </w:tcBorders>
          </w:tcPr>
          <w:p w:rsidR="000C48FD" w:rsidRPr="000C48FD" w:rsidRDefault="000C48FD" w:rsidP="000C48FD">
            <w:pPr>
              <w:jc w:val="center"/>
              <w:rPr>
                <w:rFonts w:ascii="Bahnschrift Condensed" w:eastAsia="Times New Roman" w:hAnsi="Bahnschrift Condensed"/>
                <w:b/>
                <w:bCs/>
                <w:noProof/>
                <w:color w:val="1B3A7E"/>
                <w:sz w:val="52"/>
                <w:szCs w:val="52"/>
                <w:lang w:val="fr-FR"/>
              </w:rPr>
            </w:pPr>
          </w:p>
        </w:tc>
        <w:tc>
          <w:tcPr>
            <w:tcW w:w="5435" w:type="dxa"/>
            <w:tcBorders>
              <w:top w:val="nil"/>
              <w:left w:val="nil"/>
              <w:bottom w:val="nil"/>
              <w:right w:val="nil"/>
            </w:tcBorders>
          </w:tcPr>
          <w:p w:rsidR="000C48FD" w:rsidRPr="000C48FD" w:rsidRDefault="000C48FD" w:rsidP="000C48FD">
            <w:pPr>
              <w:rPr>
                <w:rFonts w:ascii="Bahnschrift Condensed" w:eastAsia="Times New Roman" w:hAnsi="Bahnschrift Condensed"/>
                <w:b/>
                <w:bCs/>
                <w:color w:val="752EB0"/>
                <w:sz w:val="40"/>
                <w:szCs w:val="40"/>
                <w:lang w:val="fr-FR"/>
              </w:rPr>
            </w:pPr>
          </w:p>
        </w:tc>
      </w:tr>
    </w:tbl>
    <w:p w:rsidR="000C48FD" w:rsidRPr="000C48FD" w:rsidRDefault="000C48FD" w:rsidP="000C48FD">
      <w:pPr>
        <w:spacing w:after="0" w:line="240" w:lineRule="auto"/>
        <w:jc w:val="center"/>
        <w:rPr>
          <w:rFonts w:ascii="Calibri" w:eastAsia="Times New Roman" w:hAnsi="Calibri" w:cs="Times New Roman"/>
          <w:b/>
          <w:bCs/>
          <w:sz w:val="32"/>
          <w:szCs w:val="32"/>
          <w:lang w:val="fr-FR"/>
        </w:rPr>
      </w:pPr>
    </w:p>
    <w:p w:rsidR="000C48FD" w:rsidRPr="000C48FD" w:rsidRDefault="000C48FD" w:rsidP="000C48FD">
      <w:pPr>
        <w:spacing w:after="0" w:line="240" w:lineRule="auto"/>
        <w:jc w:val="center"/>
        <w:rPr>
          <w:rFonts w:ascii="Calibri" w:eastAsia="Times New Roman" w:hAnsi="Calibri" w:cs="Times New Roman"/>
          <w:b/>
          <w:bCs/>
          <w:sz w:val="32"/>
          <w:szCs w:val="32"/>
          <w:lang w:val="fr-FR"/>
        </w:rPr>
      </w:pPr>
    </w:p>
    <w:p w:rsidR="000C48FD" w:rsidRPr="000C48FD" w:rsidRDefault="000C48FD" w:rsidP="000C48FD">
      <w:pPr>
        <w:spacing w:after="0" w:line="240" w:lineRule="auto"/>
        <w:jc w:val="center"/>
        <w:rPr>
          <w:rFonts w:ascii="Calibri" w:eastAsia="Times New Roman" w:hAnsi="Calibri" w:cs="Times New Roman"/>
          <w:b/>
          <w:bCs/>
          <w:sz w:val="32"/>
          <w:szCs w:val="32"/>
          <w:lang w:val="fr-FR"/>
        </w:rPr>
      </w:pPr>
      <w:r w:rsidRPr="000C48FD">
        <w:rPr>
          <w:rFonts w:ascii="Calibri" w:eastAsia="Times New Roman" w:hAnsi="Calibri" w:cs="Times New Roman"/>
          <w:b/>
          <w:bCs/>
          <w:sz w:val="32"/>
          <w:szCs w:val="32"/>
          <w:lang w:val="fr-FR"/>
        </w:rPr>
        <w:t>(</w:t>
      </w:r>
      <w:r w:rsidRPr="000C48FD">
        <w:rPr>
          <w:rFonts w:ascii="Calibri" w:eastAsia="Times New Roman" w:hAnsi="Calibri" w:cs="Times New Roman"/>
          <w:b/>
          <w:bCs/>
          <w:sz w:val="28"/>
          <w:szCs w:val="28"/>
          <w:lang w:val="fr-FR"/>
        </w:rPr>
        <w:t>Version de Juin 2021)</w:t>
      </w:r>
    </w:p>
    <w:p w:rsidR="000C48FD" w:rsidRPr="000C48FD" w:rsidRDefault="000C48FD" w:rsidP="000C48FD">
      <w:pPr>
        <w:spacing w:after="0" w:line="240" w:lineRule="auto"/>
        <w:jc w:val="center"/>
        <w:rPr>
          <w:rFonts w:ascii="Calibri" w:eastAsia="Times New Roman" w:hAnsi="Calibri" w:cs="Times New Roman"/>
          <w:b/>
          <w:bCs/>
          <w:sz w:val="32"/>
          <w:szCs w:val="32"/>
          <w:lang w:val="fr-FR"/>
        </w:rPr>
      </w:pPr>
    </w:p>
    <w:p w:rsidR="000C48FD" w:rsidRPr="000C48FD" w:rsidRDefault="000C48FD" w:rsidP="000C48FD">
      <w:pPr>
        <w:spacing w:after="0" w:line="240" w:lineRule="auto"/>
        <w:jc w:val="center"/>
        <w:rPr>
          <w:rFonts w:ascii="Calibri" w:eastAsia="Times New Roman" w:hAnsi="Calibri" w:cs="Times New Roman"/>
          <w:b/>
          <w:bCs/>
          <w:sz w:val="32"/>
          <w:szCs w:val="32"/>
          <w:lang w:val="fr-FR"/>
        </w:rPr>
      </w:pPr>
    </w:p>
    <w:p w:rsidR="000C48FD" w:rsidRPr="000C48FD" w:rsidRDefault="000C48FD" w:rsidP="000C48FD">
      <w:pPr>
        <w:tabs>
          <w:tab w:val="num" w:pos="720"/>
        </w:tabs>
        <w:spacing w:after="0" w:line="240" w:lineRule="auto"/>
        <w:ind w:left="714" w:hanging="357"/>
        <w:jc w:val="center"/>
        <w:rPr>
          <w:rFonts w:ascii="Calibri" w:eastAsia="Times New Roman" w:hAnsi="Calibri" w:cs="Times New Roman"/>
          <w:sz w:val="24"/>
          <w:szCs w:val="24"/>
          <w:lang w:val="fr-FR"/>
        </w:rPr>
      </w:pPr>
    </w:p>
    <w:p w:rsidR="000C48FD" w:rsidRPr="000C48FD" w:rsidRDefault="000C48FD" w:rsidP="000C48FD">
      <w:pPr>
        <w:tabs>
          <w:tab w:val="num" w:pos="720"/>
        </w:tabs>
        <w:spacing w:after="0" w:line="240" w:lineRule="auto"/>
        <w:ind w:left="714" w:hanging="357"/>
        <w:jc w:val="center"/>
        <w:rPr>
          <w:rFonts w:ascii="Calibri" w:eastAsia="Times New Roman" w:hAnsi="Calibri" w:cs="Times New Roman"/>
          <w:sz w:val="24"/>
          <w:szCs w:val="24"/>
          <w:lang w:val="fr-FR"/>
        </w:rPr>
      </w:pPr>
    </w:p>
    <w:p w:rsidR="000C48FD" w:rsidRPr="000C48FD" w:rsidRDefault="000C48FD" w:rsidP="000C48FD">
      <w:pPr>
        <w:tabs>
          <w:tab w:val="num" w:pos="720"/>
        </w:tabs>
        <w:spacing w:after="0" w:line="240" w:lineRule="auto"/>
        <w:ind w:left="714" w:hanging="357"/>
        <w:jc w:val="center"/>
        <w:rPr>
          <w:rFonts w:ascii="Calibri" w:eastAsia="Times New Roman" w:hAnsi="Calibri" w:cs="Times New Roman"/>
          <w:sz w:val="24"/>
          <w:szCs w:val="24"/>
          <w:lang w:val="fr-FR"/>
        </w:rPr>
      </w:pPr>
    </w:p>
    <w:p w:rsidR="000C48FD" w:rsidRPr="000C48FD" w:rsidRDefault="000C48FD" w:rsidP="000C48FD">
      <w:pPr>
        <w:tabs>
          <w:tab w:val="num" w:pos="720"/>
        </w:tabs>
        <w:spacing w:after="0" w:line="240" w:lineRule="auto"/>
        <w:ind w:left="714" w:hanging="357"/>
        <w:jc w:val="center"/>
        <w:rPr>
          <w:rFonts w:ascii="Calibri" w:eastAsia="Times New Roman" w:hAnsi="Calibri" w:cs="Times New Roman"/>
          <w:sz w:val="24"/>
          <w:szCs w:val="24"/>
          <w:lang w:val="fr-FR"/>
        </w:rPr>
      </w:pPr>
    </w:p>
    <w:p w:rsidR="000C48FD" w:rsidRPr="000C48FD" w:rsidRDefault="000C48FD" w:rsidP="000C48FD">
      <w:pPr>
        <w:tabs>
          <w:tab w:val="num" w:pos="720"/>
        </w:tabs>
        <w:spacing w:after="0" w:line="240" w:lineRule="auto"/>
        <w:ind w:left="714" w:hanging="357"/>
        <w:jc w:val="center"/>
        <w:rPr>
          <w:rFonts w:ascii="Calibri" w:eastAsia="Times New Roman" w:hAnsi="Calibri" w:cs="Times New Roman"/>
          <w:sz w:val="24"/>
          <w:szCs w:val="24"/>
          <w:lang w:val="fr-FR"/>
        </w:rPr>
      </w:pPr>
    </w:p>
    <w:p w:rsidR="000C48FD" w:rsidRPr="000C48FD" w:rsidRDefault="000C48FD" w:rsidP="000C48FD">
      <w:pPr>
        <w:tabs>
          <w:tab w:val="num" w:pos="720"/>
        </w:tabs>
        <w:spacing w:after="0" w:line="240" w:lineRule="auto"/>
        <w:ind w:left="714" w:hanging="357"/>
        <w:rPr>
          <w:rFonts w:ascii="Calibri" w:eastAsia="Times New Roman" w:hAnsi="Calibri" w:cs="Times New Roman"/>
          <w:b/>
          <w:bCs/>
          <w:sz w:val="24"/>
          <w:szCs w:val="24"/>
          <w:lang w:val="fr-FR"/>
        </w:rPr>
      </w:pPr>
      <w:r w:rsidRPr="000C48FD">
        <w:rPr>
          <w:rFonts w:ascii="Calibri" w:eastAsia="Times New Roman" w:hAnsi="Calibri" w:cs="Times New Roman"/>
          <w:b/>
          <w:bCs/>
          <w:sz w:val="24"/>
          <w:szCs w:val="24"/>
          <w:lang w:val="fr-FR"/>
        </w:rPr>
        <w:t>OMS Bureau Régional pour l’Afrique</w:t>
      </w:r>
    </w:p>
    <w:p w:rsidR="000C48FD" w:rsidRDefault="000C48FD" w:rsidP="000C48FD">
      <w:pPr>
        <w:tabs>
          <w:tab w:val="num" w:pos="720"/>
        </w:tabs>
        <w:spacing w:after="0" w:line="240" w:lineRule="auto"/>
        <w:ind w:left="714" w:hanging="357"/>
        <w:rPr>
          <w:rFonts w:ascii="Calibri" w:eastAsia="Times New Roman" w:hAnsi="Calibri" w:cs="Times New Roman"/>
          <w:b/>
          <w:bCs/>
          <w:sz w:val="24"/>
          <w:szCs w:val="24"/>
          <w:lang w:val="fr-FR"/>
        </w:rPr>
      </w:pPr>
      <w:r w:rsidRPr="000C48FD">
        <w:rPr>
          <w:rFonts w:ascii="Calibri" w:eastAsia="Times New Roman" w:hAnsi="Calibri" w:cs="Times New Roman"/>
          <w:b/>
          <w:bCs/>
          <w:sz w:val="24"/>
          <w:szCs w:val="24"/>
          <w:lang w:val="fr-FR"/>
        </w:rPr>
        <w:t xml:space="preserve">Cluster CSU /Cycle de vie </w:t>
      </w:r>
    </w:p>
    <w:p w:rsidR="000C48FD" w:rsidRPr="00463D01" w:rsidRDefault="000C48FD" w:rsidP="000C48FD">
      <w:pPr>
        <w:tabs>
          <w:tab w:val="num" w:pos="720"/>
        </w:tabs>
        <w:spacing w:after="0" w:line="240" w:lineRule="auto"/>
        <w:ind w:left="714" w:hanging="357"/>
        <w:rPr>
          <w:rFonts w:ascii="Calibri" w:eastAsia="Times New Roman" w:hAnsi="Calibri" w:cs="Times New Roman"/>
          <w:b/>
          <w:bCs/>
          <w:sz w:val="24"/>
          <w:szCs w:val="24"/>
          <w:lang w:val="fr-FR"/>
        </w:rPr>
      </w:pPr>
      <w:r>
        <w:rPr>
          <w:rFonts w:ascii="Calibri" w:eastAsia="Times New Roman" w:hAnsi="Calibri" w:cs="Times New Roman"/>
          <w:b/>
          <w:bCs/>
          <w:sz w:val="24"/>
          <w:szCs w:val="24"/>
          <w:lang w:val="fr-FR"/>
        </w:rPr>
        <w:t xml:space="preserve">Unité Personnel de Santé </w:t>
      </w:r>
      <w:r w:rsidRPr="00463D01">
        <w:rPr>
          <w:rFonts w:ascii="Calibri" w:eastAsia="Times New Roman" w:hAnsi="Calibri" w:cs="Times New Roman"/>
          <w:b/>
          <w:bCs/>
          <w:sz w:val="24"/>
          <w:szCs w:val="24"/>
          <w:lang w:val="fr-FR"/>
        </w:rPr>
        <w:t xml:space="preserve"> </w:t>
      </w:r>
    </w:p>
    <w:p w:rsidR="000C48FD" w:rsidRPr="00463D01" w:rsidRDefault="000C48FD" w:rsidP="000C48FD">
      <w:pPr>
        <w:tabs>
          <w:tab w:val="num" w:pos="720"/>
        </w:tabs>
        <w:spacing w:after="0" w:line="240" w:lineRule="auto"/>
        <w:ind w:left="714" w:hanging="357"/>
        <w:rPr>
          <w:rFonts w:ascii="Calibri" w:eastAsia="Times New Roman" w:hAnsi="Calibri" w:cs="Times New Roman"/>
          <w:b/>
          <w:bCs/>
          <w:sz w:val="24"/>
          <w:szCs w:val="24"/>
          <w:lang w:val="fr-FR"/>
        </w:rPr>
      </w:pPr>
      <w:r w:rsidRPr="00463D01">
        <w:rPr>
          <w:rFonts w:ascii="Calibri" w:eastAsia="Times New Roman" w:hAnsi="Calibri" w:cs="Times New Roman"/>
          <w:b/>
          <w:bCs/>
          <w:sz w:val="24"/>
          <w:szCs w:val="24"/>
          <w:lang w:val="fr-FR"/>
        </w:rPr>
        <w:t>Ju</w:t>
      </w:r>
      <w:r w:rsidR="00463D01" w:rsidRPr="00463D01">
        <w:rPr>
          <w:rFonts w:ascii="Calibri" w:eastAsia="Times New Roman" w:hAnsi="Calibri" w:cs="Times New Roman"/>
          <w:b/>
          <w:bCs/>
          <w:sz w:val="24"/>
          <w:szCs w:val="24"/>
          <w:lang w:val="fr-FR"/>
        </w:rPr>
        <w:t>i</w:t>
      </w:r>
      <w:r w:rsidRPr="00463D01">
        <w:rPr>
          <w:rFonts w:ascii="Calibri" w:eastAsia="Times New Roman" w:hAnsi="Calibri" w:cs="Times New Roman"/>
          <w:b/>
          <w:bCs/>
          <w:sz w:val="24"/>
          <w:szCs w:val="24"/>
          <w:lang w:val="fr-FR"/>
        </w:rPr>
        <w:t>n 2021</w:t>
      </w:r>
    </w:p>
    <w:p w:rsidR="00E7132B" w:rsidRPr="001343E2" w:rsidRDefault="008D3931" w:rsidP="00463D01">
      <w:pPr>
        <w:jc w:val="both"/>
        <w:rPr>
          <w:rFonts w:ascii="Trebuchet MS" w:eastAsiaTheme="minorEastAsia" w:hAnsi="Trebuchet MS" w:cs="Times New Roman"/>
          <w:b/>
          <w:bCs/>
          <w:color w:val="C00000"/>
          <w:sz w:val="28"/>
          <w:szCs w:val="28"/>
          <w:lang w:val="fr-FR"/>
        </w:rPr>
      </w:pPr>
      <w:r w:rsidRPr="001343E2">
        <w:rPr>
          <w:rFonts w:ascii="Trebuchet MS" w:eastAsiaTheme="minorEastAsia" w:hAnsi="Trebuchet MS" w:cs="Times New Roman"/>
          <w:b/>
          <w:bCs/>
          <w:color w:val="C00000"/>
          <w:sz w:val="28"/>
          <w:szCs w:val="28"/>
          <w:lang w:val="fr-FR"/>
        </w:rPr>
        <w:lastRenderedPageBreak/>
        <w:t xml:space="preserve">1. </w:t>
      </w:r>
      <w:r w:rsidR="00E7132B" w:rsidRPr="001343E2">
        <w:rPr>
          <w:rFonts w:ascii="Trebuchet MS" w:eastAsiaTheme="minorEastAsia" w:hAnsi="Trebuchet MS" w:cs="Times New Roman"/>
          <w:b/>
          <w:bCs/>
          <w:color w:val="C00000"/>
          <w:sz w:val="28"/>
          <w:szCs w:val="28"/>
          <w:lang w:val="fr-FR"/>
        </w:rPr>
        <w:t>C</w:t>
      </w:r>
      <w:r w:rsidRPr="001343E2">
        <w:rPr>
          <w:rFonts w:ascii="Trebuchet MS" w:eastAsiaTheme="minorEastAsia" w:hAnsi="Trebuchet MS" w:cs="Times New Roman"/>
          <w:b/>
          <w:bCs/>
          <w:color w:val="C00000"/>
          <w:sz w:val="28"/>
          <w:szCs w:val="28"/>
          <w:lang w:val="fr-FR"/>
        </w:rPr>
        <w:t>ONTEXTE</w:t>
      </w:r>
    </w:p>
    <w:p w:rsidR="00E7132B" w:rsidRPr="001343E2" w:rsidRDefault="00463D01" w:rsidP="00463D01">
      <w:pPr>
        <w:jc w:val="both"/>
        <w:rPr>
          <w:rFonts w:ascii="Trebuchet MS" w:eastAsiaTheme="minorEastAsia" w:hAnsi="Trebuchet MS" w:cs="Times New Roman"/>
          <w:sz w:val="24"/>
          <w:szCs w:val="24"/>
          <w:lang w:val="fr-FR"/>
        </w:rPr>
      </w:pPr>
      <w:r w:rsidRPr="00463D01">
        <w:rPr>
          <w:rFonts w:ascii="Trebuchet MS" w:eastAsiaTheme="minorEastAsia" w:hAnsi="Trebuchet MS" w:cs="Times New Roman"/>
          <w:noProof/>
          <w:sz w:val="24"/>
          <w:szCs w:val="24"/>
        </w:rPr>
        <mc:AlternateContent>
          <mc:Choice Requires="wpg">
            <w:drawing>
              <wp:anchor distT="45720" distB="45720" distL="182880" distR="182880" simplePos="0" relativeHeight="251661312" behindDoc="0" locked="0" layoutInCell="1" allowOverlap="1" wp14:anchorId="30319236" wp14:editId="78C2EE91">
                <wp:simplePos x="0" y="0"/>
                <wp:positionH relativeFrom="margin">
                  <wp:posOffset>3378200</wp:posOffset>
                </wp:positionH>
                <wp:positionV relativeFrom="margin">
                  <wp:posOffset>400050</wp:posOffset>
                </wp:positionV>
                <wp:extent cx="2378710" cy="1510665"/>
                <wp:effectExtent l="0" t="0" r="2540" b="0"/>
                <wp:wrapSquare wrapText="bothSides"/>
                <wp:docPr id="198" name="Group 198"/>
                <wp:cNvGraphicFramePr/>
                <a:graphic xmlns:a="http://schemas.openxmlformats.org/drawingml/2006/main">
                  <a:graphicData uri="http://schemas.microsoft.com/office/word/2010/wordprocessingGroup">
                    <wpg:wgp>
                      <wpg:cNvGrpSpPr/>
                      <wpg:grpSpPr>
                        <a:xfrm>
                          <a:off x="0" y="0"/>
                          <a:ext cx="2378710" cy="1510665"/>
                          <a:chOff x="0" y="1"/>
                          <a:chExt cx="3567448" cy="774101"/>
                        </a:xfrm>
                      </wpg:grpSpPr>
                      <wps:wsp>
                        <wps:cNvPr id="199" name="Rectangle 199"/>
                        <wps:cNvSpPr/>
                        <wps:spPr>
                          <a:xfrm>
                            <a:off x="0" y="1"/>
                            <a:ext cx="3567448" cy="2526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3D01" w:rsidRPr="00463D01" w:rsidRDefault="00463D01" w:rsidP="00463D01">
                              <w:pPr>
                                <w:jc w:val="center"/>
                                <w:rPr>
                                  <w:rFonts w:asciiTheme="majorHAnsi" w:eastAsiaTheme="majorEastAsia" w:hAnsiTheme="majorHAnsi" w:cstheme="majorBidi"/>
                                  <w:color w:val="FFFFFF" w:themeColor="background1"/>
                                  <w:szCs w:val="28"/>
                                  <w:lang w:val="fr-FR"/>
                                </w:rPr>
                              </w:pPr>
                              <w:r w:rsidRPr="00463D01">
                                <w:rPr>
                                  <w:rFonts w:ascii="Trebuchet MS" w:hAnsi="Trebuchet MS" w:cs="Noway"/>
                                  <w:b/>
                                  <w:bCs/>
                                  <w:color w:val="FFFFFF" w:themeColor="background1"/>
                                  <w:sz w:val="21"/>
                                  <w:szCs w:val="21"/>
                                  <w:lang w:val="fr-FR"/>
                                </w:rPr>
                                <w:t>AFR KPI.1.1.5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521423"/>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D01" w:rsidRPr="00463D01" w:rsidRDefault="00463D01" w:rsidP="00463D01">
                              <w:pPr>
                                <w:rPr>
                                  <w:lang w:val="fr-FR"/>
                                </w:rPr>
                              </w:pPr>
                              <w:r w:rsidRPr="00463D01">
                                <w:rPr>
                                  <w:rFonts w:ascii="Trebuchet MS" w:hAnsi="Trebuchet MS" w:cs="Noway"/>
                                  <w:color w:val="000000"/>
                                  <w:sz w:val="21"/>
                                  <w:szCs w:val="21"/>
                                  <w:lang w:val="fr-FR"/>
                                </w:rPr>
                                <w:t>Pourcentage d'agents de santé nouvellement recrutés et déployés l'année dernière dans les établissements de soins de santé primaires et dans les communautés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19236" id="Group 198" o:spid="_x0000_s1026" style="position:absolute;left:0;text-align:left;margin-left:266pt;margin-top:31.5pt;width:187.3pt;height:118.95pt;z-index:251661312;mso-wrap-distance-left:14.4pt;mso-wrap-distance-top:3.6pt;mso-wrap-distance-right:14.4pt;mso-wrap-distance-bottom:3.6pt;mso-position-horizontal-relative:margin;mso-position-vertical-relative:margin;mso-width-relative:margin;mso-height-relative:margin" coordorigin="" coordsize="35674,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">
                <v:rect id="Rectangle 199" o:spid="_x0000_s1027"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rsidR="00463D01" w:rsidRPr="00463D01" w:rsidRDefault="00463D01" w:rsidP="00463D01">
                        <w:pPr>
                          <w:jc w:val="center"/>
                          <w:rPr>
                            <w:rFonts w:asciiTheme="majorHAnsi" w:eastAsiaTheme="majorEastAsia" w:hAnsiTheme="majorHAnsi" w:cstheme="majorBidi"/>
                            <w:color w:val="FFFFFF" w:themeColor="background1"/>
                            <w:szCs w:val="28"/>
                            <w:lang w:val="fr-FR"/>
                          </w:rPr>
                        </w:pPr>
                        <w:r w:rsidRPr="00463D01">
                          <w:rPr>
                            <w:rFonts w:ascii="Trebuchet MS" w:hAnsi="Trebuchet MS" w:cs="Noway"/>
                            <w:b/>
                            <w:bCs/>
                            <w:color w:val="FFFFFF" w:themeColor="background1"/>
                            <w:sz w:val="21"/>
                            <w:szCs w:val="21"/>
                            <w:lang w:val="fr-FR"/>
                          </w:rPr>
                          <w:t>AFR KPI.1.1.5</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5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" fillcolor="#d5dce4 [671]" stroked="f" strokeweight=".5pt">
                  <v:textbox inset=",7.2pt,,0">
                    <w:txbxContent>
                      <w:p w:rsidR="00463D01" w:rsidRPr="00463D01" w:rsidRDefault="00463D01" w:rsidP="00463D01">
                        <w:pPr>
                          <w:rPr>
                            <w:lang w:val="fr-FR"/>
                          </w:rPr>
                        </w:pPr>
                        <w:r w:rsidRPr="00463D01">
                          <w:rPr>
                            <w:rFonts w:ascii="Trebuchet MS" w:hAnsi="Trebuchet MS" w:cs="Noway"/>
                            <w:color w:val="000000"/>
                            <w:sz w:val="21"/>
                            <w:szCs w:val="21"/>
                            <w:lang w:val="fr-FR"/>
                          </w:rPr>
                          <w:t>Pourcentage d'agents de santé nouvellement recrutés et déployés l'année dernière dans les établissements de soins de santé primaires et dans les communautés</w:t>
                        </w:r>
                      </w:p>
                    </w:txbxContent>
                  </v:textbox>
                </v:shape>
                <w10:wrap type="square" anchorx="margin" anchory="margin"/>
              </v:group>
            </w:pict>
          </mc:Fallback>
        </mc:AlternateContent>
      </w:r>
      <w:r w:rsidR="00E7132B" w:rsidRPr="001343E2">
        <w:rPr>
          <w:rFonts w:ascii="Trebuchet MS" w:eastAsiaTheme="minorEastAsia" w:hAnsi="Trebuchet MS" w:cs="Times New Roman"/>
          <w:sz w:val="24"/>
          <w:szCs w:val="24"/>
          <w:lang w:val="fr-FR"/>
        </w:rPr>
        <w:t xml:space="preserve">Tous les États membres de la Région africaine de l'OMS ont souscrit aux </w:t>
      </w:r>
      <w:r w:rsidR="001343E2">
        <w:rPr>
          <w:rFonts w:ascii="Trebuchet MS" w:eastAsiaTheme="minorEastAsia" w:hAnsi="Trebuchet MS" w:cs="Times New Roman"/>
          <w:sz w:val="24"/>
          <w:szCs w:val="24"/>
          <w:lang w:val="fr-FR"/>
        </w:rPr>
        <w:t>O</w:t>
      </w:r>
      <w:r w:rsidR="00E7132B" w:rsidRPr="001343E2">
        <w:rPr>
          <w:rFonts w:ascii="Trebuchet MS" w:eastAsiaTheme="minorEastAsia" w:hAnsi="Trebuchet MS" w:cs="Times New Roman"/>
          <w:sz w:val="24"/>
          <w:szCs w:val="24"/>
          <w:lang w:val="fr-FR"/>
        </w:rPr>
        <w:t xml:space="preserve">bjectifs </w:t>
      </w:r>
      <w:r w:rsidR="001343E2">
        <w:rPr>
          <w:rFonts w:ascii="Trebuchet MS" w:eastAsiaTheme="minorEastAsia" w:hAnsi="Trebuchet MS" w:cs="Times New Roman"/>
          <w:sz w:val="24"/>
          <w:szCs w:val="24"/>
          <w:lang w:val="fr-FR"/>
        </w:rPr>
        <w:t>d</w:t>
      </w:r>
      <w:r w:rsidR="00E7132B" w:rsidRPr="001343E2">
        <w:rPr>
          <w:rFonts w:ascii="Trebuchet MS" w:eastAsiaTheme="minorEastAsia" w:hAnsi="Trebuchet MS" w:cs="Times New Roman"/>
          <w:sz w:val="24"/>
          <w:szCs w:val="24"/>
          <w:lang w:val="fr-FR"/>
        </w:rPr>
        <w:t xml:space="preserve">e </w:t>
      </w:r>
      <w:r w:rsidR="001343E2">
        <w:rPr>
          <w:rFonts w:ascii="Trebuchet MS" w:eastAsiaTheme="minorEastAsia" w:hAnsi="Trebuchet MS" w:cs="Times New Roman"/>
          <w:sz w:val="24"/>
          <w:szCs w:val="24"/>
          <w:lang w:val="fr-FR"/>
        </w:rPr>
        <w:t>D</w:t>
      </w:r>
      <w:r w:rsidR="00E7132B" w:rsidRPr="001343E2">
        <w:rPr>
          <w:rFonts w:ascii="Trebuchet MS" w:eastAsiaTheme="minorEastAsia" w:hAnsi="Trebuchet MS" w:cs="Times New Roman"/>
          <w:sz w:val="24"/>
          <w:szCs w:val="24"/>
          <w:lang w:val="fr-FR"/>
        </w:rPr>
        <w:t xml:space="preserve">éveloppement </w:t>
      </w:r>
      <w:r w:rsidR="001343E2">
        <w:rPr>
          <w:rFonts w:ascii="Trebuchet MS" w:eastAsiaTheme="minorEastAsia" w:hAnsi="Trebuchet MS" w:cs="Times New Roman"/>
          <w:sz w:val="24"/>
          <w:szCs w:val="24"/>
          <w:lang w:val="fr-FR"/>
        </w:rPr>
        <w:t>D</w:t>
      </w:r>
      <w:r w:rsidR="00E7132B" w:rsidRPr="001343E2">
        <w:rPr>
          <w:rFonts w:ascii="Trebuchet MS" w:eastAsiaTheme="minorEastAsia" w:hAnsi="Trebuchet MS" w:cs="Times New Roman"/>
          <w:sz w:val="24"/>
          <w:szCs w:val="24"/>
          <w:lang w:val="fr-FR"/>
        </w:rPr>
        <w:t xml:space="preserve">urable (ODD) qui visent à mettre fin à la pauvreté, à protéger la planète et à faire en sorte que d'ici 2030 tous les peuples jouissent de la paix et de la prospérité. L'objectif 3 des ODD vise à assurer une vie saine et le bien-être des personnes de tous âges en réalisant la couverture sanitaire universelle (CSU) - le pivot de toutes les cibles de l'ODD 3. </w:t>
      </w:r>
    </w:p>
    <w:p w:rsidR="00E7132B" w:rsidRPr="001343E2" w:rsidRDefault="00E7132B" w:rsidP="00463D01">
      <w:pPr>
        <w:jc w:val="both"/>
        <w:rPr>
          <w:rFonts w:ascii="Trebuchet MS" w:eastAsiaTheme="minorEastAsia" w:hAnsi="Trebuchet MS" w:cs="Times New Roman"/>
          <w:sz w:val="24"/>
          <w:szCs w:val="24"/>
          <w:lang w:val="fr-FR"/>
        </w:rPr>
      </w:pPr>
    </w:p>
    <w:p w:rsidR="00E7132B" w:rsidRPr="001343E2" w:rsidRDefault="00E7132B" w:rsidP="00463D01">
      <w:p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La force de chaque système de santé est le reflet de la capacité et de l'adéquation de son personnel de santé, qui sont nécessaires pour fournir des services de qualité afin de répondre aux besoins de santé de la population. Par conséquent, pour être efficace, un système de santé doit disposer d'un nombre suffisant d'agents de santé aptes à remplir leur mission, motivés et répartis équitablement entre les niveaux infranationaux afin d'améliorer l'équité</w:t>
      </w:r>
      <w:r w:rsidR="001343E2">
        <w:rPr>
          <w:rFonts w:ascii="Trebuchet MS" w:eastAsiaTheme="minorEastAsia" w:hAnsi="Trebuchet MS" w:cs="Times New Roman"/>
          <w:sz w:val="24"/>
          <w:szCs w:val="24"/>
          <w:lang w:val="fr-FR"/>
        </w:rPr>
        <w:t xml:space="preserve"> en matière</w:t>
      </w:r>
      <w:r w:rsidRPr="001343E2">
        <w:rPr>
          <w:rFonts w:ascii="Trebuchet MS" w:eastAsiaTheme="minorEastAsia" w:hAnsi="Trebuchet MS" w:cs="Times New Roman"/>
          <w:sz w:val="24"/>
          <w:szCs w:val="24"/>
          <w:lang w:val="fr-FR"/>
        </w:rPr>
        <w:t xml:space="preserve"> d'accès à leurs services par l</w:t>
      </w:r>
      <w:r w:rsidR="001343E2">
        <w:rPr>
          <w:rFonts w:ascii="Trebuchet MS" w:eastAsiaTheme="minorEastAsia" w:hAnsi="Trebuchet MS" w:cs="Times New Roman"/>
          <w:sz w:val="24"/>
          <w:szCs w:val="24"/>
          <w:lang w:val="fr-FR"/>
        </w:rPr>
        <w:t>es</w:t>
      </w:r>
      <w:r w:rsidRPr="001343E2">
        <w:rPr>
          <w:rFonts w:ascii="Trebuchet MS" w:eastAsiaTheme="minorEastAsia" w:hAnsi="Trebuchet MS" w:cs="Times New Roman"/>
          <w:sz w:val="24"/>
          <w:szCs w:val="24"/>
          <w:lang w:val="fr-FR"/>
        </w:rPr>
        <w:t xml:space="preserve"> population</w:t>
      </w:r>
      <w:r w:rsidR="001343E2">
        <w:rPr>
          <w:rFonts w:ascii="Trebuchet MS" w:eastAsiaTheme="minorEastAsia" w:hAnsi="Trebuchet MS" w:cs="Times New Roman"/>
          <w:sz w:val="24"/>
          <w:szCs w:val="24"/>
          <w:lang w:val="fr-FR"/>
        </w:rPr>
        <w:t>s</w:t>
      </w:r>
      <w:r w:rsidRPr="001343E2">
        <w:rPr>
          <w:rFonts w:ascii="Trebuchet MS" w:eastAsiaTheme="minorEastAsia" w:hAnsi="Trebuchet MS" w:cs="Times New Roman"/>
          <w:sz w:val="24"/>
          <w:szCs w:val="24"/>
          <w:lang w:val="fr-FR"/>
        </w:rPr>
        <w:t xml:space="preserve"> qui en </w:t>
      </w:r>
      <w:r w:rsidR="001343E2">
        <w:rPr>
          <w:rFonts w:ascii="Trebuchet MS" w:eastAsiaTheme="minorEastAsia" w:hAnsi="Trebuchet MS" w:cs="Times New Roman"/>
          <w:sz w:val="24"/>
          <w:szCs w:val="24"/>
          <w:lang w:val="fr-FR"/>
        </w:rPr>
        <w:t>ont</w:t>
      </w:r>
      <w:r w:rsidRPr="001343E2">
        <w:rPr>
          <w:rFonts w:ascii="Trebuchet MS" w:eastAsiaTheme="minorEastAsia" w:hAnsi="Trebuchet MS" w:cs="Times New Roman"/>
          <w:sz w:val="24"/>
          <w:szCs w:val="24"/>
          <w:lang w:val="fr-FR"/>
        </w:rPr>
        <w:t xml:space="preserve"> besoin. </w:t>
      </w:r>
      <w:r w:rsidR="001343E2" w:rsidRPr="001343E2">
        <w:rPr>
          <w:rFonts w:ascii="Trebuchet MS" w:eastAsiaTheme="minorEastAsia" w:hAnsi="Trebuchet MS" w:cs="Times New Roman"/>
          <w:sz w:val="24"/>
          <w:szCs w:val="24"/>
          <w:lang w:val="fr-FR"/>
        </w:rPr>
        <w:t xml:space="preserve">Cependant, de nombreux pays sont confrontés à de nombreux problèmes de personnel de santé qui ont été en partie attribués à une planification médiocre ou inadéquate qui, à son tour, entraîne des investissements insuffisants dans le personnel de santé (Cometto et Campbell, 2016 ; Cometto et </w:t>
      </w:r>
      <w:proofErr w:type="spellStart"/>
      <w:r w:rsidR="001343E2" w:rsidRPr="001343E2">
        <w:rPr>
          <w:rFonts w:ascii="Trebuchet MS" w:eastAsiaTheme="minorEastAsia" w:hAnsi="Trebuchet MS" w:cs="Times New Roman"/>
          <w:sz w:val="24"/>
          <w:szCs w:val="24"/>
          <w:lang w:val="fr-FR"/>
        </w:rPr>
        <w:t>Witter</w:t>
      </w:r>
      <w:proofErr w:type="spellEnd"/>
      <w:r w:rsidR="001343E2" w:rsidRPr="001343E2">
        <w:rPr>
          <w:rFonts w:ascii="Trebuchet MS" w:eastAsiaTheme="minorEastAsia" w:hAnsi="Trebuchet MS" w:cs="Times New Roman"/>
          <w:sz w:val="24"/>
          <w:szCs w:val="24"/>
          <w:lang w:val="fr-FR"/>
        </w:rPr>
        <w:t>, 2013).</w:t>
      </w:r>
      <w:r w:rsidR="001343E2">
        <w:rPr>
          <w:rFonts w:ascii="Trebuchet MS" w:eastAsiaTheme="minorEastAsia" w:hAnsi="Trebuchet MS" w:cs="Times New Roman"/>
          <w:sz w:val="24"/>
          <w:szCs w:val="24"/>
          <w:lang w:val="fr-FR"/>
        </w:rPr>
        <w:t xml:space="preserve"> C’est d</w:t>
      </w:r>
      <w:r w:rsidRPr="001343E2">
        <w:rPr>
          <w:rFonts w:ascii="Trebuchet MS" w:eastAsiaTheme="minorEastAsia" w:hAnsi="Trebuchet MS" w:cs="Times New Roman"/>
          <w:sz w:val="24"/>
          <w:szCs w:val="24"/>
          <w:lang w:val="fr-FR"/>
        </w:rPr>
        <w:t>ans ce</w:t>
      </w:r>
      <w:r w:rsidR="001343E2">
        <w:rPr>
          <w:rFonts w:ascii="Trebuchet MS" w:eastAsiaTheme="minorEastAsia" w:hAnsi="Trebuchet MS" w:cs="Times New Roman"/>
          <w:sz w:val="24"/>
          <w:szCs w:val="24"/>
          <w:lang w:val="fr-FR"/>
        </w:rPr>
        <w:t xml:space="preserve"> cadre que</w:t>
      </w:r>
      <w:r w:rsidRPr="001343E2">
        <w:rPr>
          <w:rFonts w:ascii="Trebuchet MS" w:eastAsiaTheme="minorEastAsia" w:hAnsi="Trebuchet MS" w:cs="Times New Roman"/>
          <w:sz w:val="24"/>
          <w:szCs w:val="24"/>
          <w:lang w:val="fr-FR"/>
        </w:rPr>
        <w:t xml:space="preserve"> l'ODD</w:t>
      </w:r>
      <w:r w:rsidR="001343E2">
        <w:rPr>
          <w:rFonts w:ascii="Trebuchet MS" w:eastAsiaTheme="minorEastAsia" w:hAnsi="Trebuchet MS" w:cs="Times New Roman"/>
          <w:sz w:val="24"/>
          <w:szCs w:val="24"/>
          <w:lang w:val="fr-FR"/>
        </w:rPr>
        <w:t>-</w:t>
      </w:r>
      <w:r w:rsidRPr="001343E2">
        <w:rPr>
          <w:rFonts w:ascii="Trebuchet MS" w:eastAsiaTheme="minorEastAsia" w:hAnsi="Trebuchet MS" w:cs="Times New Roman"/>
          <w:sz w:val="24"/>
          <w:szCs w:val="24"/>
          <w:lang w:val="fr-FR"/>
        </w:rPr>
        <w:t>3c fixe comme objectif d'augmenter substantiellement le financement de la santé</w:t>
      </w:r>
      <w:r w:rsidR="001343E2">
        <w:rPr>
          <w:rFonts w:ascii="Trebuchet MS" w:eastAsiaTheme="minorEastAsia" w:hAnsi="Trebuchet MS" w:cs="Times New Roman"/>
          <w:sz w:val="24"/>
          <w:szCs w:val="24"/>
          <w:lang w:val="fr-FR"/>
        </w:rPr>
        <w:t>,</w:t>
      </w:r>
      <w:r w:rsidRPr="001343E2">
        <w:rPr>
          <w:rFonts w:ascii="Trebuchet MS" w:eastAsiaTheme="minorEastAsia" w:hAnsi="Trebuchet MS" w:cs="Times New Roman"/>
          <w:sz w:val="24"/>
          <w:szCs w:val="24"/>
          <w:lang w:val="fr-FR"/>
        </w:rPr>
        <w:t xml:space="preserve"> le recrutement, le développement, la formation et la rétention du personnel de santé dans les pays en développement. </w:t>
      </w:r>
    </w:p>
    <w:p w:rsidR="00E7132B" w:rsidRPr="001343E2" w:rsidRDefault="00E7132B" w:rsidP="00463D01">
      <w:pPr>
        <w:jc w:val="both"/>
        <w:rPr>
          <w:rFonts w:ascii="Trebuchet MS" w:eastAsiaTheme="minorEastAsia" w:hAnsi="Trebuchet MS" w:cs="Times New Roman"/>
          <w:sz w:val="24"/>
          <w:szCs w:val="24"/>
          <w:lang w:val="fr-FR"/>
        </w:rPr>
      </w:pPr>
    </w:p>
    <w:p w:rsidR="00E7132B" w:rsidRPr="001343E2" w:rsidRDefault="00E7132B" w:rsidP="00463D01">
      <w:pPr>
        <w:jc w:val="both"/>
        <w:rPr>
          <w:rFonts w:ascii="Trebuchet MS" w:eastAsiaTheme="minorEastAsia" w:hAnsi="Trebuchet MS" w:cs="Times New Roman"/>
          <w:b/>
          <w:bCs/>
          <w:color w:val="C00000"/>
          <w:sz w:val="28"/>
          <w:szCs w:val="28"/>
          <w:lang w:val="fr-FR"/>
        </w:rPr>
      </w:pPr>
      <w:r w:rsidRPr="001343E2">
        <w:rPr>
          <w:rFonts w:ascii="Trebuchet MS" w:eastAsiaTheme="minorEastAsia" w:hAnsi="Trebuchet MS" w:cs="Times New Roman"/>
          <w:b/>
          <w:bCs/>
          <w:color w:val="C00000"/>
          <w:sz w:val="28"/>
          <w:szCs w:val="28"/>
          <w:lang w:val="fr-FR"/>
        </w:rPr>
        <w:t xml:space="preserve">2.  </w:t>
      </w:r>
      <w:r w:rsidR="008D3931" w:rsidRPr="001343E2">
        <w:rPr>
          <w:rFonts w:ascii="Trebuchet MS" w:eastAsiaTheme="minorEastAsia" w:hAnsi="Trebuchet MS" w:cs="Times New Roman"/>
          <w:b/>
          <w:bCs/>
          <w:color w:val="C00000"/>
          <w:sz w:val="28"/>
          <w:szCs w:val="28"/>
          <w:lang w:val="fr-FR"/>
        </w:rPr>
        <w:t>JUSTIFICATION</w:t>
      </w:r>
    </w:p>
    <w:p w:rsidR="00E7132B" w:rsidRPr="001343E2" w:rsidRDefault="00E7132B" w:rsidP="00463D01">
      <w:pPr>
        <w:jc w:val="both"/>
        <w:rPr>
          <w:rFonts w:ascii="Trebuchet MS" w:eastAsiaTheme="minorEastAsia" w:hAnsi="Trebuchet MS" w:cs="Times New Roman"/>
          <w:sz w:val="24"/>
          <w:szCs w:val="24"/>
          <w:lang w:val="fr-FR"/>
        </w:rPr>
      </w:pPr>
      <w:r w:rsidRPr="00463D01">
        <w:rPr>
          <w:rFonts w:ascii="Trebuchet MS" w:eastAsiaTheme="minorEastAsia" w:hAnsi="Trebuchet MS" w:cs="Times New Roman"/>
          <w:sz w:val="24"/>
          <w:szCs w:val="24"/>
          <w:lang w:val="fr-FR"/>
        </w:rPr>
        <w:t xml:space="preserve">Le Directeur général de l'OMS, le Dr </w:t>
      </w:r>
      <w:proofErr w:type="spellStart"/>
      <w:r w:rsidRPr="00463D01">
        <w:rPr>
          <w:rFonts w:ascii="Trebuchet MS" w:eastAsiaTheme="minorEastAsia" w:hAnsi="Trebuchet MS" w:cs="Times New Roman"/>
          <w:sz w:val="24"/>
          <w:szCs w:val="24"/>
          <w:lang w:val="fr-FR"/>
        </w:rPr>
        <w:t>Tedros</w:t>
      </w:r>
      <w:proofErr w:type="spellEnd"/>
      <w:r w:rsidRPr="00463D01">
        <w:rPr>
          <w:rFonts w:ascii="Trebuchet MS" w:eastAsiaTheme="minorEastAsia" w:hAnsi="Trebuchet MS" w:cs="Times New Roman"/>
          <w:sz w:val="24"/>
          <w:szCs w:val="24"/>
          <w:lang w:val="fr-FR"/>
        </w:rPr>
        <w:t xml:space="preserve"> </w:t>
      </w:r>
      <w:proofErr w:type="spellStart"/>
      <w:r w:rsidRPr="00463D01">
        <w:rPr>
          <w:rFonts w:ascii="Trebuchet MS" w:eastAsiaTheme="minorEastAsia" w:hAnsi="Trebuchet MS" w:cs="Times New Roman"/>
          <w:sz w:val="24"/>
          <w:szCs w:val="24"/>
          <w:lang w:val="fr-FR"/>
        </w:rPr>
        <w:t>Adhanom</w:t>
      </w:r>
      <w:proofErr w:type="spellEnd"/>
      <w:r w:rsidRPr="00463D01">
        <w:rPr>
          <w:rFonts w:ascii="Trebuchet MS" w:eastAsiaTheme="minorEastAsia" w:hAnsi="Trebuchet MS" w:cs="Times New Roman"/>
          <w:sz w:val="24"/>
          <w:szCs w:val="24"/>
          <w:lang w:val="fr-FR"/>
        </w:rPr>
        <w:t xml:space="preserve"> GHEBREYESUS, a rappelé en 2019 que les objectifs du Triple milliard consistent à " changer l'ADN de l'organisation pour avoir un impact mesurable sur la vie des personnes que nous servons ". </w:t>
      </w:r>
      <w:r w:rsidRPr="001343E2">
        <w:rPr>
          <w:rFonts w:ascii="Trebuchet MS" w:eastAsiaTheme="minorEastAsia" w:hAnsi="Trebuchet MS" w:cs="Times New Roman"/>
          <w:sz w:val="24"/>
          <w:szCs w:val="24"/>
          <w:lang w:val="fr-FR"/>
        </w:rPr>
        <w:t>Le treizième Programme de travail mondial (GPW13) a défini une approche pour atteindre la cible du Triple Milliard, qui constitue la base des interventions de l'OMS</w:t>
      </w:r>
      <w:r w:rsidR="001343E2">
        <w:rPr>
          <w:rFonts w:ascii="Trebuchet MS" w:eastAsiaTheme="minorEastAsia" w:hAnsi="Trebuchet MS" w:cs="Times New Roman"/>
          <w:sz w:val="24"/>
          <w:szCs w:val="24"/>
          <w:lang w:val="fr-FR"/>
        </w:rPr>
        <w:t xml:space="preserve"> pour </w:t>
      </w:r>
      <w:r w:rsidRPr="001343E2">
        <w:rPr>
          <w:rFonts w:ascii="Trebuchet MS" w:eastAsiaTheme="minorEastAsia" w:hAnsi="Trebuchet MS" w:cs="Times New Roman"/>
          <w:sz w:val="24"/>
          <w:szCs w:val="24"/>
          <w:lang w:val="fr-FR"/>
        </w:rPr>
        <w:t xml:space="preserve">générer un impact au sein des pays au cours de la prochaine période biennale. </w:t>
      </w:r>
    </w:p>
    <w:p w:rsidR="00E7132B" w:rsidRPr="001343E2" w:rsidRDefault="00E7132B" w:rsidP="00463D01">
      <w:p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 xml:space="preserve">La stratégie mondiale de l'OMS sur les ressources humaines pour la santé : </w:t>
      </w:r>
      <w:r w:rsidR="001343E2">
        <w:rPr>
          <w:rFonts w:ascii="Trebuchet MS" w:eastAsiaTheme="minorEastAsia" w:hAnsi="Trebuchet MS" w:cs="Times New Roman"/>
          <w:sz w:val="24"/>
          <w:szCs w:val="24"/>
          <w:lang w:val="fr-FR"/>
        </w:rPr>
        <w:t>agents de santé</w:t>
      </w:r>
      <w:r w:rsidRPr="001343E2">
        <w:rPr>
          <w:rFonts w:ascii="Trebuchet MS" w:eastAsiaTheme="minorEastAsia" w:hAnsi="Trebuchet MS" w:cs="Times New Roman"/>
          <w:sz w:val="24"/>
          <w:szCs w:val="24"/>
          <w:lang w:val="fr-FR"/>
        </w:rPr>
        <w:t xml:space="preserve"> 2030 (OMS, 2016a) n'a pas seulement été approuvée par l'Assemblée mondiale de la santé, mais le Comité régional des ministres de la Santé de la Région Afrique a également </w:t>
      </w:r>
      <w:r w:rsidR="001343E2">
        <w:rPr>
          <w:rFonts w:ascii="Trebuchet MS" w:eastAsiaTheme="minorEastAsia" w:hAnsi="Trebuchet MS" w:cs="Times New Roman"/>
          <w:sz w:val="24"/>
          <w:szCs w:val="24"/>
          <w:lang w:val="fr-FR"/>
        </w:rPr>
        <w:t>endoss</w:t>
      </w:r>
      <w:r w:rsidRPr="001343E2">
        <w:rPr>
          <w:rFonts w:ascii="Trebuchet MS" w:eastAsiaTheme="minorEastAsia" w:hAnsi="Trebuchet MS" w:cs="Times New Roman"/>
          <w:sz w:val="24"/>
          <w:szCs w:val="24"/>
          <w:lang w:val="fr-FR"/>
        </w:rPr>
        <w:t xml:space="preserve">é en 2017 un cadre de mise en œuvre régional (OMS/AFRO, 2020) de cette stratégie pour </w:t>
      </w:r>
      <w:r w:rsidR="001343E2">
        <w:rPr>
          <w:rFonts w:ascii="Trebuchet MS" w:eastAsiaTheme="minorEastAsia" w:hAnsi="Trebuchet MS" w:cs="Times New Roman"/>
          <w:sz w:val="24"/>
          <w:szCs w:val="24"/>
          <w:lang w:val="fr-FR"/>
        </w:rPr>
        <w:t>servir à guider</w:t>
      </w:r>
      <w:r w:rsidRPr="001343E2">
        <w:rPr>
          <w:rFonts w:ascii="Trebuchet MS" w:eastAsiaTheme="minorEastAsia" w:hAnsi="Trebuchet MS" w:cs="Times New Roman"/>
          <w:sz w:val="24"/>
          <w:szCs w:val="24"/>
          <w:lang w:val="fr-FR"/>
        </w:rPr>
        <w:t xml:space="preserve"> les interventions clés visant à résoudre les crises du personnel de santé dans la Région.</w:t>
      </w:r>
    </w:p>
    <w:p w:rsidR="00E7132B" w:rsidRPr="001343E2" w:rsidRDefault="00E7132B" w:rsidP="00463D01">
      <w:p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La raison principale est que les systèmes de santé ne peuvent fonctionner qu'avec des agents de santé ; l'amélioration de la couverture des services de santé et la réalisation du droit de jouir d</w:t>
      </w:r>
      <w:r w:rsidR="001343E2">
        <w:rPr>
          <w:rFonts w:ascii="Trebuchet MS" w:eastAsiaTheme="minorEastAsia" w:hAnsi="Trebuchet MS" w:cs="Times New Roman"/>
          <w:sz w:val="24"/>
          <w:szCs w:val="24"/>
          <w:lang w:val="fr-FR"/>
        </w:rPr>
        <w:t>’</w:t>
      </w:r>
      <w:r w:rsidRPr="001343E2">
        <w:rPr>
          <w:rFonts w:ascii="Trebuchet MS" w:eastAsiaTheme="minorEastAsia" w:hAnsi="Trebuchet MS" w:cs="Times New Roman"/>
          <w:sz w:val="24"/>
          <w:szCs w:val="24"/>
          <w:lang w:val="fr-FR"/>
        </w:rPr>
        <w:t>u</w:t>
      </w:r>
      <w:r w:rsidR="001343E2">
        <w:rPr>
          <w:rFonts w:ascii="Trebuchet MS" w:eastAsiaTheme="minorEastAsia" w:hAnsi="Trebuchet MS" w:cs="Times New Roman"/>
          <w:sz w:val="24"/>
          <w:szCs w:val="24"/>
          <w:lang w:val="fr-FR"/>
        </w:rPr>
        <w:t>n</w:t>
      </w:r>
      <w:r w:rsidRPr="001343E2">
        <w:rPr>
          <w:rFonts w:ascii="Trebuchet MS" w:eastAsiaTheme="minorEastAsia" w:hAnsi="Trebuchet MS" w:cs="Times New Roman"/>
          <w:sz w:val="24"/>
          <w:szCs w:val="24"/>
          <w:lang w:val="fr-FR"/>
        </w:rPr>
        <w:t xml:space="preserve"> meilleur état de santé possible dépendent de leur disponibilité, de leur accessibilité, de leur acceptabilité et de leur qualité.</w:t>
      </w:r>
    </w:p>
    <w:p w:rsidR="00E7132B" w:rsidRPr="00463D01" w:rsidRDefault="00E7132B" w:rsidP="00463D01">
      <w:pPr>
        <w:jc w:val="both"/>
        <w:rPr>
          <w:rFonts w:ascii="Trebuchet MS" w:eastAsiaTheme="minorEastAsia" w:hAnsi="Trebuchet MS" w:cs="Times New Roman"/>
          <w:sz w:val="24"/>
          <w:szCs w:val="24"/>
          <w:lang w:val="fr-FR"/>
        </w:rPr>
      </w:pPr>
      <w:r w:rsidRPr="00463D01">
        <w:rPr>
          <w:rFonts w:ascii="Trebuchet MS" w:eastAsiaTheme="minorEastAsia" w:hAnsi="Trebuchet MS" w:cs="Times New Roman"/>
          <w:sz w:val="24"/>
          <w:szCs w:val="24"/>
          <w:lang w:val="fr-FR"/>
        </w:rPr>
        <w:t>La Région a connu et continue de connaître un sous-investissement chronique dans la planification, l'éducation, la formation, l'emploi et les conditions de travail des agents de santé dans de nombreux pays, et l’inadéquation entre la formation et l'emploi au regard des besoins des systèmes de santé et des population contribue à entretenir des pénuries récurrentes en personnels de santé.</w:t>
      </w:r>
    </w:p>
    <w:p w:rsidR="00E7132B" w:rsidRPr="001343E2" w:rsidRDefault="00E7132B" w:rsidP="00463D01">
      <w:pPr>
        <w:jc w:val="both"/>
        <w:rPr>
          <w:rFonts w:ascii="Trebuchet MS" w:eastAsiaTheme="minorEastAsia" w:hAnsi="Trebuchet MS" w:cs="Times New Roman"/>
          <w:sz w:val="24"/>
          <w:szCs w:val="24"/>
          <w:lang w:val="fr-FR"/>
        </w:rPr>
      </w:pPr>
      <w:r w:rsidRPr="00463D01">
        <w:rPr>
          <w:rFonts w:ascii="Trebuchet MS" w:eastAsiaTheme="minorEastAsia" w:hAnsi="Trebuchet MS" w:cs="Times New Roman"/>
          <w:sz w:val="24"/>
          <w:szCs w:val="24"/>
          <w:lang w:val="fr-FR"/>
        </w:rPr>
        <w:t xml:space="preserve"> </w:t>
      </w:r>
      <w:r w:rsidRPr="001343E2">
        <w:rPr>
          <w:rFonts w:ascii="Trebuchet MS" w:eastAsiaTheme="minorEastAsia" w:hAnsi="Trebuchet MS" w:cs="Times New Roman"/>
          <w:sz w:val="24"/>
          <w:szCs w:val="24"/>
          <w:lang w:val="fr-FR"/>
        </w:rPr>
        <w:t xml:space="preserve">Ces pénuries en RHS dans la région sont aggravées par les </w:t>
      </w:r>
      <w:r w:rsidR="002F7EC7" w:rsidRPr="001343E2">
        <w:rPr>
          <w:rFonts w:ascii="Trebuchet MS" w:eastAsiaTheme="minorEastAsia" w:hAnsi="Trebuchet MS" w:cs="Times New Roman"/>
          <w:sz w:val="24"/>
          <w:szCs w:val="24"/>
          <w:lang w:val="fr-FR"/>
        </w:rPr>
        <w:t>défis</w:t>
      </w:r>
      <w:r w:rsidRPr="001343E2">
        <w:rPr>
          <w:rFonts w:ascii="Trebuchet MS" w:eastAsiaTheme="minorEastAsia" w:hAnsi="Trebuchet MS" w:cs="Times New Roman"/>
          <w:sz w:val="24"/>
          <w:szCs w:val="24"/>
          <w:lang w:val="fr-FR"/>
        </w:rPr>
        <w:t xml:space="preserve"> suivants :</w:t>
      </w:r>
    </w:p>
    <w:p w:rsidR="00E7132B" w:rsidRPr="001343E2" w:rsidRDefault="00E7132B" w:rsidP="00463D01">
      <w:pPr>
        <w:pStyle w:val="ListParagraph"/>
        <w:numPr>
          <w:ilvl w:val="0"/>
          <w:numId w:val="1"/>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La faiblesse de l'approche nationale en matière de planification, d'éducation, de gestion et de coordination du personnel de santé dans les contextes de développement et des urgences sanitaires.</w:t>
      </w:r>
    </w:p>
    <w:p w:rsidR="00E7132B" w:rsidRPr="001343E2" w:rsidRDefault="00E7132B" w:rsidP="00463D01">
      <w:pPr>
        <w:pStyle w:val="ListParagraph"/>
        <w:numPr>
          <w:ilvl w:val="0"/>
          <w:numId w:val="1"/>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 xml:space="preserve">La mauvaise répartition des agents de santé dans les zones rurales, éloignées et mal desservies y compris les difficultés de rétention et de fidélisation. </w:t>
      </w:r>
    </w:p>
    <w:p w:rsidR="00E7132B" w:rsidRPr="001343E2" w:rsidRDefault="00E7132B" w:rsidP="00463D01">
      <w:pPr>
        <w:pStyle w:val="ListParagraph"/>
        <w:numPr>
          <w:ilvl w:val="0"/>
          <w:numId w:val="1"/>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 xml:space="preserve">L’insuffisance de capacités de gestion de la migration internationale des agents de santé </w:t>
      </w:r>
      <w:r w:rsidR="00862271" w:rsidRPr="001343E2">
        <w:rPr>
          <w:rFonts w:ascii="Trebuchet MS" w:eastAsiaTheme="minorEastAsia" w:hAnsi="Trebuchet MS" w:cs="Times New Roman"/>
          <w:sz w:val="24"/>
          <w:szCs w:val="24"/>
          <w:lang w:val="fr-FR"/>
        </w:rPr>
        <w:t>et l</w:t>
      </w:r>
      <w:r w:rsidR="001343E2">
        <w:rPr>
          <w:rFonts w:ascii="Trebuchet MS" w:eastAsiaTheme="minorEastAsia" w:hAnsi="Trebuchet MS" w:cs="Times New Roman"/>
          <w:sz w:val="24"/>
          <w:szCs w:val="24"/>
          <w:lang w:val="fr-FR"/>
        </w:rPr>
        <w:t xml:space="preserve">a faible </w:t>
      </w:r>
      <w:r w:rsidR="00862271" w:rsidRPr="001343E2">
        <w:rPr>
          <w:rFonts w:ascii="Trebuchet MS" w:eastAsiaTheme="minorEastAsia" w:hAnsi="Trebuchet MS" w:cs="Times New Roman"/>
          <w:sz w:val="24"/>
          <w:szCs w:val="24"/>
          <w:lang w:val="fr-FR"/>
        </w:rPr>
        <w:t xml:space="preserve">application </w:t>
      </w:r>
      <w:r w:rsidRPr="001343E2">
        <w:rPr>
          <w:rFonts w:ascii="Trebuchet MS" w:eastAsiaTheme="minorEastAsia" w:hAnsi="Trebuchet MS" w:cs="Times New Roman"/>
          <w:sz w:val="24"/>
          <w:szCs w:val="24"/>
          <w:lang w:val="fr-FR"/>
        </w:rPr>
        <w:t xml:space="preserve">du Code de pratique mondial pour le recrutement international des personnels de santé. </w:t>
      </w:r>
    </w:p>
    <w:p w:rsidR="00E7132B" w:rsidRPr="001343E2" w:rsidRDefault="00862271" w:rsidP="00463D01">
      <w:pPr>
        <w:pStyle w:val="ListParagraph"/>
        <w:numPr>
          <w:ilvl w:val="0"/>
          <w:numId w:val="1"/>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La faiblesse d</w:t>
      </w:r>
      <w:r w:rsidR="00E7132B" w:rsidRPr="001343E2">
        <w:rPr>
          <w:rFonts w:ascii="Trebuchet MS" w:eastAsiaTheme="minorEastAsia" w:hAnsi="Trebuchet MS" w:cs="Times New Roman"/>
          <w:sz w:val="24"/>
          <w:szCs w:val="24"/>
          <w:lang w:val="fr-FR"/>
        </w:rPr>
        <w:t xml:space="preserve">es systèmes d'information sur les ressources humaines pour la santé </w:t>
      </w:r>
      <w:r w:rsidR="001343E2">
        <w:rPr>
          <w:rFonts w:ascii="Trebuchet MS" w:eastAsiaTheme="minorEastAsia" w:hAnsi="Trebuchet MS" w:cs="Times New Roman"/>
          <w:sz w:val="24"/>
          <w:szCs w:val="24"/>
          <w:lang w:val="fr-FR"/>
        </w:rPr>
        <w:t>qui devr</w:t>
      </w:r>
      <w:r w:rsidR="00A1314C">
        <w:rPr>
          <w:rFonts w:ascii="Trebuchet MS" w:eastAsiaTheme="minorEastAsia" w:hAnsi="Trebuchet MS" w:cs="Times New Roman"/>
          <w:sz w:val="24"/>
          <w:szCs w:val="24"/>
          <w:lang w:val="fr-FR"/>
        </w:rPr>
        <w:t>ont soutenir</w:t>
      </w:r>
      <w:r w:rsidR="00E7132B" w:rsidRPr="001343E2">
        <w:rPr>
          <w:rFonts w:ascii="Trebuchet MS" w:eastAsiaTheme="minorEastAsia" w:hAnsi="Trebuchet MS" w:cs="Times New Roman"/>
          <w:sz w:val="24"/>
          <w:szCs w:val="24"/>
          <w:lang w:val="fr-FR"/>
        </w:rPr>
        <w:t xml:space="preserve"> la planification, la gestion, la réglementation et le plaidoyer en faveur du développement d</w:t>
      </w:r>
      <w:r w:rsidRPr="001343E2">
        <w:rPr>
          <w:rFonts w:ascii="Trebuchet MS" w:eastAsiaTheme="minorEastAsia" w:hAnsi="Trebuchet MS" w:cs="Times New Roman"/>
          <w:sz w:val="24"/>
          <w:szCs w:val="24"/>
          <w:lang w:val="fr-FR"/>
        </w:rPr>
        <w:t>es RHS</w:t>
      </w:r>
      <w:r w:rsidR="00E7132B" w:rsidRPr="001343E2">
        <w:rPr>
          <w:rFonts w:ascii="Trebuchet MS" w:eastAsiaTheme="minorEastAsia" w:hAnsi="Trebuchet MS" w:cs="Times New Roman"/>
          <w:sz w:val="24"/>
          <w:szCs w:val="24"/>
          <w:lang w:val="fr-FR"/>
        </w:rPr>
        <w:t xml:space="preserve">.  </w:t>
      </w:r>
    </w:p>
    <w:p w:rsidR="00E7132B" w:rsidRPr="001343E2" w:rsidRDefault="00E7132B" w:rsidP="00463D01">
      <w:pPr>
        <w:pStyle w:val="ListParagraph"/>
        <w:numPr>
          <w:ilvl w:val="0"/>
          <w:numId w:val="1"/>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La</w:t>
      </w:r>
      <w:r w:rsidR="00862271" w:rsidRPr="001343E2">
        <w:rPr>
          <w:rFonts w:ascii="Trebuchet MS" w:eastAsiaTheme="minorEastAsia" w:hAnsi="Trebuchet MS" w:cs="Times New Roman"/>
          <w:sz w:val="24"/>
          <w:szCs w:val="24"/>
          <w:lang w:val="fr-FR"/>
        </w:rPr>
        <w:t xml:space="preserve"> faible</w:t>
      </w:r>
      <w:r w:rsidRPr="001343E2">
        <w:rPr>
          <w:rFonts w:ascii="Trebuchet MS" w:eastAsiaTheme="minorEastAsia" w:hAnsi="Trebuchet MS" w:cs="Times New Roman"/>
          <w:sz w:val="24"/>
          <w:szCs w:val="24"/>
          <w:lang w:val="fr-FR"/>
        </w:rPr>
        <w:t xml:space="preserve"> capacité du secteur public à absorber l'offre de travailleurs de la santé en raison </w:t>
      </w:r>
      <w:r w:rsidR="00862271" w:rsidRPr="001343E2">
        <w:rPr>
          <w:rFonts w:ascii="Trebuchet MS" w:eastAsiaTheme="minorEastAsia" w:hAnsi="Trebuchet MS" w:cs="Times New Roman"/>
          <w:sz w:val="24"/>
          <w:szCs w:val="24"/>
          <w:lang w:val="fr-FR"/>
        </w:rPr>
        <w:t xml:space="preserve">notamment </w:t>
      </w:r>
      <w:r w:rsidRPr="001343E2">
        <w:rPr>
          <w:rFonts w:ascii="Trebuchet MS" w:eastAsiaTheme="minorEastAsia" w:hAnsi="Trebuchet MS" w:cs="Times New Roman"/>
          <w:sz w:val="24"/>
          <w:szCs w:val="24"/>
          <w:lang w:val="fr-FR"/>
        </w:rPr>
        <w:t xml:space="preserve">des contraintes budgétaires. </w:t>
      </w:r>
      <w:r w:rsidR="00A1314C">
        <w:rPr>
          <w:rFonts w:ascii="Trebuchet MS" w:eastAsiaTheme="minorEastAsia" w:hAnsi="Trebuchet MS" w:cs="Times New Roman"/>
          <w:sz w:val="24"/>
          <w:szCs w:val="24"/>
          <w:lang w:val="fr-FR"/>
        </w:rPr>
        <w:t>D’autres</w:t>
      </w:r>
      <w:r w:rsidRPr="001343E2">
        <w:rPr>
          <w:rFonts w:ascii="Trebuchet MS" w:eastAsiaTheme="minorEastAsia" w:hAnsi="Trebuchet MS" w:cs="Times New Roman"/>
          <w:sz w:val="24"/>
          <w:szCs w:val="24"/>
          <w:lang w:val="fr-FR"/>
        </w:rPr>
        <w:t xml:space="preserve"> pays sont confrontés au paradoxe du chômage des agents de santé coexistant avec d'importants besoins sanitaires non satisfaits.</w:t>
      </w:r>
    </w:p>
    <w:p w:rsidR="00E7132B" w:rsidRPr="001343E2" w:rsidRDefault="00862271" w:rsidP="00463D01">
      <w:pPr>
        <w:pStyle w:val="ListParagraph"/>
        <w:numPr>
          <w:ilvl w:val="0"/>
          <w:numId w:val="1"/>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L</w:t>
      </w:r>
      <w:r w:rsidR="0032663D" w:rsidRPr="001343E2">
        <w:rPr>
          <w:rFonts w:ascii="Trebuchet MS" w:eastAsiaTheme="minorEastAsia" w:hAnsi="Trebuchet MS" w:cs="Times New Roman"/>
          <w:sz w:val="24"/>
          <w:szCs w:val="24"/>
          <w:lang w:val="fr-FR"/>
        </w:rPr>
        <w:t>a</w:t>
      </w:r>
      <w:r w:rsidR="00E7132B" w:rsidRPr="001343E2">
        <w:rPr>
          <w:rFonts w:ascii="Trebuchet MS" w:eastAsiaTheme="minorEastAsia" w:hAnsi="Trebuchet MS" w:cs="Times New Roman"/>
          <w:sz w:val="24"/>
          <w:szCs w:val="24"/>
          <w:lang w:val="fr-FR"/>
        </w:rPr>
        <w:t xml:space="preserve"> dotation </w:t>
      </w:r>
      <w:r w:rsidR="0032663D" w:rsidRPr="001343E2">
        <w:rPr>
          <w:rFonts w:ascii="Trebuchet MS" w:eastAsiaTheme="minorEastAsia" w:hAnsi="Trebuchet MS" w:cs="Times New Roman"/>
          <w:sz w:val="24"/>
          <w:szCs w:val="24"/>
          <w:lang w:val="fr-FR"/>
        </w:rPr>
        <w:t>in</w:t>
      </w:r>
      <w:r w:rsidRPr="001343E2">
        <w:rPr>
          <w:rFonts w:ascii="Trebuchet MS" w:eastAsiaTheme="minorEastAsia" w:hAnsi="Trebuchet MS" w:cs="Times New Roman"/>
          <w:sz w:val="24"/>
          <w:szCs w:val="24"/>
          <w:lang w:val="fr-FR"/>
        </w:rPr>
        <w:t xml:space="preserve">adéquate </w:t>
      </w:r>
      <w:r w:rsidR="00E7132B" w:rsidRPr="001343E2">
        <w:rPr>
          <w:rFonts w:ascii="Trebuchet MS" w:eastAsiaTheme="minorEastAsia" w:hAnsi="Trebuchet MS" w:cs="Times New Roman"/>
          <w:sz w:val="24"/>
          <w:szCs w:val="24"/>
          <w:lang w:val="fr-FR"/>
        </w:rPr>
        <w:t xml:space="preserve">en personnel </w:t>
      </w:r>
      <w:r w:rsidRPr="001343E2">
        <w:rPr>
          <w:rFonts w:ascii="Trebuchet MS" w:eastAsiaTheme="minorEastAsia" w:hAnsi="Trebuchet MS" w:cs="Times New Roman"/>
          <w:sz w:val="24"/>
          <w:szCs w:val="24"/>
          <w:lang w:val="fr-FR"/>
        </w:rPr>
        <w:t xml:space="preserve">de santé </w:t>
      </w:r>
      <w:r w:rsidR="002F7EC7" w:rsidRPr="001343E2">
        <w:rPr>
          <w:rFonts w:ascii="Trebuchet MS" w:eastAsiaTheme="minorEastAsia" w:hAnsi="Trebuchet MS" w:cs="Times New Roman"/>
          <w:sz w:val="24"/>
          <w:szCs w:val="24"/>
          <w:lang w:val="fr-FR"/>
        </w:rPr>
        <w:t>d</w:t>
      </w:r>
      <w:r w:rsidR="00E7132B" w:rsidRPr="001343E2">
        <w:rPr>
          <w:rFonts w:ascii="Trebuchet MS" w:eastAsiaTheme="minorEastAsia" w:hAnsi="Trebuchet MS" w:cs="Times New Roman"/>
          <w:sz w:val="24"/>
          <w:szCs w:val="24"/>
          <w:lang w:val="fr-FR"/>
        </w:rPr>
        <w:t xml:space="preserve">es établissements de santé. </w:t>
      </w:r>
      <w:r w:rsidR="0032663D" w:rsidRPr="001343E2">
        <w:rPr>
          <w:rFonts w:ascii="Trebuchet MS" w:eastAsiaTheme="minorEastAsia" w:hAnsi="Trebuchet MS" w:cs="Times New Roman"/>
          <w:sz w:val="24"/>
          <w:szCs w:val="24"/>
          <w:lang w:val="fr-FR"/>
        </w:rPr>
        <w:t xml:space="preserve"> A cela s’ajoute l</w:t>
      </w:r>
      <w:r w:rsidR="00E7132B" w:rsidRPr="001343E2">
        <w:rPr>
          <w:rFonts w:ascii="Trebuchet MS" w:eastAsiaTheme="minorEastAsia" w:hAnsi="Trebuchet MS" w:cs="Times New Roman"/>
          <w:sz w:val="24"/>
          <w:szCs w:val="24"/>
          <w:lang w:val="fr-FR"/>
        </w:rPr>
        <w:t xml:space="preserve">es </w:t>
      </w:r>
      <w:r w:rsidRPr="001343E2">
        <w:rPr>
          <w:rFonts w:ascii="Trebuchet MS" w:eastAsiaTheme="minorEastAsia" w:hAnsi="Trebuchet MS" w:cs="Times New Roman"/>
          <w:sz w:val="24"/>
          <w:szCs w:val="24"/>
          <w:lang w:val="fr-FR"/>
        </w:rPr>
        <w:t>urgences sanitaires</w:t>
      </w:r>
      <w:r w:rsidR="00E7132B" w:rsidRPr="001343E2">
        <w:rPr>
          <w:rFonts w:ascii="Trebuchet MS" w:eastAsiaTheme="minorEastAsia" w:hAnsi="Trebuchet MS" w:cs="Times New Roman"/>
          <w:sz w:val="24"/>
          <w:szCs w:val="24"/>
          <w:lang w:val="fr-FR"/>
        </w:rPr>
        <w:t xml:space="preserve"> (</w:t>
      </w:r>
      <w:r w:rsidRPr="001343E2">
        <w:rPr>
          <w:rFonts w:ascii="Trebuchet MS" w:eastAsiaTheme="minorEastAsia" w:hAnsi="Trebuchet MS" w:cs="Times New Roman"/>
          <w:sz w:val="24"/>
          <w:szCs w:val="24"/>
          <w:lang w:val="fr-FR"/>
        </w:rPr>
        <w:t xml:space="preserve">par exemple </w:t>
      </w:r>
      <w:r w:rsidR="00E7132B" w:rsidRPr="001343E2">
        <w:rPr>
          <w:rFonts w:ascii="Trebuchet MS" w:eastAsiaTheme="minorEastAsia" w:hAnsi="Trebuchet MS" w:cs="Times New Roman"/>
          <w:sz w:val="24"/>
          <w:szCs w:val="24"/>
          <w:lang w:val="fr-FR"/>
        </w:rPr>
        <w:t xml:space="preserve">Ebola et au COVID-19) </w:t>
      </w:r>
      <w:r w:rsidR="0032663D" w:rsidRPr="001343E2">
        <w:rPr>
          <w:rFonts w:ascii="Trebuchet MS" w:eastAsiaTheme="minorEastAsia" w:hAnsi="Trebuchet MS" w:cs="Times New Roman"/>
          <w:sz w:val="24"/>
          <w:szCs w:val="24"/>
          <w:lang w:val="fr-FR"/>
        </w:rPr>
        <w:t xml:space="preserve">qui exercent une </w:t>
      </w:r>
      <w:r w:rsidRPr="001343E2">
        <w:rPr>
          <w:rFonts w:ascii="Trebuchet MS" w:eastAsiaTheme="minorEastAsia" w:hAnsi="Trebuchet MS" w:cs="Times New Roman"/>
          <w:sz w:val="24"/>
          <w:szCs w:val="24"/>
          <w:lang w:val="fr-FR"/>
        </w:rPr>
        <w:t xml:space="preserve">pression </w:t>
      </w:r>
      <w:r w:rsidR="0032663D" w:rsidRPr="001343E2">
        <w:rPr>
          <w:rFonts w:ascii="Trebuchet MS" w:eastAsiaTheme="minorEastAsia" w:hAnsi="Trebuchet MS" w:cs="Times New Roman"/>
          <w:sz w:val="24"/>
          <w:szCs w:val="24"/>
          <w:lang w:val="fr-FR"/>
        </w:rPr>
        <w:t xml:space="preserve">importante </w:t>
      </w:r>
      <w:r w:rsidRPr="001343E2">
        <w:rPr>
          <w:rFonts w:ascii="Trebuchet MS" w:eastAsiaTheme="minorEastAsia" w:hAnsi="Trebuchet MS" w:cs="Times New Roman"/>
          <w:sz w:val="24"/>
          <w:szCs w:val="24"/>
          <w:lang w:val="fr-FR"/>
        </w:rPr>
        <w:t>de</w:t>
      </w:r>
      <w:r w:rsidR="00E7132B" w:rsidRPr="001343E2">
        <w:rPr>
          <w:rFonts w:ascii="Trebuchet MS" w:eastAsiaTheme="minorEastAsia" w:hAnsi="Trebuchet MS" w:cs="Times New Roman"/>
          <w:sz w:val="24"/>
          <w:szCs w:val="24"/>
          <w:lang w:val="fr-FR"/>
        </w:rPr>
        <w:t xml:space="preserve"> charge de travail </w:t>
      </w:r>
      <w:r w:rsidRPr="001343E2">
        <w:rPr>
          <w:rFonts w:ascii="Trebuchet MS" w:eastAsiaTheme="minorEastAsia" w:hAnsi="Trebuchet MS" w:cs="Times New Roman"/>
          <w:sz w:val="24"/>
          <w:szCs w:val="24"/>
          <w:lang w:val="fr-FR"/>
        </w:rPr>
        <w:t>sur l</w:t>
      </w:r>
      <w:r w:rsidR="00E7132B" w:rsidRPr="001343E2">
        <w:rPr>
          <w:rFonts w:ascii="Trebuchet MS" w:eastAsiaTheme="minorEastAsia" w:hAnsi="Trebuchet MS" w:cs="Times New Roman"/>
          <w:sz w:val="24"/>
          <w:szCs w:val="24"/>
          <w:lang w:val="fr-FR"/>
        </w:rPr>
        <w:t xml:space="preserve">e personnel </w:t>
      </w:r>
      <w:r w:rsidR="002F7EC7" w:rsidRPr="001343E2">
        <w:rPr>
          <w:rFonts w:ascii="Trebuchet MS" w:eastAsiaTheme="minorEastAsia" w:hAnsi="Trebuchet MS" w:cs="Times New Roman"/>
          <w:sz w:val="24"/>
          <w:szCs w:val="24"/>
          <w:lang w:val="fr-FR"/>
        </w:rPr>
        <w:t xml:space="preserve">soignant </w:t>
      </w:r>
      <w:r w:rsidR="0032663D" w:rsidRPr="001343E2">
        <w:rPr>
          <w:rFonts w:ascii="Trebuchet MS" w:eastAsiaTheme="minorEastAsia" w:hAnsi="Trebuchet MS" w:cs="Times New Roman"/>
          <w:sz w:val="24"/>
          <w:szCs w:val="24"/>
          <w:lang w:val="fr-FR"/>
        </w:rPr>
        <w:t>existant</w:t>
      </w:r>
      <w:r w:rsidR="00E7132B" w:rsidRPr="001343E2">
        <w:rPr>
          <w:rFonts w:ascii="Trebuchet MS" w:eastAsiaTheme="minorEastAsia" w:hAnsi="Trebuchet MS" w:cs="Times New Roman"/>
          <w:sz w:val="24"/>
          <w:szCs w:val="24"/>
          <w:lang w:val="fr-FR"/>
        </w:rPr>
        <w:t>.</w:t>
      </w:r>
    </w:p>
    <w:p w:rsidR="00E7132B" w:rsidRPr="001343E2" w:rsidRDefault="002F7EC7" w:rsidP="00463D01">
      <w:pPr>
        <w:pStyle w:val="ListParagraph"/>
        <w:numPr>
          <w:ilvl w:val="0"/>
          <w:numId w:val="1"/>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Les faibles capacité de gestion</w:t>
      </w:r>
      <w:r w:rsidR="00E7132B" w:rsidRPr="001343E2">
        <w:rPr>
          <w:rFonts w:ascii="Trebuchet MS" w:eastAsiaTheme="minorEastAsia" w:hAnsi="Trebuchet MS" w:cs="Times New Roman"/>
          <w:sz w:val="24"/>
          <w:szCs w:val="24"/>
          <w:lang w:val="fr-FR"/>
        </w:rPr>
        <w:t xml:space="preserve">, </w:t>
      </w:r>
      <w:r w:rsidRPr="001343E2">
        <w:rPr>
          <w:rFonts w:ascii="Trebuchet MS" w:eastAsiaTheme="minorEastAsia" w:hAnsi="Trebuchet MS" w:cs="Times New Roman"/>
          <w:sz w:val="24"/>
          <w:szCs w:val="24"/>
          <w:lang w:val="fr-FR"/>
        </w:rPr>
        <w:t>de</w:t>
      </w:r>
      <w:r w:rsidR="00E7132B" w:rsidRPr="001343E2">
        <w:rPr>
          <w:rFonts w:ascii="Trebuchet MS" w:eastAsiaTheme="minorEastAsia" w:hAnsi="Trebuchet MS" w:cs="Times New Roman"/>
          <w:sz w:val="24"/>
          <w:szCs w:val="24"/>
          <w:lang w:val="fr-FR"/>
        </w:rPr>
        <w:t xml:space="preserve"> protection</w:t>
      </w:r>
      <w:r w:rsidRPr="001343E2">
        <w:rPr>
          <w:rFonts w:ascii="Trebuchet MS" w:eastAsiaTheme="minorEastAsia" w:hAnsi="Trebuchet MS" w:cs="Times New Roman"/>
          <w:sz w:val="24"/>
          <w:szCs w:val="24"/>
          <w:lang w:val="fr-FR"/>
        </w:rPr>
        <w:t xml:space="preserve"> des soignants et</w:t>
      </w:r>
      <w:r w:rsidR="00E7132B" w:rsidRPr="001343E2">
        <w:rPr>
          <w:rFonts w:ascii="Trebuchet MS" w:eastAsiaTheme="minorEastAsia" w:hAnsi="Trebuchet MS" w:cs="Times New Roman"/>
          <w:sz w:val="24"/>
          <w:szCs w:val="24"/>
          <w:lang w:val="fr-FR"/>
        </w:rPr>
        <w:t xml:space="preserve"> </w:t>
      </w:r>
      <w:r w:rsidRPr="001343E2">
        <w:rPr>
          <w:rFonts w:ascii="Trebuchet MS" w:eastAsiaTheme="minorEastAsia" w:hAnsi="Trebuchet MS" w:cs="Times New Roman"/>
          <w:sz w:val="24"/>
          <w:szCs w:val="24"/>
          <w:lang w:val="fr-FR"/>
        </w:rPr>
        <w:t>l</w:t>
      </w:r>
      <w:r w:rsidR="00E7132B" w:rsidRPr="001343E2">
        <w:rPr>
          <w:rFonts w:ascii="Trebuchet MS" w:eastAsiaTheme="minorEastAsia" w:hAnsi="Trebuchet MS" w:cs="Times New Roman"/>
          <w:sz w:val="24"/>
          <w:szCs w:val="24"/>
          <w:lang w:val="fr-FR"/>
        </w:rPr>
        <w:t>es</w:t>
      </w:r>
      <w:r w:rsidRPr="001343E2">
        <w:rPr>
          <w:rFonts w:ascii="Trebuchet MS" w:eastAsiaTheme="minorEastAsia" w:hAnsi="Trebuchet MS" w:cs="Times New Roman"/>
          <w:sz w:val="24"/>
          <w:szCs w:val="24"/>
          <w:lang w:val="fr-FR"/>
        </w:rPr>
        <w:t xml:space="preserve"> mauvaises</w:t>
      </w:r>
      <w:r w:rsidR="00E7132B" w:rsidRPr="001343E2">
        <w:rPr>
          <w:rFonts w:ascii="Trebuchet MS" w:eastAsiaTheme="minorEastAsia" w:hAnsi="Trebuchet MS" w:cs="Times New Roman"/>
          <w:sz w:val="24"/>
          <w:szCs w:val="24"/>
          <w:lang w:val="fr-FR"/>
        </w:rPr>
        <w:t xml:space="preserve"> conditions de travail </w:t>
      </w:r>
      <w:r w:rsidRPr="001343E2">
        <w:rPr>
          <w:rFonts w:ascii="Trebuchet MS" w:eastAsiaTheme="minorEastAsia" w:hAnsi="Trebuchet MS" w:cs="Times New Roman"/>
          <w:sz w:val="24"/>
          <w:szCs w:val="24"/>
          <w:lang w:val="fr-FR"/>
        </w:rPr>
        <w:t xml:space="preserve">et de sécurité au travail sont exacerbées </w:t>
      </w:r>
      <w:r w:rsidR="00A1314C">
        <w:rPr>
          <w:rFonts w:ascii="Trebuchet MS" w:eastAsiaTheme="minorEastAsia" w:hAnsi="Trebuchet MS" w:cs="Times New Roman"/>
          <w:sz w:val="24"/>
          <w:szCs w:val="24"/>
          <w:lang w:val="fr-FR"/>
        </w:rPr>
        <w:t xml:space="preserve">pendant les </w:t>
      </w:r>
      <w:r w:rsidRPr="001343E2">
        <w:rPr>
          <w:rFonts w:ascii="Trebuchet MS" w:eastAsiaTheme="minorEastAsia" w:hAnsi="Trebuchet MS" w:cs="Times New Roman"/>
          <w:sz w:val="24"/>
          <w:szCs w:val="24"/>
          <w:lang w:val="fr-FR"/>
        </w:rPr>
        <w:t>urgence</w:t>
      </w:r>
      <w:r w:rsidR="00A1314C">
        <w:rPr>
          <w:rFonts w:ascii="Trebuchet MS" w:eastAsiaTheme="minorEastAsia" w:hAnsi="Trebuchet MS" w:cs="Times New Roman"/>
          <w:sz w:val="24"/>
          <w:szCs w:val="24"/>
          <w:lang w:val="fr-FR"/>
        </w:rPr>
        <w:t>s</w:t>
      </w:r>
      <w:r w:rsidRPr="001343E2">
        <w:rPr>
          <w:rFonts w:ascii="Trebuchet MS" w:eastAsiaTheme="minorEastAsia" w:hAnsi="Trebuchet MS" w:cs="Times New Roman"/>
          <w:sz w:val="24"/>
          <w:szCs w:val="24"/>
          <w:lang w:val="fr-FR"/>
        </w:rPr>
        <w:t xml:space="preserve"> sanitaire</w:t>
      </w:r>
      <w:r w:rsidR="00A1314C">
        <w:rPr>
          <w:rFonts w:ascii="Trebuchet MS" w:eastAsiaTheme="minorEastAsia" w:hAnsi="Trebuchet MS" w:cs="Times New Roman"/>
          <w:sz w:val="24"/>
          <w:szCs w:val="24"/>
          <w:lang w:val="fr-FR"/>
        </w:rPr>
        <w:t>s</w:t>
      </w:r>
      <w:r w:rsidR="00E7132B" w:rsidRPr="001343E2">
        <w:rPr>
          <w:rFonts w:ascii="Trebuchet MS" w:eastAsiaTheme="minorEastAsia" w:hAnsi="Trebuchet MS" w:cs="Times New Roman"/>
          <w:sz w:val="24"/>
          <w:szCs w:val="24"/>
          <w:lang w:val="fr-FR"/>
        </w:rPr>
        <w:t xml:space="preserve">. </w:t>
      </w:r>
    </w:p>
    <w:p w:rsidR="00E7132B" w:rsidRPr="001343E2" w:rsidRDefault="00E7132B" w:rsidP="00463D01">
      <w:p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 xml:space="preserve">Dans le cadre des efforts visant à relever systématiquement certains des défis susmentionnés, il est urgent d'accroître la synergie pour la prochaine période biennale afin de réaliser le résultat 1.1.5 du GPW13 dans le cadre de mise en œuvre de la Stratégie mondiale sur les RHS en vue de réaliser la </w:t>
      </w:r>
      <w:r w:rsidR="00A1314C">
        <w:rPr>
          <w:rFonts w:ascii="Trebuchet MS" w:eastAsiaTheme="minorEastAsia" w:hAnsi="Trebuchet MS" w:cs="Times New Roman"/>
          <w:sz w:val="24"/>
          <w:szCs w:val="24"/>
          <w:lang w:val="fr-FR"/>
        </w:rPr>
        <w:t xml:space="preserve">couverture </w:t>
      </w:r>
      <w:r w:rsidRPr="001343E2">
        <w:rPr>
          <w:rFonts w:ascii="Trebuchet MS" w:eastAsiaTheme="minorEastAsia" w:hAnsi="Trebuchet MS" w:cs="Times New Roman"/>
          <w:sz w:val="24"/>
          <w:szCs w:val="24"/>
          <w:lang w:val="fr-FR"/>
        </w:rPr>
        <w:t>san</w:t>
      </w:r>
      <w:r w:rsidR="00A1314C">
        <w:rPr>
          <w:rFonts w:ascii="Trebuchet MS" w:eastAsiaTheme="minorEastAsia" w:hAnsi="Trebuchet MS" w:cs="Times New Roman"/>
          <w:sz w:val="24"/>
          <w:szCs w:val="24"/>
          <w:lang w:val="fr-FR"/>
        </w:rPr>
        <w:t>itaire</w:t>
      </w:r>
      <w:r w:rsidRPr="001343E2">
        <w:rPr>
          <w:rFonts w:ascii="Trebuchet MS" w:eastAsiaTheme="minorEastAsia" w:hAnsi="Trebuchet MS" w:cs="Times New Roman"/>
          <w:sz w:val="24"/>
          <w:szCs w:val="24"/>
          <w:lang w:val="fr-FR"/>
        </w:rPr>
        <w:t xml:space="preserve"> universelle dans la région africaine.</w:t>
      </w:r>
    </w:p>
    <w:p w:rsidR="00463D01" w:rsidRPr="001343E2" w:rsidRDefault="00463D01" w:rsidP="00463D01">
      <w:pPr>
        <w:jc w:val="both"/>
        <w:rPr>
          <w:rFonts w:ascii="Trebuchet MS" w:eastAsiaTheme="minorEastAsia" w:hAnsi="Trebuchet MS" w:cs="Times New Roman"/>
          <w:sz w:val="24"/>
          <w:szCs w:val="24"/>
          <w:lang w:val="fr-FR"/>
        </w:rPr>
      </w:pPr>
    </w:p>
    <w:p w:rsidR="002F7EC7" w:rsidRPr="001343E2" w:rsidRDefault="002F7EC7" w:rsidP="00463D01">
      <w:pPr>
        <w:jc w:val="both"/>
        <w:rPr>
          <w:rFonts w:ascii="Trebuchet MS" w:eastAsiaTheme="minorEastAsia" w:hAnsi="Trebuchet MS" w:cs="Times New Roman"/>
          <w:sz w:val="24"/>
          <w:szCs w:val="24"/>
          <w:lang w:val="fr-FR"/>
        </w:rPr>
      </w:pPr>
    </w:p>
    <w:p w:rsidR="002F7EC7" w:rsidRPr="001343E2" w:rsidRDefault="002F7EC7" w:rsidP="00463D01">
      <w:pPr>
        <w:jc w:val="both"/>
        <w:rPr>
          <w:rFonts w:ascii="Trebuchet MS" w:eastAsiaTheme="minorEastAsia" w:hAnsi="Trebuchet MS" w:cs="Times New Roman"/>
          <w:b/>
          <w:bCs/>
          <w:color w:val="C00000"/>
          <w:sz w:val="28"/>
          <w:szCs w:val="28"/>
          <w:lang w:val="fr-FR"/>
        </w:rPr>
      </w:pPr>
      <w:r w:rsidRPr="001343E2">
        <w:rPr>
          <w:rFonts w:ascii="Trebuchet MS" w:eastAsiaTheme="minorEastAsia" w:hAnsi="Trebuchet MS" w:cs="Times New Roman"/>
          <w:b/>
          <w:bCs/>
          <w:color w:val="C00000"/>
          <w:sz w:val="28"/>
          <w:szCs w:val="28"/>
          <w:lang w:val="fr-FR"/>
        </w:rPr>
        <w:t>3.  OBJECTIFS ET CIBLES RÉGIONAUX DE L'EXERCICE BIENNAL</w:t>
      </w:r>
    </w:p>
    <w:p w:rsidR="002F7EC7" w:rsidRPr="001343E2" w:rsidRDefault="002F7EC7" w:rsidP="00463D01">
      <w:pPr>
        <w:jc w:val="both"/>
        <w:rPr>
          <w:rFonts w:ascii="Trebuchet MS" w:eastAsiaTheme="minorEastAsia" w:hAnsi="Trebuchet MS" w:cs="Times New Roman"/>
          <w:b/>
          <w:bCs/>
          <w:sz w:val="24"/>
          <w:szCs w:val="24"/>
          <w:lang w:val="fr-FR"/>
        </w:rPr>
      </w:pPr>
      <w:r w:rsidRPr="001343E2">
        <w:rPr>
          <w:rFonts w:ascii="Trebuchet MS" w:eastAsiaTheme="minorEastAsia" w:hAnsi="Trebuchet MS" w:cs="Times New Roman"/>
          <w:b/>
          <w:bCs/>
          <w:sz w:val="24"/>
          <w:szCs w:val="24"/>
          <w:lang w:val="fr-FR"/>
        </w:rPr>
        <w:t xml:space="preserve">3.1. Objectif général </w:t>
      </w:r>
    </w:p>
    <w:p w:rsidR="002F7EC7" w:rsidRPr="001343E2" w:rsidRDefault="002F7EC7" w:rsidP="00463D01">
      <w:p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Permettre aux pays de renforcer</w:t>
      </w:r>
      <w:r w:rsidR="00A1314C">
        <w:rPr>
          <w:rFonts w:ascii="Trebuchet MS" w:eastAsiaTheme="minorEastAsia" w:hAnsi="Trebuchet MS" w:cs="Times New Roman"/>
          <w:sz w:val="24"/>
          <w:szCs w:val="24"/>
          <w:lang w:val="fr-FR"/>
        </w:rPr>
        <w:t xml:space="preserve"> les capacités du</w:t>
      </w:r>
      <w:r w:rsidRPr="001343E2">
        <w:rPr>
          <w:rFonts w:ascii="Trebuchet MS" w:eastAsiaTheme="minorEastAsia" w:hAnsi="Trebuchet MS" w:cs="Times New Roman"/>
          <w:sz w:val="24"/>
          <w:szCs w:val="24"/>
          <w:lang w:val="fr-FR"/>
        </w:rPr>
        <w:t xml:space="preserve"> personnel de santé (résultat 1.1.5 du GPW13).</w:t>
      </w:r>
    </w:p>
    <w:p w:rsidR="002F7EC7" w:rsidRPr="001343E2" w:rsidRDefault="002F7EC7" w:rsidP="00463D01">
      <w:p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3.2. Objectifs spécifiques</w:t>
      </w:r>
    </w:p>
    <w:p w:rsidR="002F7EC7" w:rsidRPr="001343E2" w:rsidRDefault="002F7EC7" w:rsidP="00463D01">
      <w:p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Les objectifs spécifiques découlent du cadre de mise en œuvre régionale du GSHRH :</w:t>
      </w:r>
    </w:p>
    <w:p w:rsidR="002F7EC7" w:rsidRPr="001343E2" w:rsidRDefault="002F7EC7" w:rsidP="00463D01">
      <w:pPr>
        <w:pStyle w:val="ListParagraph"/>
        <w:numPr>
          <w:ilvl w:val="0"/>
          <w:numId w:val="7"/>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Optimiser la performance, la qualité et l'impact du personnel de santé par des politiques et des stratégies fondées sur des données probantes.</w:t>
      </w:r>
    </w:p>
    <w:p w:rsidR="002F7EC7" w:rsidRPr="00463D01" w:rsidRDefault="002F7EC7" w:rsidP="00463D01">
      <w:pPr>
        <w:pStyle w:val="ListParagraph"/>
        <w:numPr>
          <w:ilvl w:val="0"/>
          <w:numId w:val="7"/>
        </w:numPr>
        <w:jc w:val="both"/>
        <w:rPr>
          <w:rFonts w:ascii="Trebuchet MS" w:eastAsiaTheme="minorEastAsia" w:hAnsi="Trebuchet MS" w:cs="Times New Roman"/>
          <w:sz w:val="24"/>
          <w:szCs w:val="24"/>
        </w:rPr>
      </w:pPr>
      <w:r w:rsidRPr="001343E2">
        <w:rPr>
          <w:rFonts w:ascii="Trebuchet MS" w:eastAsiaTheme="minorEastAsia" w:hAnsi="Trebuchet MS" w:cs="Times New Roman"/>
          <w:sz w:val="24"/>
          <w:szCs w:val="24"/>
          <w:lang w:val="fr-FR"/>
        </w:rPr>
        <w:t xml:space="preserve">Aligner l'investissement dans les RHS sur les besoins actuels et futurs de la population et des systèmes de santé. </w:t>
      </w:r>
    </w:p>
    <w:p w:rsidR="002F7EC7" w:rsidRPr="001343E2" w:rsidRDefault="002F7EC7" w:rsidP="00463D01">
      <w:pPr>
        <w:pStyle w:val="ListParagraph"/>
        <w:numPr>
          <w:ilvl w:val="0"/>
          <w:numId w:val="7"/>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Renforcer la capacité des institutions à gérer efficacement les politiques publiques, le leadership et la gouvernance en matière de RHS.</w:t>
      </w:r>
    </w:p>
    <w:p w:rsidR="002F7EC7" w:rsidRPr="001343E2" w:rsidRDefault="002F7EC7" w:rsidP="00463D01">
      <w:pPr>
        <w:pStyle w:val="ListParagraph"/>
        <w:numPr>
          <w:ilvl w:val="0"/>
          <w:numId w:val="7"/>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Renforcer les données sur les RHS pour le suivi et la responsabilité.</w:t>
      </w:r>
    </w:p>
    <w:p w:rsidR="002F7EC7" w:rsidRPr="001343E2" w:rsidRDefault="002F7EC7" w:rsidP="00463D01">
      <w:pPr>
        <w:jc w:val="both"/>
        <w:rPr>
          <w:rFonts w:ascii="Trebuchet MS" w:eastAsiaTheme="minorEastAsia" w:hAnsi="Trebuchet MS" w:cs="Times New Roman"/>
          <w:sz w:val="24"/>
          <w:szCs w:val="24"/>
          <w:lang w:val="fr-FR"/>
        </w:rPr>
      </w:pPr>
    </w:p>
    <w:p w:rsidR="002F7EC7" w:rsidRPr="00315358" w:rsidRDefault="002F7EC7" w:rsidP="00463D01">
      <w:pPr>
        <w:jc w:val="both"/>
        <w:rPr>
          <w:rFonts w:ascii="Trebuchet MS" w:eastAsiaTheme="minorEastAsia" w:hAnsi="Trebuchet MS" w:cs="Times New Roman"/>
          <w:sz w:val="24"/>
          <w:szCs w:val="24"/>
          <w:lang w:val="fr-FR"/>
        </w:rPr>
      </w:pPr>
      <w:r w:rsidRPr="00315358">
        <w:rPr>
          <w:rFonts w:ascii="Trebuchet MS" w:eastAsiaTheme="minorEastAsia" w:hAnsi="Trebuchet MS" w:cs="Times New Roman"/>
          <w:sz w:val="24"/>
          <w:szCs w:val="24"/>
          <w:lang w:val="fr-FR"/>
        </w:rPr>
        <w:t xml:space="preserve">3.3. </w:t>
      </w:r>
      <w:r w:rsidR="00315358">
        <w:rPr>
          <w:rFonts w:ascii="Trebuchet MS" w:eastAsiaTheme="minorEastAsia" w:hAnsi="Trebuchet MS" w:cs="Times New Roman"/>
          <w:sz w:val="24"/>
          <w:szCs w:val="24"/>
          <w:lang w:val="fr-FR"/>
        </w:rPr>
        <w:t>Cibles</w:t>
      </w:r>
      <w:r w:rsidRPr="00315358">
        <w:rPr>
          <w:rFonts w:ascii="Trebuchet MS" w:eastAsiaTheme="minorEastAsia" w:hAnsi="Trebuchet MS" w:cs="Times New Roman"/>
          <w:sz w:val="24"/>
          <w:szCs w:val="24"/>
          <w:lang w:val="fr-FR"/>
        </w:rPr>
        <w:t xml:space="preserve"> régionaux dans la mise en œuvre de la </w:t>
      </w:r>
      <w:r w:rsidR="00315358">
        <w:rPr>
          <w:rFonts w:ascii="Trebuchet MS" w:eastAsiaTheme="minorEastAsia" w:hAnsi="Trebuchet MS" w:cs="Times New Roman"/>
          <w:sz w:val="24"/>
          <w:szCs w:val="24"/>
          <w:lang w:val="fr-FR"/>
        </w:rPr>
        <w:t>Stratégie Mondiale de RHS</w:t>
      </w:r>
      <w:r w:rsidRPr="00315358">
        <w:rPr>
          <w:rFonts w:ascii="Trebuchet MS" w:eastAsiaTheme="minorEastAsia" w:hAnsi="Trebuchet MS" w:cs="Times New Roman"/>
          <w:sz w:val="24"/>
          <w:szCs w:val="24"/>
          <w:lang w:val="fr-FR"/>
        </w:rPr>
        <w:t xml:space="preserve"> </w:t>
      </w:r>
    </w:p>
    <w:p w:rsidR="002F7EC7" w:rsidRPr="00463D01" w:rsidRDefault="00315358" w:rsidP="00463D01">
      <w:pPr>
        <w:jc w:val="both"/>
        <w:rPr>
          <w:rFonts w:ascii="Trebuchet MS" w:eastAsiaTheme="minorEastAsia" w:hAnsi="Trebuchet MS" w:cs="Times New Roman"/>
          <w:sz w:val="24"/>
          <w:szCs w:val="24"/>
        </w:rPr>
      </w:pPr>
      <w:r>
        <w:rPr>
          <w:rFonts w:ascii="Trebuchet MS" w:eastAsiaTheme="minorEastAsia" w:hAnsi="Trebuchet MS" w:cs="Times New Roman"/>
          <w:sz w:val="24"/>
          <w:szCs w:val="24"/>
          <w:lang w:val="fr-FR"/>
        </w:rPr>
        <w:t>Cibles</w:t>
      </w:r>
      <w:r w:rsidR="002F7EC7" w:rsidRPr="00463D01">
        <w:rPr>
          <w:rFonts w:ascii="Trebuchet MS" w:eastAsiaTheme="minorEastAsia" w:hAnsi="Trebuchet MS" w:cs="Times New Roman"/>
          <w:sz w:val="24"/>
          <w:szCs w:val="24"/>
        </w:rPr>
        <w:t xml:space="preserve"> </w:t>
      </w:r>
      <w:proofErr w:type="spellStart"/>
      <w:r w:rsidR="002F7EC7" w:rsidRPr="00463D01">
        <w:rPr>
          <w:rFonts w:ascii="Trebuchet MS" w:eastAsiaTheme="minorEastAsia" w:hAnsi="Trebuchet MS" w:cs="Times New Roman"/>
          <w:sz w:val="24"/>
          <w:szCs w:val="24"/>
        </w:rPr>
        <w:t>d'ici</w:t>
      </w:r>
      <w:proofErr w:type="spellEnd"/>
      <w:r w:rsidR="002F7EC7" w:rsidRPr="00463D01">
        <w:rPr>
          <w:rFonts w:ascii="Trebuchet MS" w:eastAsiaTheme="minorEastAsia" w:hAnsi="Trebuchet MS" w:cs="Times New Roman"/>
          <w:sz w:val="24"/>
          <w:szCs w:val="24"/>
        </w:rPr>
        <w:t xml:space="preserve"> 2023 :</w:t>
      </w:r>
    </w:p>
    <w:p w:rsidR="002F7EC7" w:rsidRPr="001343E2" w:rsidRDefault="002F7EC7" w:rsidP="00463D01">
      <w:pPr>
        <w:pStyle w:val="ListParagraph"/>
        <w:numPr>
          <w:ilvl w:val="0"/>
          <w:numId w:val="5"/>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 xml:space="preserve">Au moins </w:t>
      </w:r>
      <w:r w:rsidR="00A1314C">
        <w:rPr>
          <w:rFonts w:ascii="Trebuchet MS" w:eastAsiaTheme="minorEastAsia" w:hAnsi="Trebuchet MS" w:cs="Times New Roman"/>
          <w:sz w:val="24"/>
          <w:szCs w:val="24"/>
          <w:lang w:val="fr-FR"/>
        </w:rPr>
        <w:t>75</w:t>
      </w:r>
      <w:r w:rsidRPr="001343E2">
        <w:rPr>
          <w:rFonts w:ascii="Trebuchet MS" w:eastAsiaTheme="minorEastAsia" w:hAnsi="Trebuchet MS" w:cs="Times New Roman"/>
          <w:sz w:val="24"/>
          <w:szCs w:val="24"/>
          <w:lang w:val="fr-FR"/>
        </w:rPr>
        <w:t xml:space="preserve"> % des États membres disposent d'un plan</w:t>
      </w:r>
      <w:r w:rsidR="00A1314C">
        <w:rPr>
          <w:rFonts w:ascii="Trebuchet MS" w:eastAsiaTheme="minorEastAsia" w:hAnsi="Trebuchet MS" w:cs="Times New Roman"/>
          <w:sz w:val="24"/>
          <w:szCs w:val="24"/>
          <w:lang w:val="fr-FR"/>
        </w:rPr>
        <w:t xml:space="preserve"> stratégique de RHS ou d’un plan</w:t>
      </w:r>
      <w:r w:rsidRPr="001343E2">
        <w:rPr>
          <w:rFonts w:ascii="Trebuchet MS" w:eastAsiaTheme="minorEastAsia" w:hAnsi="Trebuchet MS" w:cs="Times New Roman"/>
          <w:sz w:val="24"/>
          <w:szCs w:val="24"/>
          <w:lang w:val="fr-FR"/>
        </w:rPr>
        <w:t xml:space="preserve"> d'investissement dans les RHS.</w:t>
      </w:r>
    </w:p>
    <w:p w:rsidR="002F7EC7" w:rsidRPr="001343E2" w:rsidRDefault="002F7EC7" w:rsidP="00463D01">
      <w:pPr>
        <w:pStyle w:val="ListParagraph"/>
        <w:numPr>
          <w:ilvl w:val="0"/>
          <w:numId w:val="5"/>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Au moins 50 % des États membres ont mis en place des comptes nationaux des personnels de santé (NHWA), et/ou des observatoires et des registres des RHS.</w:t>
      </w:r>
    </w:p>
    <w:p w:rsidR="002F7EC7" w:rsidRPr="001343E2" w:rsidRDefault="002F7EC7" w:rsidP="00463D01">
      <w:pPr>
        <w:pStyle w:val="ListParagraph"/>
        <w:numPr>
          <w:ilvl w:val="0"/>
          <w:numId w:val="5"/>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 xml:space="preserve">Tous les États membres ont mis en place des mécanismes institutionnels pour coordonner l'agenda du HWF. </w:t>
      </w:r>
    </w:p>
    <w:p w:rsidR="002F7EC7" w:rsidRPr="00463D01" w:rsidRDefault="002F7EC7" w:rsidP="00463D01">
      <w:pPr>
        <w:pStyle w:val="ListParagraph"/>
        <w:numPr>
          <w:ilvl w:val="0"/>
          <w:numId w:val="5"/>
        </w:numPr>
        <w:jc w:val="both"/>
        <w:rPr>
          <w:rFonts w:ascii="Trebuchet MS" w:eastAsiaTheme="minorEastAsia" w:hAnsi="Trebuchet MS" w:cs="Times New Roman"/>
          <w:sz w:val="24"/>
          <w:szCs w:val="24"/>
        </w:rPr>
      </w:pPr>
      <w:r w:rsidRPr="001343E2">
        <w:rPr>
          <w:rFonts w:ascii="Trebuchet MS" w:eastAsiaTheme="minorEastAsia" w:hAnsi="Trebuchet MS" w:cs="Times New Roman"/>
          <w:sz w:val="24"/>
          <w:szCs w:val="24"/>
          <w:lang w:val="fr-FR"/>
        </w:rPr>
        <w:t xml:space="preserve">50 % des États membres ont mis en place des mécanismes réglementaires pour promouvoir la protection et la sécurité du personnel de santé, ainsi qu'un contrôle adéquat du secteur privé. </w:t>
      </w:r>
    </w:p>
    <w:p w:rsidR="002F7EC7" w:rsidRPr="001343E2" w:rsidRDefault="002F7EC7" w:rsidP="00463D01">
      <w:pPr>
        <w:pStyle w:val="ListParagraph"/>
        <w:numPr>
          <w:ilvl w:val="0"/>
          <w:numId w:val="5"/>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 xml:space="preserve">Au moins </w:t>
      </w:r>
      <w:r w:rsidR="00A1314C">
        <w:rPr>
          <w:rFonts w:ascii="Trebuchet MS" w:eastAsiaTheme="minorEastAsia" w:hAnsi="Trebuchet MS" w:cs="Times New Roman"/>
          <w:sz w:val="24"/>
          <w:szCs w:val="24"/>
          <w:lang w:val="fr-FR"/>
        </w:rPr>
        <w:t>8</w:t>
      </w:r>
      <w:r w:rsidRPr="001343E2">
        <w:rPr>
          <w:rFonts w:ascii="Trebuchet MS" w:eastAsiaTheme="minorEastAsia" w:hAnsi="Trebuchet MS" w:cs="Times New Roman"/>
          <w:sz w:val="24"/>
          <w:szCs w:val="24"/>
          <w:lang w:val="fr-FR"/>
        </w:rPr>
        <w:t>0% des Etats membres ont mis en place des mécanismes d'accréditation pour les institutions de formation en santé.</w:t>
      </w:r>
    </w:p>
    <w:p w:rsidR="002F7EC7" w:rsidRPr="001343E2" w:rsidRDefault="002F7EC7" w:rsidP="00463D01">
      <w:pPr>
        <w:jc w:val="both"/>
        <w:rPr>
          <w:rFonts w:ascii="Trebuchet MS" w:eastAsiaTheme="minorEastAsia" w:hAnsi="Trebuchet MS" w:cs="Times New Roman"/>
          <w:sz w:val="24"/>
          <w:szCs w:val="24"/>
          <w:lang w:val="fr-FR"/>
        </w:rPr>
      </w:pPr>
    </w:p>
    <w:p w:rsidR="002F7EC7" w:rsidRPr="001343E2" w:rsidRDefault="002F7EC7" w:rsidP="00463D01">
      <w:pPr>
        <w:jc w:val="both"/>
        <w:rPr>
          <w:rFonts w:ascii="Trebuchet MS" w:eastAsiaTheme="minorEastAsia" w:hAnsi="Trebuchet MS" w:cs="Times New Roman"/>
          <w:b/>
          <w:bCs/>
          <w:color w:val="C00000"/>
          <w:sz w:val="28"/>
          <w:szCs w:val="28"/>
          <w:lang w:val="fr-FR"/>
        </w:rPr>
      </w:pPr>
      <w:r w:rsidRPr="001343E2">
        <w:rPr>
          <w:rFonts w:ascii="Trebuchet MS" w:eastAsiaTheme="minorEastAsia" w:hAnsi="Trebuchet MS" w:cs="Times New Roman"/>
          <w:b/>
          <w:bCs/>
          <w:color w:val="C00000"/>
          <w:sz w:val="28"/>
          <w:szCs w:val="28"/>
          <w:lang w:val="fr-FR"/>
        </w:rPr>
        <w:t xml:space="preserve">4.   </w:t>
      </w:r>
      <w:r w:rsidR="00315358" w:rsidRPr="001343E2">
        <w:rPr>
          <w:rFonts w:ascii="Trebuchet MS" w:eastAsiaTheme="minorEastAsia" w:hAnsi="Trebuchet MS" w:cs="Times New Roman"/>
          <w:b/>
          <w:bCs/>
          <w:color w:val="C00000"/>
          <w:sz w:val="28"/>
          <w:szCs w:val="28"/>
          <w:lang w:val="fr-FR"/>
        </w:rPr>
        <w:t xml:space="preserve">INTERVENTIONS </w:t>
      </w:r>
      <w:r w:rsidRPr="001343E2">
        <w:rPr>
          <w:rFonts w:ascii="Trebuchet MS" w:eastAsiaTheme="minorEastAsia" w:hAnsi="Trebuchet MS" w:cs="Times New Roman"/>
          <w:b/>
          <w:bCs/>
          <w:color w:val="C00000"/>
          <w:sz w:val="28"/>
          <w:szCs w:val="28"/>
          <w:lang w:val="fr-FR"/>
        </w:rPr>
        <w:t>PRIORIT</w:t>
      </w:r>
      <w:r w:rsidR="00315358" w:rsidRPr="001343E2">
        <w:rPr>
          <w:rFonts w:ascii="Trebuchet MS" w:eastAsiaTheme="minorEastAsia" w:hAnsi="Trebuchet MS" w:cs="Times New Roman"/>
          <w:b/>
          <w:bCs/>
          <w:color w:val="C00000"/>
          <w:sz w:val="28"/>
          <w:szCs w:val="28"/>
          <w:lang w:val="fr-FR"/>
        </w:rPr>
        <w:t>AIRES REGIONALES</w:t>
      </w:r>
    </w:p>
    <w:p w:rsidR="002F7EC7" w:rsidRPr="001343E2" w:rsidRDefault="002F7EC7" w:rsidP="00463D01">
      <w:p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Il y a 11 domaines d'action prioritaires pour la prochaine période biennale :</w:t>
      </w:r>
    </w:p>
    <w:p w:rsidR="002F7EC7" w:rsidRPr="00463D01" w:rsidRDefault="002F7EC7" w:rsidP="00463D01">
      <w:pPr>
        <w:pStyle w:val="ListParagraph"/>
        <w:numPr>
          <w:ilvl w:val="0"/>
          <w:numId w:val="2"/>
        </w:numPr>
        <w:jc w:val="both"/>
        <w:rPr>
          <w:rFonts w:ascii="Trebuchet MS" w:eastAsiaTheme="minorEastAsia" w:hAnsi="Trebuchet MS" w:cs="Times New Roman"/>
          <w:sz w:val="24"/>
          <w:szCs w:val="24"/>
          <w:lang w:val="fr-FR"/>
        </w:rPr>
      </w:pPr>
      <w:r w:rsidRPr="00463D01">
        <w:rPr>
          <w:rFonts w:ascii="Trebuchet MS" w:eastAsiaTheme="minorEastAsia" w:hAnsi="Trebuchet MS" w:cs="Times New Roman"/>
          <w:sz w:val="24"/>
          <w:szCs w:val="24"/>
          <w:lang w:val="fr-FR"/>
        </w:rPr>
        <w:t>Développer des stratégies transformatrices pour augmenter la quantité et la qualité des travailleurs de la santé, y compris le développement et les révisions des programmes d'é</w:t>
      </w:r>
      <w:r w:rsidR="00E9415A">
        <w:rPr>
          <w:rFonts w:ascii="Trebuchet MS" w:eastAsiaTheme="minorEastAsia" w:hAnsi="Trebuchet MS" w:cs="Times New Roman"/>
          <w:sz w:val="24"/>
          <w:szCs w:val="24"/>
          <w:lang w:val="fr-FR"/>
        </w:rPr>
        <w:t>d</w:t>
      </w:r>
      <w:r w:rsidRPr="00463D01">
        <w:rPr>
          <w:rFonts w:ascii="Trebuchet MS" w:eastAsiaTheme="minorEastAsia" w:hAnsi="Trebuchet MS" w:cs="Times New Roman"/>
          <w:sz w:val="24"/>
          <w:szCs w:val="24"/>
          <w:lang w:val="fr-FR"/>
        </w:rPr>
        <w:t>u</w:t>
      </w:r>
      <w:r w:rsidR="00E9415A">
        <w:rPr>
          <w:rFonts w:ascii="Trebuchet MS" w:eastAsiaTheme="minorEastAsia" w:hAnsi="Trebuchet MS" w:cs="Times New Roman"/>
          <w:sz w:val="24"/>
          <w:szCs w:val="24"/>
          <w:lang w:val="fr-FR"/>
        </w:rPr>
        <w:t>cation</w:t>
      </w:r>
      <w:r w:rsidRPr="00463D01">
        <w:rPr>
          <w:rFonts w:ascii="Trebuchet MS" w:eastAsiaTheme="minorEastAsia" w:hAnsi="Trebuchet MS" w:cs="Times New Roman"/>
          <w:sz w:val="24"/>
          <w:szCs w:val="24"/>
          <w:lang w:val="fr-FR"/>
        </w:rPr>
        <w:t xml:space="preserve"> basés sur les compétences.</w:t>
      </w:r>
    </w:p>
    <w:p w:rsidR="002F7EC7" w:rsidRPr="001343E2" w:rsidRDefault="002F7EC7" w:rsidP="00463D01">
      <w:pPr>
        <w:pStyle w:val="ListParagraph"/>
        <w:numPr>
          <w:ilvl w:val="0"/>
          <w:numId w:val="2"/>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Renforcer la capacité de planification pour développer ou améliorer l</w:t>
      </w:r>
      <w:r w:rsidR="00833358" w:rsidRPr="001343E2">
        <w:rPr>
          <w:rFonts w:ascii="Trebuchet MS" w:eastAsiaTheme="minorEastAsia" w:hAnsi="Trebuchet MS" w:cs="Times New Roman"/>
          <w:sz w:val="24"/>
          <w:szCs w:val="24"/>
          <w:lang w:val="fr-FR"/>
        </w:rPr>
        <w:t>es</w:t>
      </w:r>
      <w:r w:rsidRPr="001343E2">
        <w:rPr>
          <w:rFonts w:ascii="Trebuchet MS" w:eastAsiaTheme="minorEastAsia" w:hAnsi="Trebuchet MS" w:cs="Times New Roman"/>
          <w:sz w:val="24"/>
          <w:szCs w:val="24"/>
          <w:lang w:val="fr-FR"/>
        </w:rPr>
        <w:t xml:space="preserve"> politique et les stratégies en matière de RHS qui quantifient les besoins, la demande et l'offre de personnel de santé.</w:t>
      </w:r>
    </w:p>
    <w:p w:rsidR="002F7EC7" w:rsidRPr="001343E2" w:rsidRDefault="002F7EC7" w:rsidP="00463D01">
      <w:pPr>
        <w:pStyle w:val="ListParagraph"/>
        <w:numPr>
          <w:ilvl w:val="0"/>
          <w:numId w:val="2"/>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 xml:space="preserve">Établir </w:t>
      </w:r>
      <w:r w:rsidR="00833358" w:rsidRPr="001343E2">
        <w:rPr>
          <w:rFonts w:ascii="Trebuchet MS" w:eastAsiaTheme="minorEastAsia" w:hAnsi="Trebuchet MS" w:cs="Times New Roman"/>
          <w:sz w:val="24"/>
          <w:szCs w:val="24"/>
          <w:lang w:val="fr-FR"/>
        </w:rPr>
        <w:t>des</w:t>
      </w:r>
      <w:r w:rsidRPr="001343E2">
        <w:rPr>
          <w:rFonts w:ascii="Trebuchet MS" w:eastAsiaTheme="minorEastAsia" w:hAnsi="Trebuchet MS" w:cs="Times New Roman"/>
          <w:sz w:val="24"/>
          <w:szCs w:val="24"/>
          <w:lang w:val="fr-FR"/>
        </w:rPr>
        <w:t xml:space="preserve"> plan</w:t>
      </w:r>
      <w:r w:rsidR="00833358" w:rsidRPr="001343E2">
        <w:rPr>
          <w:rFonts w:ascii="Trebuchet MS" w:eastAsiaTheme="minorEastAsia" w:hAnsi="Trebuchet MS" w:cs="Times New Roman"/>
          <w:sz w:val="24"/>
          <w:szCs w:val="24"/>
          <w:lang w:val="fr-FR"/>
        </w:rPr>
        <w:t>s</w:t>
      </w:r>
      <w:r w:rsidRPr="001343E2">
        <w:rPr>
          <w:rFonts w:ascii="Trebuchet MS" w:eastAsiaTheme="minorEastAsia" w:hAnsi="Trebuchet MS" w:cs="Times New Roman"/>
          <w:sz w:val="24"/>
          <w:szCs w:val="24"/>
          <w:lang w:val="fr-FR"/>
        </w:rPr>
        <w:t xml:space="preserve"> d'investissement pour les RHS en tant que composante essentielle du financement de la santé et de l'investissement en faveur de la C</w:t>
      </w:r>
      <w:r w:rsidR="00833358" w:rsidRPr="001343E2">
        <w:rPr>
          <w:rFonts w:ascii="Trebuchet MS" w:eastAsiaTheme="minorEastAsia" w:hAnsi="Trebuchet MS" w:cs="Times New Roman"/>
          <w:sz w:val="24"/>
          <w:szCs w:val="24"/>
          <w:lang w:val="fr-FR"/>
        </w:rPr>
        <w:t>S</w:t>
      </w:r>
      <w:r w:rsidRPr="001343E2">
        <w:rPr>
          <w:rFonts w:ascii="Trebuchet MS" w:eastAsiaTheme="minorEastAsia" w:hAnsi="Trebuchet MS" w:cs="Times New Roman"/>
          <w:sz w:val="24"/>
          <w:szCs w:val="24"/>
          <w:lang w:val="fr-FR"/>
        </w:rPr>
        <w:t>U et des ODD.</w:t>
      </w:r>
    </w:p>
    <w:p w:rsidR="002F7EC7" w:rsidRPr="001343E2" w:rsidRDefault="002F7EC7" w:rsidP="00463D01">
      <w:pPr>
        <w:pStyle w:val="ListParagraph"/>
        <w:numPr>
          <w:ilvl w:val="0"/>
          <w:numId w:val="2"/>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Mettre à l'échelle et/ou améliorer l'efficacité des programmes de santé communautaire (</w:t>
      </w:r>
      <w:r w:rsidR="00833358" w:rsidRPr="001343E2">
        <w:rPr>
          <w:rFonts w:ascii="Trebuchet MS" w:eastAsiaTheme="minorEastAsia" w:hAnsi="Trebuchet MS" w:cs="Times New Roman"/>
          <w:sz w:val="24"/>
          <w:szCs w:val="24"/>
          <w:lang w:val="fr-FR"/>
        </w:rPr>
        <w:t>ASC</w:t>
      </w:r>
      <w:r w:rsidRPr="001343E2">
        <w:rPr>
          <w:rFonts w:ascii="Trebuchet MS" w:eastAsiaTheme="minorEastAsia" w:hAnsi="Trebuchet MS" w:cs="Times New Roman"/>
          <w:sz w:val="24"/>
          <w:szCs w:val="24"/>
          <w:lang w:val="fr-FR"/>
        </w:rPr>
        <w:t>).</w:t>
      </w:r>
    </w:p>
    <w:p w:rsidR="002F7EC7" w:rsidRPr="001343E2" w:rsidRDefault="002F7EC7" w:rsidP="00463D01">
      <w:pPr>
        <w:pStyle w:val="ListParagraph"/>
        <w:numPr>
          <w:ilvl w:val="0"/>
          <w:numId w:val="2"/>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Optimiser la rétention, la distribution équitable et la performance des travailleurs de la santé.</w:t>
      </w:r>
    </w:p>
    <w:p w:rsidR="002F7EC7" w:rsidRPr="004C38D3" w:rsidRDefault="002F7EC7" w:rsidP="00463D01">
      <w:pPr>
        <w:pStyle w:val="ListParagraph"/>
        <w:numPr>
          <w:ilvl w:val="0"/>
          <w:numId w:val="2"/>
        </w:numPr>
        <w:jc w:val="both"/>
        <w:rPr>
          <w:rFonts w:ascii="Trebuchet MS" w:eastAsiaTheme="minorEastAsia" w:hAnsi="Trebuchet MS" w:cs="Times New Roman"/>
          <w:sz w:val="24"/>
          <w:szCs w:val="24"/>
          <w:lang w:val="fr-FR"/>
        </w:rPr>
      </w:pPr>
      <w:r w:rsidRPr="004C38D3">
        <w:rPr>
          <w:rFonts w:ascii="Trebuchet MS" w:eastAsiaTheme="minorEastAsia" w:hAnsi="Trebuchet MS" w:cs="Times New Roman"/>
          <w:sz w:val="24"/>
          <w:szCs w:val="24"/>
          <w:lang w:val="fr-FR"/>
        </w:rPr>
        <w:t>Renforcer les capacités d</w:t>
      </w:r>
      <w:r w:rsidR="004C38D3">
        <w:rPr>
          <w:rFonts w:ascii="Trebuchet MS" w:eastAsiaTheme="minorEastAsia" w:hAnsi="Trebuchet MS" w:cs="Times New Roman"/>
          <w:sz w:val="24"/>
          <w:szCs w:val="24"/>
          <w:lang w:val="fr-FR"/>
        </w:rPr>
        <w:t>e</w:t>
      </w:r>
      <w:r w:rsidRPr="004C38D3">
        <w:rPr>
          <w:rFonts w:ascii="Trebuchet MS" w:eastAsiaTheme="minorEastAsia" w:hAnsi="Trebuchet MS" w:cs="Times New Roman"/>
          <w:sz w:val="24"/>
          <w:szCs w:val="24"/>
          <w:lang w:val="fr-FR"/>
        </w:rPr>
        <w:t xml:space="preserve"> gestion des urgences et des risques de catastrophes</w:t>
      </w:r>
      <w:r w:rsidR="004C38D3">
        <w:rPr>
          <w:rFonts w:ascii="Trebuchet MS" w:eastAsiaTheme="minorEastAsia" w:hAnsi="Trebuchet MS" w:cs="Times New Roman"/>
          <w:sz w:val="24"/>
          <w:szCs w:val="24"/>
          <w:lang w:val="fr-FR"/>
        </w:rPr>
        <w:t xml:space="preserve"> pour la protection des</w:t>
      </w:r>
      <w:r w:rsidR="004C38D3" w:rsidRPr="004C38D3">
        <w:rPr>
          <w:rFonts w:ascii="Trebuchet MS" w:eastAsiaTheme="minorEastAsia" w:hAnsi="Trebuchet MS" w:cs="Times New Roman"/>
          <w:sz w:val="24"/>
          <w:szCs w:val="24"/>
          <w:lang w:val="fr-FR"/>
        </w:rPr>
        <w:t xml:space="preserve"> RHS</w:t>
      </w:r>
      <w:r w:rsidRPr="004C38D3">
        <w:rPr>
          <w:rFonts w:ascii="Trebuchet MS" w:eastAsiaTheme="minorEastAsia" w:hAnsi="Trebuchet MS" w:cs="Times New Roman"/>
          <w:sz w:val="24"/>
          <w:szCs w:val="24"/>
          <w:lang w:val="fr-FR"/>
        </w:rPr>
        <w:t>, y compris l'intégration de la planification et de la gestion d</w:t>
      </w:r>
      <w:r w:rsidR="00833358" w:rsidRPr="004C38D3">
        <w:rPr>
          <w:rFonts w:ascii="Trebuchet MS" w:eastAsiaTheme="minorEastAsia" w:hAnsi="Trebuchet MS" w:cs="Times New Roman"/>
          <w:sz w:val="24"/>
          <w:szCs w:val="24"/>
          <w:lang w:val="fr-FR"/>
        </w:rPr>
        <w:t>es RHS</w:t>
      </w:r>
      <w:r w:rsidRPr="004C38D3">
        <w:rPr>
          <w:rFonts w:ascii="Trebuchet MS" w:eastAsiaTheme="minorEastAsia" w:hAnsi="Trebuchet MS" w:cs="Times New Roman"/>
          <w:sz w:val="24"/>
          <w:szCs w:val="24"/>
          <w:lang w:val="fr-FR"/>
        </w:rPr>
        <w:t xml:space="preserve"> dans la préparation</w:t>
      </w:r>
      <w:r w:rsidR="00833358" w:rsidRPr="004C38D3">
        <w:rPr>
          <w:rFonts w:ascii="Trebuchet MS" w:eastAsiaTheme="minorEastAsia" w:hAnsi="Trebuchet MS" w:cs="Times New Roman"/>
          <w:sz w:val="24"/>
          <w:szCs w:val="24"/>
          <w:lang w:val="fr-FR"/>
        </w:rPr>
        <w:t xml:space="preserve"> et</w:t>
      </w:r>
      <w:r w:rsidRPr="004C38D3">
        <w:rPr>
          <w:rFonts w:ascii="Trebuchet MS" w:eastAsiaTheme="minorEastAsia" w:hAnsi="Trebuchet MS" w:cs="Times New Roman"/>
          <w:sz w:val="24"/>
          <w:szCs w:val="24"/>
          <w:lang w:val="fr-FR"/>
        </w:rPr>
        <w:t xml:space="preserve"> l</w:t>
      </w:r>
      <w:r w:rsidR="00833358" w:rsidRPr="004C38D3">
        <w:rPr>
          <w:rFonts w:ascii="Trebuchet MS" w:eastAsiaTheme="minorEastAsia" w:hAnsi="Trebuchet MS" w:cs="Times New Roman"/>
          <w:sz w:val="24"/>
          <w:szCs w:val="24"/>
          <w:lang w:val="fr-FR"/>
        </w:rPr>
        <w:t xml:space="preserve">es </w:t>
      </w:r>
      <w:r w:rsidRPr="004C38D3">
        <w:rPr>
          <w:rFonts w:ascii="Trebuchet MS" w:eastAsiaTheme="minorEastAsia" w:hAnsi="Trebuchet MS" w:cs="Times New Roman"/>
          <w:sz w:val="24"/>
          <w:szCs w:val="24"/>
          <w:lang w:val="fr-FR"/>
        </w:rPr>
        <w:t>réponse</w:t>
      </w:r>
      <w:r w:rsidR="00833358" w:rsidRPr="004C38D3">
        <w:rPr>
          <w:rFonts w:ascii="Trebuchet MS" w:eastAsiaTheme="minorEastAsia" w:hAnsi="Trebuchet MS" w:cs="Times New Roman"/>
          <w:sz w:val="24"/>
          <w:szCs w:val="24"/>
          <w:lang w:val="fr-FR"/>
        </w:rPr>
        <w:t>s</w:t>
      </w:r>
      <w:r w:rsidRPr="004C38D3">
        <w:rPr>
          <w:rFonts w:ascii="Trebuchet MS" w:eastAsiaTheme="minorEastAsia" w:hAnsi="Trebuchet MS" w:cs="Times New Roman"/>
          <w:sz w:val="24"/>
          <w:szCs w:val="24"/>
          <w:lang w:val="fr-FR"/>
        </w:rPr>
        <w:t xml:space="preserve"> </w:t>
      </w:r>
      <w:r w:rsidR="00833358" w:rsidRPr="004C38D3">
        <w:rPr>
          <w:rFonts w:ascii="Trebuchet MS" w:eastAsiaTheme="minorEastAsia" w:hAnsi="Trebuchet MS" w:cs="Times New Roman"/>
          <w:sz w:val="24"/>
          <w:szCs w:val="24"/>
          <w:lang w:val="fr-FR"/>
        </w:rPr>
        <w:t>aux urgences</w:t>
      </w:r>
      <w:r w:rsidRPr="004C38D3">
        <w:rPr>
          <w:rFonts w:ascii="Trebuchet MS" w:eastAsiaTheme="minorEastAsia" w:hAnsi="Trebuchet MS" w:cs="Times New Roman"/>
          <w:sz w:val="24"/>
          <w:szCs w:val="24"/>
          <w:lang w:val="fr-FR"/>
        </w:rPr>
        <w:t xml:space="preserve">. </w:t>
      </w:r>
    </w:p>
    <w:p w:rsidR="002F7EC7" w:rsidRPr="001343E2" w:rsidRDefault="002F7EC7" w:rsidP="00463D01">
      <w:pPr>
        <w:pStyle w:val="ListParagraph"/>
        <w:numPr>
          <w:ilvl w:val="0"/>
          <w:numId w:val="2"/>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M</w:t>
      </w:r>
      <w:r w:rsidR="00833358" w:rsidRPr="001343E2">
        <w:rPr>
          <w:rFonts w:ascii="Trebuchet MS" w:eastAsiaTheme="minorEastAsia" w:hAnsi="Trebuchet MS" w:cs="Times New Roman"/>
          <w:sz w:val="24"/>
          <w:szCs w:val="24"/>
          <w:lang w:val="fr-FR"/>
        </w:rPr>
        <w:t>ettre</w:t>
      </w:r>
      <w:r w:rsidRPr="001343E2">
        <w:rPr>
          <w:rFonts w:ascii="Trebuchet MS" w:eastAsiaTheme="minorEastAsia" w:hAnsi="Trebuchet MS" w:cs="Times New Roman"/>
          <w:sz w:val="24"/>
          <w:szCs w:val="24"/>
          <w:lang w:val="fr-FR"/>
        </w:rPr>
        <w:t xml:space="preserve"> en place de registres nationaux du personnel de santé et</w:t>
      </w:r>
      <w:r w:rsidR="00833358" w:rsidRPr="001343E2">
        <w:rPr>
          <w:rFonts w:ascii="Trebuchet MS" w:eastAsiaTheme="minorEastAsia" w:hAnsi="Trebuchet MS" w:cs="Times New Roman"/>
          <w:sz w:val="24"/>
          <w:szCs w:val="24"/>
          <w:lang w:val="fr-FR"/>
        </w:rPr>
        <w:t xml:space="preserve"> apporter une </w:t>
      </w:r>
      <w:r w:rsidRPr="001343E2">
        <w:rPr>
          <w:rFonts w:ascii="Trebuchet MS" w:eastAsiaTheme="minorEastAsia" w:hAnsi="Trebuchet MS" w:cs="Times New Roman"/>
          <w:sz w:val="24"/>
          <w:szCs w:val="24"/>
          <w:lang w:val="fr-FR"/>
        </w:rPr>
        <w:t xml:space="preserve"> assistance technique pour l'élaboration de comptes nationaux du personnel de santé</w:t>
      </w:r>
      <w:r w:rsidR="00833358" w:rsidRPr="001343E2">
        <w:rPr>
          <w:rFonts w:ascii="Trebuchet MS" w:eastAsiaTheme="minorEastAsia" w:hAnsi="Trebuchet MS" w:cs="Times New Roman"/>
          <w:sz w:val="24"/>
          <w:szCs w:val="24"/>
          <w:lang w:val="fr-FR"/>
        </w:rPr>
        <w:t>, des</w:t>
      </w:r>
      <w:r w:rsidRPr="001343E2">
        <w:rPr>
          <w:rFonts w:ascii="Trebuchet MS" w:eastAsiaTheme="minorEastAsia" w:hAnsi="Trebuchet MS" w:cs="Times New Roman"/>
          <w:sz w:val="24"/>
          <w:szCs w:val="24"/>
          <w:lang w:val="fr-FR"/>
        </w:rPr>
        <w:t xml:space="preserve"> observatoire</w:t>
      </w:r>
      <w:r w:rsidR="00833358" w:rsidRPr="001343E2">
        <w:rPr>
          <w:rFonts w:ascii="Trebuchet MS" w:eastAsiaTheme="minorEastAsia" w:hAnsi="Trebuchet MS" w:cs="Times New Roman"/>
          <w:sz w:val="24"/>
          <w:szCs w:val="24"/>
          <w:lang w:val="fr-FR"/>
        </w:rPr>
        <w:t>s</w:t>
      </w:r>
      <w:r w:rsidRPr="001343E2">
        <w:rPr>
          <w:rFonts w:ascii="Trebuchet MS" w:eastAsiaTheme="minorEastAsia" w:hAnsi="Trebuchet MS" w:cs="Times New Roman"/>
          <w:sz w:val="24"/>
          <w:szCs w:val="24"/>
          <w:lang w:val="fr-FR"/>
        </w:rPr>
        <w:t xml:space="preserve"> nationa</w:t>
      </w:r>
      <w:r w:rsidR="00833358" w:rsidRPr="001343E2">
        <w:rPr>
          <w:rFonts w:ascii="Trebuchet MS" w:eastAsiaTheme="minorEastAsia" w:hAnsi="Trebuchet MS" w:cs="Times New Roman"/>
          <w:sz w:val="24"/>
          <w:szCs w:val="24"/>
          <w:lang w:val="fr-FR"/>
        </w:rPr>
        <w:t>ux</w:t>
      </w:r>
      <w:r w:rsidRPr="001343E2">
        <w:rPr>
          <w:rFonts w:ascii="Trebuchet MS" w:eastAsiaTheme="minorEastAsia" w:hAnsi="Trebuchet MS" w:cs="Times New Roman"/>
          <w:sz w:val="24"/>
          <w:szCs w:val="24"/>
          <w:lang w:val="fr-FR"/>
        </w:rPr>
        <w:t xml:space="preserve"> d</w:t>
      </w:r>
      <w:r w:rsidR="00833358" w:rsidRPr="001343E2">
        <w:rPr>
          <w:rFonts w:ascii="Trebuchet MS" w:eastAsiaTheme="minorEastAsia" w:hAnsi="Trebuchet MS" w:cs="Times New Roman"/>
          <w:sz w:val="24"/>
          <w:szCs w:val="24"/>
          <w:lang w:val="fr-FR"/>
        </w:rPr>
        <w:t>e</w:t>
      </w:r>
      <w:r w:rsidRPr="001343E2">
        <w:rPr>
          <w:rFonts w:ascii="Trebuchet MS" w:eastAsiaTheme="minorEastAsia" w:hAnsi="Trebuchet MS" w:cs="Times New Roman"/>
          <w:sz w:val="24"/>
          <w:szCs w:val="24"/>
          <w:lang w:val="fr-FR"/>
        </w:rPr>
        <w:t xml:space="preserve"> personnel de santé, y compris des profils nationaux du personnel de santé.  </w:t>
      </w:r>
    </w:p>
    <w:p w:rsidR="002F7EC7" w:rsidRPr="001343E2" w:rsidRDefault="002F7EC7" w:rsidP="00463D01">
      <w:pPr>
        <w:pStyle w:val="ListParagraph"/>
        <w:numPr>
          <w:ilvl w:val="0"/>
          <w:numId w:val="2"/>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Renforcer les systèmes d'information sur les RHS et développer les capacités nécessaires à leur gestion.</w:t>
      </w:r>
    </w:p>
    <w:p w:rsidR="002F7EC7" w:rsidRPr="001343E2" w:rsidRDefault="002F7EC7" w:rsidP="00463D01">
      <w:pPr>
        <w:pStyle w:val="ListParagraph"/>
        <w:numPr>
          <w:ilvl w:val="0"/>
          <w:numId w:val="2"/>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Document</w:t>
      </w:r>
      <w:r w:rsidR="00833358" w:rsidRPr="001343E2">
        <w:rPr>
          <w:rFonts w:ascii="Trebuchet MS" w:eastAsiaTheme="minorEastAsia" w:hAnsi="Trebuchet MS" w:cs="Times New Roman"/>
          <w:sz w:val="24"/>
          <w:szCs w:val="24"/>
          <w:lang w:val="fr-FR"/>
        </w:rPr>
        <w:t>er</w:t>
      </w:r>
      <w:r w:rsidRPr="001343E2">
        <w:rPr>
          <w:rFonts w:ascii="Trebuchet MS" w:eastAsiaTheme="minorEastAsia" w:hAnsi="Trebuchet MS" w:cs="Times New Roman"/>
          <w:sz w:val="24"/>
          <w:szCs w:val="24"/>
          <w:lang w:val="fr-FR"/>
        </w:rPr>
        <w:t xml:space="preserve"> l'impact de COVID-19 sur le</w:t>
      </w:r>
      <w:r w:rsidR="00833358" w:rsidRPr="001343E2">
        <w:rPr>
          <w:rFonts w:ascii="Trebuchet MS" w:eastAsiaTheme="minorEastAsia" w:hAnsi="Trebuchet MS" w:cs="Times New Roman"/>
          <w:sz w:val="24"/>
          <w:szCs w:val="24"/>
          <w:lang w:val="fr-FR"/>
        </w:rPr>
        <w:t xml:space="preserve">s RHS </w:t>
      </w:r>
      <w:r w:rsidRPr="001343E2">
        <w:rPr>
          <w:rFonts w:ascii="Trebuchet MS" w:eastAsiaTheme="minorEastAsia" w:hAnsi="Trebuchet MS" w:cs="Times New Roman"/>
          <w:sz w:val="24"/>
          <w:szCs w:val="24"/>
          <w:lang w:val="fr-FR"/>
        </w:rPr>
        <w:t>pour en tirer des leçons.</w:t>
      </w:r>
    </w:p>
    <w:p w:rsidR="002F7EC7" w:rsidRPr="001343E2" w:rsidRDefault="002F7EC7" w:rsidP="00463D01">
      <w:pPr>
        <w:pStyle w:val="ListParagraph"/>
        <w:numPr>
          <w:ilvl w:val="0"/>
          <w:numId w:val="2"/>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M</w:t>
      </w:r>
      <w:r w:rsidR="00833358" w:rsidRPr="001343E2">
        <w:rPr>
          <w:rFonts w:ascii="Trebuchet MS" w:eastAsiaTheme="minorEastAsia" w:hAnsi="Trebuchet MS" w:cs="Times New Roman"/>
          <w:sz w:val="24"/>
          <w:szCs w:val="24"/>
          <w:lang w:val="fr-FR"/>
        </w:rPr>
        <w:t>ettre</w:t>
      </w:r>
      <w:r w:rsidRPr="001343E2">
        <w:rPr>
          <w:rFonts w:ascii="Trebuchet MS" w:eastAsiaTheme="minorEastAsia" w:hAnsi="Trebuchet MS" w:cs="Times New Roman"/>
          <w:sz w:val="24"/>
          <w:szCs w:val="24"/>
          <w:lang w:val="fr-FR"/>
        </w:rPr>
        <w:t xml:space="preserve"> en œuvre des programmes spécifiques liés à ces axes prioritaires.</w:t>
      </w:r>
    </w:p>
    <w:p w:rsidR="002F7EC7" w:rsidRPr="001343E2" w:rsidRDefault="002F7EC7" w:rsidP="00463D01">
      <w:pPr>
        <w:pStyle w:val="ListParagraph"/>
        <w:numPr>
          <w:ilvl w:val="0"/>
          <w:numId w:val="2"/>
        </w:numPr>
        <w:jc w:val="both"/>
        <w:rPr>
          <w:rFonts w:ascii="Trebuchet MS" w:eastAsiaTheme="minorEastAsia" w:hAnsi="Trebuchet MS" w:cs="Times New Roman"/>
          <w:sz w:val="24"/>
          <w:szCs w:val="24"/>
          <w:lang w:val="fr-FR"/>
        </w:rPr>
      </w:pPr>
      <w:r w:rsidRPr="001343E2">
        <w:rPr>
          <w:rFonts w:ascii="Trebuchet MS" w:eastAsiaTheme="minorEastAsia" w:hAnsi="Trebuchet MS" w:cs="Times New Roman"/>
          <w:sz w:val="24"/>
          <w:szCs w:val="24"/>
          <w:lang w:val="fr-FR"/>
        </w:rPr>
        <w:t>Développement d'outils et de guides régionaux pour aider les pays à analyser et à mettre en œuvre des initiatives dans les priorités identifiées.</w:t>
      </w:r>
    </w:p>
    <w:p w:rsidR="002F7EC7" w:rsidRPr="001343E2" w:rsidRDefault="002F7EC7" w:rsidP="00463D01">
      <w:pPr>
        <w:jc w:val="both"/>
        <w:rPr>
          <w:rFonts w:ascii="Trebuchet MS" w:eastAsiaTheme="minorEastAsia" w:hAnsi="Trebuchet MS" w:cs="Times New Roman"/>
          <w:sz w:val="24"/>
          <w:szCs w:val="24"/>
          <w:lang w:val="fr-FR"/>
        </w:rPr>
      </w:pPr>
    </w:p>
    <w:p w:rsidR="000C48FD" w:rsidRPr="008D3931" w:rsidRDefault="008D3931" w:rsidP="000C48FD">
      <w:pPr>
        <w:rPr>
          <w:rFonts w:ascii="Trebuchet MS" w:hAnsi="Trebuchet MS"/>
          <w:b/>
          <w:bCs/>
          <w:lang w:val="fr-FR"/>
        </w:rPr>
      </w:pPr>
      <w:r>
        <w:rPr>
          <w:rFonts w:ascii="Trebuchet MS" w:eastAsiaTheme="minorEastAsia" w:hAnsi="Trebuchet MS" w:cs="Times New Roman"/>
          <w:b/>
          <w:bCs/>
          <w:color w:val="C00000"/>
          <w:sz w:val="28"/>
          <w:szCs w:val="28"/>
          <w:lang w:val="fr-FR"/>
        </w:rPr>
        <w:t xml:space="preserve">5. ACTIVITES D’APPUI DANS LE CADRE DU PRODUIT </w:t>
      </w:r>
      <w:r w:rsidRPr="008D3931">
        <w:rPr>
          <w:rFonts w:ascii="Trebuchet MS" w:eastAsiaTheme="minorEastAsia" w:hAnsi="Trebuchet MS" w:cs="Times New Roman"/>
          <w:b/>
          <w:bCs/>
          <w:color w:val="C00000"/>
          <w:sz w:val="28"/>
          <w:szCs w:val="28"/>
          <w:lang w:val="fr-FR"/>
        </w:rPr>
        <w:t xml:space="preserve">1.1.5 </w:t>
      </w:r>
      <w:r>
        <w:rPr>
          <w:rFonts w:ascii="Trebuchet MS" w:eastAsiaTheme="minorEastAsia" w:hAnsi="Trebuchet MS" w:cs="Times New Roman"/>
          <w:b/>
          <w:bCs/>
          <w:color w:val="C00000"/>
          <w:sz w:val="28"/>
          <w:szCs w:val="28"/>
          <w:lang w:val="fr-FR"/>
        </w:rPr>
        <w:t>QUI PEUVENT ETRE PLANIFIEES PAR LES BUREAUX PAYS</w:t>
      </w:r>
      <w:r w:rsidRPr="008D3931">
        <w:rPr>
          <w:rFonts w:ascii="Trebuchet MS" w:eastAsiaTheme="minorEastAsia" w:hAnsi="Trebuchet MS" w:cs="Times New Roman"/>
          <w:b/>
          <w:bCs/>
          <w:color w:val="C00000"/>
          <w:sz w:val="28"/>
          <w:szCs w:val="28"/>
          <w:lang w:val="fr-FR"/>
        </w:rPr>
        <w:t>.</w:t>
      </w:r>
    </w:p>
    <w:tbl>
      <w:tblPr>
        <w:tblStyle w:val="TableGrid"/>
        <w:tblW w:w="10207" w:type="dxa"/>
        <w:tblInd w:w="-431" w:type="dxa"/>
        <w:tblLook w:val="04A0" w:firstRow="1" w:lastRow="0" w:firstColumn="1" w:lastColumn="0" w:noHBand="0" w:noVBand="1"/>
      </w:tblPr>
      <w:tblGrid>
        <w:gridCol w:w="3092"/>
        <w:gridCol w:w="4989"/>
        <w:gridCol w:w="2126"/>
      </w:tblGrid>
      <w:tr w:rsidR="000C48FD" w:rsidRPr="001343E2" w:rsidTr="006B2AE9">
        <w:trPr>
          <w:tblHeader/>
        </w:trPr>
        <w:tc>
          <w:tcPr>
            <w:tcW w:w="3092" w:type="dxa"/>
            <w:shd w:val="clear" w:color="auto" w:fill="D9E2F3" w:themeFill="accent1" w:themeFillTint="33"/>
            <w:vAlign w:val="center"/>
          </w:tcPr>
          <w:p w:rsidR="000C48FD" w:rsidRPr="0026477D" w:rsidRDefault="00463D01" w:rsidP="000C48FD">
            <w:pPr>
              <w:rPr>
                <w:rFonts w:ascii="Trebuchet MS" w:hAnsi="Trebuchet MS"/>
                <w:b/>
                <w:bCs/>
                <w:color w:val="833C0B" w:themeColor="accent2" w:themeShade="80"/>
              </w:rPr>
            </w:pPr>
            <w:r w:rsidRPr="00463D01">
              <w:rPr>
                <w:rFonts w:ascii="Trebuchet MS" w:hAnsi="Trebuchet MS"/>
                <w:b/>
                <w:bCs/>
                <w:color w:val="833C0B" w:themeColor="accent2" w:themeShade="80"/>
              </w:rPr>
              <w:t xml:space="preserve">Domaine </w:t>
            </w:r>
            <w:proofErr w:type="spellStart"/>
            <w:r w:rsidRPr="00463D01">
              <w:rPr>
                <w:rFonts w:ascii="Trebuchet MS" w:hAnsi="Trebuchet MS"/>
                <w:b/>
                <w:bCs/>
                <w:color w:val="833C0B" w:themeColor="accent2" w:themeShade="80"/>
              </w:rPr>
              <w:t>d'intérêt</w:t>
            </w:r>
            <w:proofErr w:type="spellEnd"/>
          </w:p>
        </w:tc>
        <w:tc>
          <w:tcPr>
            <w:tcW w:w="4989" w:type="dxa"/>
            <w:shd w:val="clear" w:color="auto" w:fill="FBE4D5" w:themeFill="accent2" w:themeFillTint="33"/>
          </w:tcPr>
          <w:p w:rsidR="000C48FD" w:rsidRPr="00463D01" w:rsidRDefault="00463D01" w:rsidP="000C48FD">
            <w:pPr>
              <w:rPr>
                <w:rFonts w:ascii="Trebuchet MS" w:hAnsi="Trebuchet MS"/>
                <w:b/>
                <w:bCs/>
                <w:color w:val="833C0B" w:themeColor="accent2" w:themeShade="80"/>
                <w:lang w:val="fr-FR"/>
              </w:rPr>
            </w:pPr>
            <w:r w:rsidRPr="00463D01">
              <w:rPr>
                <w:rFonts w:ascii="Trebuchet MS" w:hAnsi="Trebuchet MS"/>
                <w:b/>
                <w:bCs/>
                <w:color w:val="833C0B" w:themeColor="accent2" w:themeShade="80"/>
                <w:lang w:val="fr-FR"/>
              </w:rPr>
              <w:t xml:space="preserve">Type de soutien qui peut être planifié par les </w:t>
            </w:r>
            <w:r w:rsidR="00E9415A">
              <w:rPr>
                <w:rFonts w:ascii="Trebuchet MS" w:hAnsi="Trebuchet MS"/>
                <w:b/>
                <w:bCs/>
                <w:color w:val="833C0B" w:themeColor="accent2" w:themeShade="80"/>
                <w:lang w:val="fr-FR"/>
              </w:rPr>
              <w:t>AFRO</w:t>
            </w:r>
            <w:r w:rsidRPr="00463D01">
              <w:rPr>
                <w:rFonts w:ascii="Trebuchet MS" w:hAnsi="Trebuchet MS"/>
                <w:b/>
                <w:bCs/>
                <w:color w:val="833C0B" w:themeColor="accent2" w:themeShade="80"/>
                <w:lang w:val="fr-FR"/>
              </w:rPr>
              <w:t xml:space="preserve"> pour soutenir les pays</w:t>
            </w:r>
          </w:p>
        </w:tc>
        <w:tc>
          <w:tcPr>
            <w:tcW w:w="2126" w:type="dxa"/>
            <w:shd w:val="clear" w:color="auto" w:fill="FFF2CC" w:themeFill="accent4" w:themeFillTint="33"/>
          </w:tcPr>
          <w:p w:rsidR="000C48FD" w:rsidRPr="00E9415A" w:rsidRDefault="00E9415A" w:rsidP="000C48FD">
            <w:pPr>
              <w:rPr>
                <w:rFonts w:ascii="Trebuchet MS" w:hAnsi="Trebuchet MS"/>
                <w:b/>
                <w:bCs/>
                <w:color w:val="833C0B" w:themeColor="accent2" w:themeShade="80"/>
                <w:lang w:val="fr-FR"/>
              </w:rPr>
            </w:pPr>
            <w:r w:rsidRPr="00E9415A">
              <w:rPr>
                <w:rFonts w:ascii="Trebuchet MS" w:hAnsi="Trebuchet MS"/>
                <w:b/>
                <w:bCs/>
                <w:color w:val="833C0B" w:themeColor="accent2" w:themeShade="80"/>
                <w:lang w:val="fr-FR"/>
              </w:rPr>
              <w:t>Type de soutien que l'AFRO peut fournir aux Bureaux pays</w:t>
            </w:r>
          </w:p>
        </w:tc>
      </w:tr>
      <w:tr w:rsidR="000C48FD" w:rsidRPr="009771AB" w:rsidTr="006B2AE9">
        <w:tc>
          <w:tcPr>
            <w:tcW w:w="3092" w:type="dxa"/>
            <w:shd w:val="clear" w:color="auto" w:fill="D9E2F3" w:themeFill="accent1" w:themeFillTint="33"/>
            <w:vAlign w:val="center"/>
          </w:tcPr>
          <w:p w:rsidR="000C48FD" w:rsidRPr="00E9415A" w:rsidRDefault="00E9415A" w:rsidP="000C48FD">
            <w:pPr>
              <w:pStyle w:val="ListParagraph"/>
              <w:numPr>
                <w:ilvl w:val="0"/>
                <w:numId w:val="20"/>
              </w:numPr>
              <w:ind w:left="316"/>
              <w:rPr>
                <w:rFonts w:ascii="Trebuchet MS" w:hAnsi="Trebuchet MS"/>
                <w:b/>
                <w:bCs/>
                <w:color w:val="833C0B" w:themeColor="accent2" w:themeShade="80"/>
                <w:lang w:val="fr-FR"/>
              </w:rPr>
            </w:pPr>
            <w:r w:rsidRPr="00E9415A">
              <w:rPr>
                <w:rFonts w:ascii="Trebuchet MS" w:hAnsi="Trebuchet MS"/>
                <w:b/>
                <w:bCs/>
                <w:color w:val="833C0B" w:themeColor="accent2" w:themeShade="80"/>
                <w:lang w:val="fr-FR"/>
              </w:rPr>
              <w:t>Développer des stratégies transformatrices pour augmenter la quantité et la qualité des travailleurs de la santé, y compris le développement et les révisions des programmes d'é</w:t>
            </w:r>
            <w:r>
              <w:rPr>
                <w:rFonts w:ascii="Trebuchet MS" w:hAnsi="Trebuchet MS"/>
                <w:b/>
                <w:bCs/>
                <w:color w:val="833C0B" w:themeColor="accent2" w:themeShade="80"/>
                <w:lang w:val="fr-FR"/>
              </w:rPr>
              <w:t>ducation</w:t>
            </w:r>
            <w:r w:rsidRPr="00E9415A">
              <w:rPr>
                <w:rFonts w:ascii="Trebuchet MS" w:hAnsi="Trebuchet MS"/>
                <w:b/>
                <w:bCs/>
                <w:color w:val="833C0B" w:themeColor="accent2" w:themeShade="80"/>
                <w:lang w:val="fr-FR"/>
              </w:rPr>
              <w:t xml:space="preserve"> basés sur les compétences</w:t>
            </w:r>
          </w:p>
        </w:tc>
        <w:tc>
          <w:tcPr>
            <w:tcW w:w="4989" w:type="dxa"/>
            <w:shd w:val="clear" w:color="auto" w:fill="FBE4D5" w:themeFill="accent2" w:themeFillTint="33"/>
          </w:tcPr>
          <w:p w:rsidR="009A1264" w:rsidRPr="009A1264" w:rsidRDefault="009A1264" w:rsidP="009A1264">
            <w:pPr>
              <w:pStyle w:val="ListParagraph"/>
              <w:numPr>
                <w:ilvl w:val="0"/>
                <w:numId w:val="8"/>
              </w:numPr>
              <w:rPr>
                <w:rFonts w:ascii="Trebuchet MS" w:hAnsi="Trebuchet MS"/>
                <w:lang w:val="fr-FR"/>
              </w:rPr>
            </w:pPr>
            <w:r w:rsidRPr="009A1264">
              <w:rPr>
                <w:rFonts w:ascii="Trebuchet MS" w:hAnsi="Trebuchet MS"/>
                <w:lang w:val="fr-FR"/>
              </w:rPr>
              <w:t>Élaboration de plans opérationnels annuels chiffrés en matière de RHS.</w:t>
            </w:r>
          </w:p>
          <w:p w:rsidR="009A1264" w:rsidRPr="009A1264" w:rsidRDefault="009A1264" w:rsidP="009A1264">
            <w:pPr>
              <w:pStyle w:val="ListParagraph"/>
              <w:numPr>
                <w:ilvl w:val="0"/>
                <w:numId w:val="8"/>
              </w:numPr>
              <w:rPr>
                <w:rFonts w:ascii="Trebuchet MS" w:hAnsi="Trebuchet MS"/>
                <w:lang w:val="fr-FR"/>
              </w:rPr>
            </w:pPr>
            <w:r w:rsidRPr="009A1264">
              <w:rPr>
                <w:rFonts w:ascii="Trebuchet MS" w:hAnsi="Trebuchet MS"/>
                <w:lang w:val="fr-FR"/>
              </w:rPr>
              <w:t xml:space="preserve">Révision à mi-parcours et/ou en fin de parcours du plan stratégique/des plans d'investissement en matière de RHS. </w:t>
            </w:r>
          </w:p>
          <w:p w:rsidR="009A1264" w:rsidRPr="009A1264" w:rsidRDefault="009A1264" w:rsidP="009A1264">
            <w:pPr>
              <w:pStyle w:val="ListParagraph"/>
              <w:numPr>
                <w:ilvl w:val="0"/>
                <w:numId w:val="8"/>
              </w:numPr>
              <w:rPr>
                <w:rFonts w:ascii="Trebuchet MS" w:hAnsi="Trebuchet MS"/>
                <w:lang w:val="fr-FR"/>
              </w:rPr>
            </w:pPr>
            <w:bookmarkStart w:id="0" w:name="_GoBack"/>
            <w:bookmarkEnd w:id="0"/>
            <w:r w:rsidRPr="009A1264">
              <w:rPr>
                <w:rFonts w:ascii="Trebuchet MS" w:hAnsi="Trebuchet MS"/>
                <w:lang w:val="fr-FR"/>
              </w:rPr>
              <w:t>Soutenir le processus d'élaboration des plans stratégiques en matière de RHS en tenant compte des forces du marché du travail dans le domaine de la santé, des besoins de la population et du système de santé pour remédier aux pénuries et à la mauvaise répartition des travailleurs de la santé, notamment en ce qui concerne le genre et l'inégalité d'accès</w:t>
            </w:r>
            <w:r>
              <w:rPr>
                <w:rFonts w:ascii="Trebuchet MS" w:hAnsi="Trebuchet MS"/>
                <w:lang w:val="fr-FR"/>
              </w:rPr>
              <w:t xml:space="preserve"> de la population</w:t>
            </w:r>
            <w:r w:rsidRPr="009A1264">
              <w:rPr>
                <w:rFonts w:ascii="Trebuchet MS" w:hAnsi="Trebuchet MS"/>
                <w:lang w:val="fr-FR"/>
              </w:rPr>
              <w:t xml:space="preserve"> aux </w:t>
            </w:r>
            <w:r>
              <w:rPr>
                <w:rFonts w:ascii="Trebuchet MS" w:hAnsi="Trebuchet MS"/>
                <w:lang w:val="fr-FR"/>
              </w:rPr>
              <w:t xml:space="preserve">professionnels </w:t>
            </w:r>
            <w:r w:rsidRPr="009A1264">
              <w:rPr>
                <w:rFonts w:ascii="Trebuchet MS" w:hAnsi="Trebuchet MS"/>
                <w:lang w:val="fr-FR"/>
              </w:rPr>
              <w:t xml:space="preserve"> de la santé. </w:t>
            </w:r>
          </w:p>
          <w:p w:rsidR="009A1264" w:rsidRPr="009A1264" w:rsidRDefault="009A1264" w:rsidP="009A1264">
            <w:pPr>
              <w:pStyle w:val="ListParagraph"/>
              <w:numPr>
                <w:ilvl w:val="0"/>
                <w:numId w:val="8"/>
              </w:numPr>
              <w:rPr>
                <w:rFonts w:ascii="Trebuchet MS" w:hAnsi="Trebuchet MS"/>
                <w:lang w:val="fr-FR"/>
              </w:rPr>
            </w:pPr>
            <w:r w:rsidRPr="009A1264">
              <w:rPr>
                <w:rFonts w:ascii="Trebuchet MS" w:hAnsi="Trebuchet MS"/>
                <w:lang w:val="fr-FR"/>
              </w:rPr>
              <w:t>Soutenir le</w:t>
            </w:r>
            <w:r>
              <w:rPr>
                <w:rFonts w:ascii="Trebuchet MS" w:hAnsi="Trebuchet MS"/>
                <w:lang w:val="fr-FR"/>
              </w:rPr>
              <w:t>s</w:t>
            </w:r>
            <w:r w:rsidRPr="009A1264">
              <w:rPr>
                <w:rFonts w:ascii="Trebuchet MS" w:hAnsi="Trebuchet MS"/>
                <w:lang w:val="fr-FR"/>
              </w:rPr>
              <w:t xml:space="preserve"> pays pour entreprendre une analyse du marché du travail de la santé.</w:t>
            </w:r>
          </w:p>
          <w:p w:rsidR="009A1264" w:rsidRPr="009A1264" w:rsidRDefault="009A1264" w:rsidP="009A1264">
            <w:pPr>
              <w:pStyle w:val="ListParagraph"/>
              <w:numPr>
                <w:ilvl w:val="0"/>
                <w:numId w:val="8"/>
              </w:numPr>
              <w:rPr>
                <w:rFonts w:ascii="Trebuchet MS" w:hAnsi="Trebuchet MS"/>
                <w:lang w:val="fr-FR"/>
              </w:rPr>
            </w:pPr>
            <w:r>
              <w:rPr>
                <w:rFonts w:ascii="Trebuchet MS" w:hAnsi="Trebuchet MS"/>
                <w:lang w:val="fr-FR"/>
              </w:rPr>
              <w:t>Faire un plaidoyer</w:t>
            </w:r>
            <w:r w:rsidRPr="009A1264">
              <w:rPr>
                <w:rFonts w:ascii="Trebuchet MS" w:hAnsi="Trebuchet MS"/>
                <w:lang w:val="fr-FR"/>
              </w:rPr>
              <w:t xml:space="preserve"> en faveur d'un investissement dans les formateurs afin qu'ils soient suffisamment équipés pour </w:t>
            </w:r>
            <w:r>
              <w:rPr>
                <w:rFonts w:ascii="Trebuchet MS" w:hAnsi="Trebuchet MS"/>
                <w:lang w:val="fr-FR"/>
              </w:rPr>
              <w:t>tenir compte d</w:t>
            </w:r>
            <w:r w:rsidRPr="009A1264">
              <w:rPr>
                <w:rFonts w:ascii="Trebuchet MS" w:hAnsi="Trebuchet MS"/>
                <w:lang w:val="fr-FR"/>
              </w:rPr>
              <w:t xml:space="preserve">es déterminants sociaux de la santé et les questions de santé publique, y compris la préparation aux épidémies (formation professionnelle continue). </w:t>
            </w:r>
          </w:p>
          <w:p w:rsidR="009A1264" w:rsidRDefault="009A1264" w:rsidP="009A1264">
            <w:pPr>
              <w:pStyle w:val="ListParagraph"/>
              <w:numPr>
                <w:ilvl w:val="0"/>
                <w:numId w:val="8"/>
              </w:numPr>
              <w:rPr>
                <w:rFonts w:ascii="Trebuchet MS" w:hAnsi="Trebuchet MS"/>
                <w:lang w:val="fr-FR"/>
              </w:rPr>
            </w:pPr>
            <w:r w:rsidRPr="009A1264">
              <w:rPr>
                <w:rFonts w:ascii="Trebuchet MS" w:hAnsi="Trebuchet MS"/>
                <w:lang w:val="fr-FR"/>
              </w:rPr>
              <w:t>Soutenir le</w:t>
            </w:r>
            <w:r>
              <w:rPr>
                <w:rFonts w:ascii="Trebuchet MS" w:hAnsi="Trebuchet MS"/>
                <w:lang w:val="fr-FR"/>
              </w:rPr>
              <w:t>s</w:t>
            </w:r>
            <w:r w:rsidRPr="009A1264">
              <w:rPr>
                <w:rFonts w:ascii="Trebuchet MS" w:hAnsi="Trebuchet MS"/>
                <w:lang w:val="fr-FR"/>
              </w:rPr>
              <w:t xml:space="preserve"> pays pour renforcer les organismes de réglementation </w:t>
            </w:r>
          </w:p>
          <w:p w:rsidR="009A1264" w:rsidRPr="009A1264" w:rsidRDefault="009A1264" w:rsidP="009A1264">
            <w:pPr>
              <w:pStyle w:val="ListParagraph"/>
              <w:numPr>
                <w:ilvl w:val="0"/>
                <w:numId w:val="8"/>
              </w:numPr>
              <w:rPr>
                <w:rFonts w:ascii="Trebuchet MS" w:hAnsi="Trebuchet MS"/>
                <w:lang w:val="fr-FR"/>
              </w:rPr>
            </w:pPr>
            <w:r w:rsidRPr="009A1264">
              <w:rPr>
                <w:rFonts w:ascii="Trebuchet MS" w:hAnsi="Trebuchet MS"/>
                <w:lang w:val="fr-FR"/>
              </w:rPr>
              <w:t>Soutenir le</w:t>
            </w:r>
            <w:r>
              <w:rPr>
                <w:rFonts w:ascii="Trebuchet MS" w:hAnsi="Trebuchet MS"/>
                <w:lang w:val="fr-FR"/>
              </w:rPr>
              <w:t>s</w:t>
            </w:r>
            <w:r w:rsidRPr="009A1264">
              <w:rPr>
                <w:rFonts w:ascii="Trebuchet MS" w:hAnsi="Trebuchet MS"/>
                <w:lang w:val="fr-FR"/>
              </w:rPr>
              <w:t xml:space="preserve"> pays pour renforcer le partenariat public-privé afin d'accroître la participation du secteur privé dans l'éducation</w:t>
            </w:r>
            <w:r>
              <w:rPr>
                <w:rFonts w:ascii="Trebuchet MS" w:hAnsi="Trebuchet MS"/>
                <w:lang w:val="fr-FR"/>
              </w:rPr>
              <w:t xml:space="preserve"> et l’emploi</w:t>
            </w:r>
            <w:r w:rsidRPr="009A1264">
              <w:rPr>
                <w:rFonts w:ascii="Trebuchet MS" w:hAnsi="Trebuchet MS"/>
                <w:lang w:val="fr-FR"/>
              </w:rPr>
              <w:t xml:space="preserve">. </w:t>
            </w:r>
          </w:p>
          <w:p w:rsidR="009A1264" w:rsidRPr="009A1264" w:rsidRDefault="009A1264" w:rsidP="009A1264">
            <w:pPr>
              <w:pStyle w:val="ListParagraph"/>
              <w:numPr>
                <w:ilvl w:val="0"/>
                <w:numId w:val="8"/>
              </w:numPr>
              <w:rPr>
                <w:rFonts w:ascii="Trebuchet MS" w:hAnsi="Trebuchet MS"/>
                <w:lang w:val="fr-FR"/>
              </w:rPr>
            </w:pPr>
            <w:r w:rsidRPr="009A1264">
              <w:rPr>
                <w:rFonts w:ascii="Trebuchet MS" w:hAnsi="Trebuchet MS"/>
                <w:lang w:val="fr-FR"/>
              </w:rPr>
              <w:t xml:space="preserve">Soutenir le pays pour renforcer le programme d'études, l'accréditation et la certification des </w:t>
            </w:r>
            <w:r>
              <w:rPr>
                <w:rFonts w:ascii="Trebuchet MS" w:hAnsi="Trebuchet MS"/>
                <w:lang w:val="fr-FR"/>
              </w:rPr>
              <w:t xml:space="preserve">professionnels </w:t>
            </w:r>
            <w:r w:rsidRPr="009A1264">
              <w:rPr>
                <w:rFonts w:ascii="Trebuchet MS" w:hAnsi="Trebuchet MS"/>
                <w:lang w:val="fr-FR"/>
              </w:rPr>
              <w:t xml:space="preserve">de santé.  </w:t>
            </w:r>
          </w:p>
          <w:p w:rsidR="000C48FD" w:rsidRPr="009A1264" w:rsidRDefault="009A1264" w:rsidP="009A1264">
            <w:pPr>
              <w:pStyle w:val="ListParagraph"/>
              <w:numPr>
                <w:ilvl w:val="0"/>
                <w:numId w:val="8"/>
              </w:numPr>
              <w:rPr>
                <w:rFonts w:ascii="Trebuchet MS" w:hAnsi="Trebuchet MS"/>
                <w:b/>
                <w:bCs/>
                <w:lang w:val="fr-FR"/>
              </w:rPr>
            </w:pPr>
            <w:r w:rsidRPr="009A1264">
              <w:rPr>
                <w:rFonts w:ascii="Trebuchet MS" w:hAnsi="Trebuchet MS"/>
                <w:lang w:val="fr-FR"/>
              </w:rPr>
              <w:t>Soutenir les pays pour augmenter l'investissement dans le corps professoral des écoles de formation afin de garantir un nombre et une qualité suffisants.</w:t>
            </w:r>
          </w:p>
        </w:tc>
        <w:tc>
          <w:tcPr>
            <w:tcW w:w="2126" w:type="dxa"/>
            <w:shd w:val="clear" w:color="auto" w:fill="FFF2CC" w:themeFill="accent4" w:themeFillTint="33"/>
          </w:tcPr>
          <w:p w:rsidR="000C48FD" w:rsidRPr="009A1264" w:rsidRDefault="000C48FD" w:rsidP="000C48FD">
            <w:pPr>
              <w:rPr>
                <w:rFonts w:ascii="Trebuchet MS" w:hAnsi="Trebuchet MS"/>
                <w:lang w:val="fr-FR"/>
              </w:rPr>
            </w:pPr>
          </w:p>
          <w:p w:rsidR="000C48FD" w:rsidRPr="009A1264" w:rsidRDefault="000C48FD" w:rsidP="000C48FD">
            <w:pPr>
              <w:rPr>
                <w:rFonts w:ascii="Trebuchet MS" w:hAnsi="Trebuchet MS"/>
                <w:lang w:val="fr-FR"/>
              </w:rPr>
            </w:pPr>
          </w:p>
          <w:p w:rsidR="000C48FD" w:rsidRPr="009A1264" w:rsidRDefault="000C48FD" w:rsidP="000C48FD">
            <w:pPr>
              <w:rPr>
                <w:rFonts w:ascii="Trebuchet MS" w:hAnsi="Trebuchet MS"/>
                <w:lang w:val="fr-FR"/>
              </w:rPr>
            </w:pPr>
          </w:p>
          <w:p w:rsidR="000C48FD" w:rsidRPr="009A1264" w:rsidRDefault="000C48FD" w:rsidP="000C48FD">
            <w:pPr>
              <w:rPr>
                <w:rFonts w:ascii="Trebuchet MS" w:hAnsi="Trebuchet MS"/>
                <w:lang w:val="fr-FR"/>
              </w:rPr>
            </w:pPr>
          </w:p>
          <w:p w:rsidR="000C48FD" w:rsidRPr="009A1264" w:rsidRDefault="000C48FD" w:rsidP="000C48FD">
            <w:pPr>
              <w:rPr>
                <w:rFonts w:ascii="Trebuchet MS" w:hAnsi="Trebuchet MS"/>
                <w:lang w:val="fr-FR"/>
              </w:rPr>
            </w:pPr>
          </w:p>
          <w:p w:rsidR="000C48FD" w:rsidRPr="009A1264" w:rsidRDefault="000C48FD" w:rsidP="000C48FD">
            <w:pPr>
              <w:rPr>
                <w:rFonts w:ascii="Trebuchet MS" w:hAnsi="Trebuchet MS"/>
                <w:lang w:val="fr-FR"/>
              </w:rPr>
            </w:pPr>
          </w:p>
          <w:p w:rsidR="000C48FD" w:rsidRPr="009771AB" w:rsidRDefault="000C48FD" w:rsidP="000C48FD">
            <w:pPr>
              <w:rPr>
                <w:rFonts w:ascii="Trebuchet MS" w:hAnsi="Trebuchet MS"/>
              </w:rPr>
            </w:pPr>
            <w:r w:rsidRPr="009771AB">
              <w:rPr>
                <w:rFonts w:ascii="Trebuchet MS" w:hAnsi="Trebuchet MS"/>
              </w:rPr>
              <w:t>AFRO may provide support in the development and implementation of the following planned activities 1), 2); 3); 4) and 7)</w:t>
            </w:r>
          </w:p>
          <w:p w:rsidR="000C48FD" w:rsidRPr="009771AB" w:rsidRDefault="000C48FD" w:rsidP="000C48FD">
            <w:pPr>
              <w:rPr>
                <w:rFonts w:ascii="Trebuchet MS" w:hAnsi="Trebuchet MS"/>
              </w:rPr>
            </w:pPr>
          </w:p>
          <w:p w:rsidR="000C48FD" w:rsidRPr="009771AB" w:rsidRDefault="000C48FD" w:rsidP="000C48FD">
            <w:pPr>
              <w:rPr>
                <w:rFonts w:ascii="Trebuchet MS" w:hAnsi="Trebuchet MS"/>
              </w:rPr>
            </w:pPr>
            <w:r w:rsidRPr="009771AB">
              <w:rPr>
                <w:rFonts w:ascii="Trebuchet MS" w:hAnsi="Trebuchet MS"/>
              </w:rPr>
              <w:t>AFRO support can be technical or financial or both</w:t>
            </w:r>
          </w:p>
          <w:p w:rsidR="000C48FD" w:rsidRPr="009771AB" w:rsidRDefault="000C48FD" w:rsidP="000C48FD">
            <w:pPr>
              <w:rPr>
                <w:rFonts w:ascii="Trebuchet MS" w:hAnsi="Trebuchet MS"/>
                <w:b/>
                <w:bCs/>
              </w:rPr>
            </w:pPr>
          </w:p>
        </w:tc>
      </w:tr>
      <w:tr w:rsidR="000C48FD" w:rsidRPr="001343E2" w:rsidTr="006B2AE9">
        <w:tc>
          <w:tcPr>
            <w:tcW w:w="3092" w:type="dxa"/>
            <w:shd w:val="clear" w:color="auto" w:fill="D9E2F3" w:themeFill="accent1" w:themeFillTint="33"/>
            <w:vAlign w:val="center"/>
          </w:tcPr>
          <w:p w:rsidR="00E9415A" w:rsidRPr="00E9415A" w:rsidRDefault="00E9415A" w:rsidP="00E9415A">
            <w:pPr>
              <w:rPr>
                <w:rFonts w:ascii="Trebuchet MS" w:hAnsi="Trebuchet MS"/>
                <w:b/>
                <w:bCs/>
                <w:color w:val="833C0B" w:themeColor="accent2" w:themeShade="80"/>
                <w:lang w:val="fr-FR"/>
              </w:rPr>
            </w:pPr>
            <w:r>
              <w:rPr>
                <w:rFonts w:ascii="Trebuchet MS" w:hAnsi="Trebuchet MS"/>
                <w:b/>
                <w:bCs/>
                <w:color w:val="833C0B" w:themeColor="accent2" w:themeShade="80"/>
                <w:lang w:val="fr-FR"/>
              </w:rPr>
              <w:t xml:space="preserve">2. </w:t>
            </w:r>
            <w:r w:rsidRPr="00E9415A">
              <w:rPr>
                <w:rFonts w:ascii="Trebuchet MS" w:hAnsi="Trebuchet MS"/>
                <w:b/>
                <w:bCs/>
                <w:color w:val="833C0B" w:themeColor="accent2" w:themeShade="80"/>
                <w:lang w:val="fr-FR"/>
              </w:rPr>
              <w:t>Renforcer la capacité de planification pour développer ou améliorer les politique et les stratégies en matière de RHS qui quantifient les besoins, la demande et l'offre de personnel de santé.</w:t>
            </w:r>
          </w:p>
          <w:p w:rsidR="000C48FD" w:rsidRPr="00E9415A" w:rsidRDefault="000C48FD" w:rsidP="000C48FD">
            <w:pPr>
              <w:ind w:left="-44"/>
              <w:rPr>
                <w:rFonts w:ascii="Trebuchet MS" w:hAnsi="Trebuchet MS"/>
                <w:b/>
                <w:bCs/>
                <w:color w:val="833C0B" w:themeColor="accent2" w:themeShade="80"/>
                <w:lang w:val="fr-FR"/>
              </w:rPr>
            </w:pPr>
          </w:p>
        </w:tc>
        <w:tc>
          <w:tcPr>
            <w:tcW w:w="4989" w:type="dxa"/>
            <w:shd w:val="clear" w:color="auto" w:fill="FBE4D5" w:themeFill="accent2" w:themeFillTint="33"/>
          </w:tcPr>
          <w:p w:rsidR="009A1264" w:rsidRPr="009A1264" w:rsidRDefault="009A1264" w:rsidP="009A1264">
            <w:pPr>
              <w:pStyle w:val="ListParagraph"/>
              <w:numPr>
                <w:ilvl w:val="0"/>
                <w:numId w:val="17"/>
              </w:numPr>
              <w:rPr>
                <w:rFonts w:ascii="Trebuchet MS" w:hAnsi="Trebuchet MS"/>
                <w:lang w:val="fr-FR"/>
              </w:rPr>
            </w:pPr>
            <w:r w:rsidRPr="009A1264">
              <w:rPr>
                <w:rFonts w:ascii="Trebuchet MS" w:hAnsi="Trebuchet MS"/>
                <w:lang w:val="fr-FR"/>
              </w:rPr>
              <w:t>Soutenir le pays pour évaluer la capacité de</w:t>
            </w:r>
            <w:r>
              <w:rPr>
                <w:rFonts w:ascii="Trebuchet MS" w:hAnsi="Trebuchet MS"/>
                <w:lang w:val="fr-FR"/>
              </w:rPr>
              <w:t xml:space="preserve">s </w:t>
            </w:r>
            <w:r w:rsidRPr="009A1264">
              <w:rPr>
                <w:rFonts w:ascii="Trebuchet MS" w:hAnsi="Trebuchet MS"/>
                <w:lang w:val="fr-FR"/>
              </w:rPr>
              <w:t>direction</w:t>
            </w:r>
            <w:r>
              <w:rPr>
                <w:rFonts w:ascii="Trebuchet MS" w:hAnsi="Trebuchet MS"/>
                <w:lang w:val="fr-FR"/>
              </w:rPr>
              <w:t>s</w:t>
            </w:r>
            <w:r w:rsidRPr="009A1264">
              <w:rPr>
                <w:rFonts w:ascii="Trebuchet MS" w:hAnsi="Trebuchet MS"/>
                <w:lang w:val="fr-FR"/>
              </w:rPr>
              <w:t xml:space="preserve"> des RHS</w:t>
            </w:r>
            <w:r>
              <w:rPr>
                <w:rFonts w:ascii="Trebuchet MS" w:hAnsi="Trebuchet MS"/>
                <w:lang w:val="fr-FR"/>
              </w:rPr>
              <w:t xml:space="preserve"> du Min Santé</w:t>
            </w:r>
            <w:r w:rsidRPr="009A1264">
              <w:rPr>
                <w:rFonts w:ascii="Trebuchet MS" w:hAnsi="Trebuchet MS"/>
                <w:lang w:val="fr-FR"/>
              </w:rPr>
              <w:t xml:space="preserve">. </w:t>
            </w:r>
          </w:p>
          <w:p w:rsidR="009A1264" w:rsidRPr="009A1264" w:rsidRDefault="009A1264" w:rsidP="009A1264">
            <w:pPr>
              <w:pStyle w:val="ListParagraph"/>
              <w:numPr>
                <w:ilvl w:val="0"/>
                <w:numId w:val="17"/>
              </w:numPr>
              <w:rPr>
                <w:rFonts w:ascii="Trebuchet MS" w:hAnsi="Trebuchet MS"/>
                <w:lang w:val="fr-FR"/>
              </w:rPr>
            </w:pPr>
            <w:r w:rsidRPr="009A1264">
              <w:rPr>
                <w:rFonts w:ascii="Trebuchet MS" w:hAnsi="Trebuchet MS"/>
                <w:lang w:val="fr-FR"/>
              </w:rPr>
              <w:t>Soutenir le pays pour renforcer la capacité des</w:t>
            </w:r>
            <w:r>
              <w:rPr>
                <w:rFonts w:ascii="Trebuchet MS" w:hAnsi="Trebuchet MS"/>
                <w:lang w:val="fr-FR"/>
              </w:rPr>
              <w:t xml:space="preserve"> directions </w:t>
            </w:r>
            <w:r w:rsidRPr="009A1264">
              <w:rPr>
                <w:rFonts w:ascii="Trebuchet MS" w:hAnsi="Trebuchet MS"/>
                <w:lang w:val="fr-FR"/>
              </w:rPr>
              <w:t>de RHS</w:t>
            </w:r>
            <w:r>
              <w:rPr>
                <w:rFonts w:ascii="Trebuchet MS" w:hAnsi="Trebuchet MS"/>
                <w:lang w:val="fr-FR"/>
              </w:rPr>
              <w:t xml:space="preserve"> du Min Santé</w:t>
            </w:r>
            <w:r w:rsidRPr="009A1264">
              <w:rPr>
                <w:rFonts w:ascii="Trebuchet MS" w:hAnsi="Trebuchet MS"/>
                <w:lang w:val="fr-FR"/>
              </w:rPr>
              <w:t xml:space="preserve"> à développer des plans de RHS qui incluent une pr</w:t>
            </w:r>
            <w:r>
              <w:rPr>
                <w:rFonts w:ascii="Trebuchet MS" w:hAnsi="Trebuchet MS"/>
                <w:lang w:val="fr-FR"/>
              </w:rPr>
              <w:t>ojection</w:t>
            </w:r>
            <w:r w:rsidRPr="009A1264">
              <w:rPr>
                <w:rFonts w:ascii="Trebuchet MS" w:hAnsi="Trebuchet MS"/>
                <w:lang w:val="fr-FR"/>
              </w:rPr>
              <w:t xml:space="preserve"> à long terme</w:t>
            </w:r>
            <w:r>
              <w:rPr>
                <w:rFonts w:ascii="Trebuchet MS" w:hAnsi="Trebuchet MS"/>
                <w:lang w:val="fr-FR"/>
              </w:rPr>
              <w:t xml:space="preserve"> des besoins</w:t>
            </w:r>
            <w:r w:rsidRPr="009A1264">
              <w:rPr>
                <w:rFonts w:ascii="Trebuchet MS" w:hAnsi="Trebuchet MS"/>
                <w:lang w:val="fr-FR"/>
              </w:rPr>
              <w:t xml:space="preserve"> des différents ca</w:t>
            </w:r>
            <w:r>
              <w:rPr>
                <w:rFonts w:ascii="Trebuchet MS" w:hAnsi="Trebuchet MS"/>
                <w:lang w:val="fr-FR"/>
              </w:rPr>
              <w:t>tégories</w:t>
            </w:r>
            <w:r w:rsidRPr="009A1264">
              <w:rPr>
                <w:rFonts w:ascii="Trebuchet MS" w:hAnsi="Trebuchet MS"/>
                <w:lang w:val="fr-FR"/>
              </w:rPr>
              <w:t xml:space="preserve"> du personnel de santé. </w:t>
            </w:r>
          </w:p>
          <w:p w:rsidR="009A1264" w:rsidRDefault="009A1264" w:rsidP="009A1264">
            <w:pPr>
              <w:pStyle w:val="ListParagraph"/>
              <w:numPr>
                <w:ilvl w:val="0"/>
                <w:numId w:val="17"/>
              </w:numPr>
              <w:rPr>
                <w:rFonts w:ascii="Trebuchet MS" w:hAnsi="Trebuchet MS"/>
                <w:lang w:val="fr-FR"/>
              </w:rPr>
            </w:pPr>
            <w:r w:rsidRPr="009A1264">
              <w:rPr>
                <w:rFonts w:ascii="Trebuchet MS" w:hAnsi="Trebuchet MS"/>
                <w:lang w:val="fr-FR"/>
              </w:rPr>
              <w:t xml:space="preserve">Soutenir les directions de RHS du Min Santé pour établir/réviser les normes et standards de dotation en personnel afin d'améliorer la capacité institutionnelle de déploiement et de gestion. </w:t>
            </w:r>
          </w:p>
          <w:p w:rsidR="009A1264" w:rsidRPr="009A1264" w:rsidRDefault="009A1264" w:rsidP="009A1264">
            <w:pPr>
              <w:pStyle w:val="ListParagraph"/>
              <w:numPr>
                <w:ilvl w:val="0"/>
                <w:numId w:val="17"/>
              </w:numPr>
              <w:rPr>
                <w:rFonts w:ascii="Trebuchet MS" w:hAnsi="Trebuchet MS"/>
                <w:lang w:val="fr-FR"/>
              </w:rPr>
            </w:pPr>
            <w:r w:rsidRPr="009A1264">
              <w:rPr>
                <w:rFonts w:ascii="Trebuchet MS" w:hAnsi="Trebuchet MS"/>
                <w:lang w:val="fr-FR"/>
              </w:rPr>
              <w:t>Soutenir le</w:t>
            </w:r>
            <w:r>
              <w:rPr>
                <w:rFonts w:ascii="Trebuchet MS" w:hAnsi="Trebuchet MS"/>
                <w:lang w:val="fr-FR"/>
              </w:rPr>
              <w:t>s</w:t>
            </w:r>
            <w:r w:rsidRPr="009A1264">
              <w:rPr>
                <w:rFonts w:ascii="Trebuchet MS" w:hAnsi="Trebuchet MS"/>
                <w:lang w:val="fr-FR"/>
              </w:rPr>
              <w:t xml:space="preserve"> pays pour renforcer la capacité à appliquer l'outil WISN (</w:t>
            </w:r>
            <w:proofErr w:type="spellStart"/>
            <w:r w:rsidRPr="009A1264">
              <w:rPr>
                <w:rFonts w:ascii="Trebuchet MS" w:hAnsi="Trebuchet MS"/>
                <w:lang w:val="fr-FR"/>
              </w:rPr>
              <w:t>Workload</w:t>
            </w:r>
            <w:proofErr w:type="spellEnd"/>
            <w:r w:rsidRPr="009A1264">
              <w:rPr>
                <w:rFonts w:ascii="Trebuchet MS" w:hAnsi="Trebuchet MS"/>
                <w:lang w:val="fr-FR"/>
              </w:rPr>
              <w:t xml:space="preserve"> </w:t>
            </w:r>
            <w:proofErr w:type="spellStart"/>
            <w:r w:rsidRPr="009A1264">
              <w:rPr>
                <w:rFonts w:ascii="Trebuchet MS" w:hAnsi="Trebuchet MS"/>
                <w:lang w:val="fr-FR"/>
              </w:rPr>
              <w:t>Indicators</w:t>
            </w:r>
            <w:proofErr w:type="spellEnd"/>
            <w:r w:rsidRPr="009A1264">
              <w:rPr>
                <w:rFonts w:ascii="Trebuchet MS" w:hAnsi="Trebuchet MS"/>
                <w:lang w:val="fr-FR"/>
              </w:rPr>
              <w:t xml:space="preserve"> of </w:t>
            </w:r>
            <w:proofErr w:type="spellStart"/>
            <w:r w:rsidRPr="009A1264">
              <w:rPr>
                <w:rFonts w:ascii="Trebuchet MS" w:hAnsi="Trebuchet MS"/>
                <w:lang w:val="fr-FR"/>
              </w:rPr>
              <w:t>Staffing</w:t>
            </w:r>
            <w:proofErr w:type="spellEnd"/>
            <w:r w:rsidRPr="009A1264">
              <w:rPr>
                <w:rFonts w:ascii="Trebuchet MS" w:hAnsi="Trebuchet MS"/>
                <w:lang w:val="fr-FR"/>
              </w:rPr>
              <w:t xml:space="preserve"> </w:t>
            </w:r>
            <w:proofErr w:type="spellStart"/>
            <w:r w:rsidRPr="009A1264">
              <w:rPr>
                <w:rFonts w:ascii="Trebuchet MS" w:hAnsi="Trebuchet MS"/>
                <w:lang w:val="fr-FR"/>
              </w:rPr>
              <w:t>Needs</w:t>
            </w:r>
            <w:proofErr w:type="spellEnd"/>
            <w:r w:rsidRPr="009A1264">
              <w:rPr>
                <w:rFonts w:ascii="Trebuchet MS" w:hAnsi="Trebuchet MS"/>
                <w:lang w:val="fr-FR"/>
              </w:rPr>
              <w:t xml:space="preserve">). </w:t>
            </w:r>
          </w:p>
          <w:p w:rsidR="009A1264" w:rsidRPr="009A1264" w:rsidRDefault="009A1264" w:rsidP="009A1264">
            <w:pPr>
              <w:pStyle w:val="ListParagraph"/>
              <w:numPr>
                <w:ilvl w:val="0"/>
                <w:numId w:val="17"/>
              </w:numPr>
              <w:rPr>
                <w:rFonts w:ascii="Trebuchet MS" w:hAnsi="Trebuchet MS"/>
                <w:lang w:val="fr-FR"/>
              </w:rPr>
            </w:pPr>
            <w:r w:rsidRPr="009A1264">
              <w:rPr>
                <w:rFonts w:ascii="Trebuchet MS" w:hAnsi="Trebuchet MS"/>
                <w:lang w:val="fr-FR"/>
              </w:rPr>
              <w:t>Soutenir le</w:t>
            </w:r>
            <w:r>
              <w:rPr>
                <w:rFonts w:ascii="Trebuchet MS" w:hAnsi="Trebuchet MS"/>
                <w:lang w:val="fr-FR"/>
              </w:rPr>
              <w:t>s</w:t>
            </w:r>
            <w:r w:rsidRPr="009A1264">
              <w:rPr>
                <w:rFonts w:ascii="Trebuchet MS" w:hAnsi="Trebuchet MS"/>
                <w:lang w:val="fr-FR"/>
              </w:rPr>
              <w:t xml:space="preserve"> pays pour renforcer la capacité d'analyse du marché du travail dans le secteur de la santé.</w:t>
            </w:r>
          </w:p>
          <w:p w:rsidR="009A1264" w:rsidRPr="009A1264" w:rsidRDefault="009A1264" w:rsidP="009A1264">
            <w:pPr>
              <w:pStyle w:val="ListParagraph"/>
              <w:numPr>
                <w:ilvl w:val="0"/>
                <w:numId w:val="17"/>
              </w:numPr>
              <w:rPr>
                <w:rFonts w:ascii="Trebuchet MS" w:hAnsi="Trebuchet MS"/>
                <w:lang w:val="fr-FR"/>
              </w:rPr>
            </w:pPr>
            <w:r w:rsidRPr="009A1264">
              <w:rPr>
                <w:rFonts w:ascii="Trebuchet MS" w:hAnsi="Trebuchet MS"/>
                <w:lang w:val="fr-FR"/>
              </w:rPr>
              <w:t>Soutenir le</w:t>
            </w:r>
            <w:r w:rsidR="00625DD9">
              <w:rPr>
                <w:rFonts w:ascii="Trebuchet MS" w:hAnsi="Trebuchet MS"/>
                <w:lang w:val="fr-FR"/>
              </w:rPr>
              <w:t>s</w:t>
            </w:r>
            <w:r w:rsidRPr="009A1264">
              <w:rPr>
                <w:rFonts w:ascii="Trebuchet MS" w:hAnsi="Trebuchet MS"/>
                <w:lang w:val="fr-FR"/>
              </w:rPr>
              <w:t xml:space="preserve"> pays pour développer la capacité de planification et de projection d</w:t>
            </w:r>
            <w:r w:rsidR="00625DD9">
              <w:rPr>
                <w:rFonts w:ascii="Trebuchet MS" w:hAnsi="Trebuchet MS"/>
                <w:lang w:val="fr-FR"/>
              </w:rPr>
              <w:t>es RHS</w:t>
            </w:r>
            <w:r w:rsidRPr="009A1264">
              <w:rPr>
                <w:rFonts w:ascii="Trebuchet MS" w:hAnsi="Trebuchet MS"/>
                <w:lang w:val="fr-FR"/>
              </w:rPr>
              <w:t>.</w:t>
            </w:r>
          </w:p>
          <w:p w:rsidR="00625DD9" w:rsidRDefault="009A1264" w:rsidP="009A1264">
            <w:pPr>
              <w:pStyle w:val="ListParagraph"/>
              <w:numPr>
                <w:ilvl w:val="0"/>
                <w:numId w:val="17"/>
              </w:numPr>
              <w:rPr>
                <w:rFonts w:ascii="Trebuchet MS" w:hAnsi="Trebuchet MS"/>
                <w:lang w:val="fr-FR"/>
              </w:rPr>
            </w:pPr>
            <w:r w:rsidRPr="009A1264">
              <w:rPr>
                <w:rFonts w:ascii="Trebuchet MS" w:hAnsi="Trebuchet MS"/>
                <w:lang w:val="fr-FR"/>
              </w:rPr>
              <w:t>Soutenir le</w:t>
            </w:r>
            <w:r w:rsidR="00625DD9">
              <w:rPr>
                <w:rFonts w:ascii="Trebuchet MS" w:hAnsi="Trebuchet MS"/>
                <w:lang w:val="fr-FR"/>
              </w:rPr>
              <w:t>s</w:t>
            </w:r>
            <w:r w:rsidRPr="009A1264">
              <w:rPr>
                <w:rFonts w:ascii="Trebuchet MS" w:hAnsi="Trebuchet MS"/>
                <w:lang w:val="fr-FR"/>
              </w:rPr>
              <w:t xml:space="preserve"> pays pour renforcer les mécanismes institutionnels afin de coordonner l'agenda</w:t>
            </w:r>
            <w:r w:rsidR="00625DD9">
              <w:rPr>
                <w:rFonts w:ascii="Trebuchet MS" w:hAnsi="Trebuchet MS"/>
                <w:lang w:val="fr-FR"/>
              </w:rPr>
              <w:t xml:space="preserve"> national</w:t>
            </w:r>
            <w:r w:rsidRPr="009A1264">
              <w:rPr>
                <w:rFonts w:ascii="Trebuchet MS" w:hAnsi="Trebuchet MS"/>
                <w:lang w:val="fr-FR"/>
              </w:rPr>
              <w:t xml:space="preserve"> d</w:t>
            </w:r>
            <w:r w:rsidR="00625DD9">
              <w:rPr>
                <w:rFonts w:ascii="Trebuchet MS" w:hAnsi="Trebuchet MS"/>
                <w:lang w:val="fr-FR"/>
              </w:rPr>
              <w:t>e RHS</w:t>
            </w:r>
          </w:p>
          <w:p w:rsidR="000C48FD" w:rsidRPr="001343E2" w:rsidRDefault="009A1264" w:rsidP="00625DD9">
            <w:pPr>
              <w:ind w:left="360"/>
              <w:rPr>
                <w:rFonts w:ascii="Trebuchet MS" w:hAnsi="Trebuchet MS"/>
                <w:lang w:val="fr-FR"/>
              </w:rPr>
            </w:pPr>
            <w:r w:rsidRPr="001343E2">
              <w:rPr>
                <w:rFonts w:ascii="Trebuchet MS" w:hAnsi="Trebuchet MS"/>
                <w:lang w:val="fr-FR"/>
              </w:rPr>
              <w:t xml:space="preserve"> </w:t>
            </w:r>
          </w:p>
        </w:tc>
        <w:tc>
          <w:tcPr>
            <w:tcW w:w="2126" w:type="dxa"/>
            <w:shd w:val="clear" w:color="auto" w:fill="FFF2CC" w:themeFill="accent4" w:themeFillTint="33"/>
          </w:tcPr>
          <w:p w:rsidR="000C48FD" w:rsidRPr="00667D8B" w:rsidRDefault="000C48FD" w:rsidP="000C48FD">
            <w:pPr>
              <w:rPr>
                <w:rFonts w:ascii="Trebuchet MS" w:hAnsi="Trebuchet MS"/>
                <w:b/>
                <w:bCs/>
                <w:lang w:val="fr-FR"/>
              </w:rPr>
            </w:pPr>
          </w:p>
          <w:p w:rsidR="000C48FD" w:rsidRPr="00667D8B" w:rsidRDefault="000C48FD" w:rsidP="000C48FD">
            <w:pPr>
              <w:rPr>
                <w:rFonts w:ascii="Trebuchet MS" w:hAnsi="Trebuchet MS"/>
                <w:b/>
                <w:bCs/>
                <w:lang w:val="fr-FR"/>
              </w:rPr>
            </w:pPr>
          </w:p>
          <w:p w:rsidR="000C48FD" w:rsidRPr="00667D8B" w:rsidRDefault="00667D8B" w:rsidP="000C48FD">
            <w:pPr>
              <w:rPr>
                <w:rFonts w:ascii="Trebuchet MS" w:hAnsi="Trebuchet MS"/>
                <w:b/>
                <w:bCs/>
                <w:lang w:val="fr-FR"/>
              </w:rPr>
            </w:pPr>
            <w:r w:rsidRPr="00667D8B">
              <w:rPr>
                <w:rFonts w:ascii="Trebuchet MS" w:hAnsi="Trebuchet MS"/>
                <w:lang w:val="fr-FR"/>
              </w:rPr>
              <w:t xml:space="preserve">AFRO peut apporter son soutien aux activités planifiées suivantes, de 1) à </w:t>
            </w:r>
            <w:r>
              <w:rPr>
                <w:rFonts w:ascii="Trebuchet MS" w:hAnsi="Trebuchet MS"/>
                <w:lang w:val="fr-FR"/>
              </w:rPr>
              <w:t>7</w:t>
            </w:r>
            <w:r w:rsidRPr="00667D8B">
              <w:rPr>
                <w:rFonts w:ascii="Trebuchet MS" w:hAnsi="Trebuchet MS"/>
                <w:lang w:val="fr-FR"/>
              </w:rPr>
              <w:t xml:space="preserve">), en renforçant les capacités de planification qui quantifient les besoins, la demande et l'offre en matière de personnel de santé. </w:t>
            </w:r>
          </w:p>
        </w:tc>
      </w:tr>
      <w:tr w:rsidR="000C48FD" w:rsidRPr="001343E2" w:rsidTr="006B2AE9">
        <w:tc>
          <w:tcPr>
            <w:tcW w:w="3092" w:type="dxa"/>
            <w:shd w:val="clear" w:color="auto" w:fill="D9E2F3" w:themeFill="accent1" w:themeFillTint="33"/>
            <w:vAlign w:val="center"/>
          </w:tcPr>
          <w:p w:rsidR="000C48FD" w:rsidRPr="00E9415A" w:rsidRDefault="00E9415A" w:rsidP="00E9415A">
            <w:pPr>
              <w:rPr>
                <w:rFonts w:ascii="Trebuchet MS" w:hAnsi="Trebuchet MS"/>
                <w:b/>
                <w:bCs/>
                <w:color w:val="833C0B" w:themeColor="accent2" w:themeShade="80"/>
                <w:lang w:val="fr-FR"/>
              </w:rPr>
            </w:pPr>
            <w:r>
              <w:rPr>
                <w:rFonts w:ascii="Trebuchet MS" w:hAnsi="Trebuchet MS"/>
                <w:b/>
                <w:bCs/>
                <w:color w:val="833C0B" w:themeColor="accent2" w:themeShade="80"/>
                <w:lang w:val="fr-FR"/>
              </w:rPr>
              <w:t xml:space="preserve">3. </w:t>
            </w:r>
            <w:r w:rsidRPr="00E9415A">
              <w:rPr>
                <w:rFonts w:ascii="Trebuchet MS" w:hAnsi="Trebuchet MS"/>
                <w:b/>
                <w:bCs/>
                <w:color w:val="833C0B" w:themeColor="accent2" w:themeShade="80"/>
                <w:lang w:val="fr-FR"/>
              </w:rPr>
              <w:t>Établir des plans d'investissement pour les RHS en tant que composante essentielle du financement de la santé et de l'investissement en faveur de la CSU et des ODD.</w:t>
            </w:r>
          </w:p>
        </w:tc>
        <w:tc>
          <w:tcPr>
            <w:tcW w:w="4989" w:type="dxa"/>
            <w:shd w:val="clear" w:color="auto" w:fill="FBE4D5" w:themeFill="accent2" w:themeFillTint="33"/>
          </w:tcPr>
          <w:p w:rsidR="00625DD9" w:rsidRPr="00625DD9" w:rsidRDefault="00625DD9" w:rsidP="00625DD9">
            <w:pPr>
              <w:pStyle w:val="ListParagraph"/>
              <w:numPr>
                <w:ilvl w:val="0"/>
                <w:numId w:val="9"/>
              </w:numPr>
              <w:rPr>
                <w:rFonts w:ascii="Trebuchet MS" w:hAnsi="Trebuchet MS"/>
                <w:lang w:val="fr-FR"/>
              </w:rPr>
            </w:pPr>
            <w:r w:rsidRPr="00625DD9">
              <w:rPr>
                <w:rFonts w:ascii="Trebuchet MS" w:hAnsi="Trebuchet MS"/>
                <w:lang w:val="fr-FR"/>
              </w:rPr>
              <w:t xml:space="preserve">Soutenir les pays dans l'élaboration d'un </w:t>
            </w:r>
            <w:r>
              <w:rPr>
                <w:rFonts w:ascii="Trebuchet MS" w:hAnsi="Trebuchet MS"/>
                <w:lang w:val="fr-FR"/>
              </w:rPr>
              <w:t>projet</w:t>
            </w:r>
            <w:r w:rsidRPr="00625DD9">
              <w:rPr>
                <w:rFonts w:ascii="Trebuchet MS" w:hAnsi="Trebuchet MS"/>
                <w:lang w:val="fr-FR"/>
              </w:rPr>
              <w:t xml:space="preserve"> d'investissement sur les RHS pour répondre aux besoins du système de santé en personnel de santé et à la mauvaise répartition des travailleurs de la santé existants.</w:t>
            </w:r>
          </w:p>
          <w:p w:rsidR="00625DD9" w:rsidRPr="00625DD9" w:rsidRDefault="00625DD9" w:rsidP="00625DD9">
            <w:pPr>
              <w:pStyle w:val="ListParagraph"/>
              <w:numPr>
                <w:ilvl w:val="0"/>
                <w:numId w:val="9"/>
              </w:numPr>
              <w:rPr>
                <w:rFonts w:ascii="Trebuchet MS" w:hAnsi="Trebuchet MS"/>
                <w:lang w:val="fr-FR"/>
              </w:rPr>
            </w:pPr>
            <w:r w:rsidRPr="00625DD9">
              <w:rPr>
                <w:rFonts w:ascii="Trebuchet MS" w:hAnsi="Trebuchet MS"/>
                <w:lang w:val="fr-FR"/>
              </w:rPr>
              <w:t xml:space="preserve">Aider les pays à organiser un dialogue national de haut niveau sur l'investissement (ou la politique) en matière de personnel de santé entre les partenaires sociaux, les ministères concernés et le secteur privé, afin de soutenir l'élaboration et la mise en œuvre d'un programme national d'investissement en matière de personnel. </w:t>
            </w:r>
          </w:p>
          <w:p w:rsidR="00625DD9" w:rsidRDefault="00625DD9" w:rsidP="00625DD9">
            <w:pPr>
              <w:pStyle w:val="ListParagraph"/>
              <w:numPr>
                <w:ilvl w:val="0"/>
                <w:numId w:val="9"/>
              </w:numPr>
              <w:rPr>
                <w:rFonts w:ascii="Trebuchet MS" w:hAnsi="Trebuchet MS"/>
                <w:lang w:val="fr-FR"/>
              </w:rPr>
            </w:pPr>
            <w:r w:rsidRPr="00625DD9">
              <w:rPr>
                <w:rFonts w:ascii="Trebuchet MS" w:hAnsi="Trebuchet MS"/>
                <w:lang w:val="fr-FR"/>
              </w:rPr>
              <w:t>Aider les pays à traduire les paquets de services de santé essentiels en besoins en personnel de santé, en coûts et en retour sur investissement sanitaire, social et économique</w:t>
            </w:r>
            <w:r>
              <w:rPr>
                <w:rFonts w:ascii="Trebuchet MS" w:hAnsi="Trebuchet MS"/>
                <w:lang w:val="fr-FR"/>
              </w:rPr>
              <w:t xml:space="preserve"> </w:t>
            </w:r>
          </w:p>
          <w:p w:rsidR="000C48FD" w:rsidRPr="001343E2" w:rsidRDefault="000C48FD" w:rsidP="00625DD9">
            <w:pPr>
              <w:pStyle w:val="ListParagraph"/>
              <w:ind w:left="314"/>
              <w:rPr>
                <w:rFonts w:ascii="Trebuchet MS" w:hAnsi="Trebuchet MS"/>
                <w:b/>
                <w:bCs/>
                <w:lang w:val="fr-FR"/>
              </w:rPr>
            </w:pPr>
          </w:p>
        </w:tc>
        <w:tc>
          <w:tcPr>
            <w:tcW w:w="2126" w:type="dxa"/>
            <w:shd w:val="clear" w:color="auto" w:fill="FFF2CC" w:themeFill="accent4" w:themeFillTint="33"/>
          </w:tcPr>
          <w:p w:rsidR="000C48FD" w:rsidRPr="001343E2" w:rsidRDefault="000C48FD" w:rsidP="000C48FD">
            <w:pPr>
              <w:rPr>
                <w:rFonts w:ascii="Trebuchet MS" w:hAnsi="Trebuchet MS"/>
                <w:b/>
                <w:bCs/>
                <w:lang w:val="fr-FR"/>
              </w:rPr>
            </w:pPr>
          </w:p>
          <w:p w:rsidR="000C48FD" w:rsidRPr="001343E2" w:rsidRDefault="000C48FD" w:rsidP="000C48FD">
            <w:pPr>
              <w:rPr>
                <w:rFonts w:ascii="Trebuchet MS" w:hAnsi="Trebuchet MS"/>
                <w:b/>
                <w:bCs/>
                <w:lang w:val="fr-FR"/>
              </w:rPr>
            </w:pPr>
          </w:p>
          <w:p w:rsidR="000C48FD" w:rsidRPr="001343E2" w:rsidRDefault="000C48FD" w:rsidP="000C48FD">
            <w:pPr>
              <w:rPr>
                <w:rFonts w:ascii="Trebuchet MS" w:hAnsi="Trebuchet MS"/>
                <w:b/>
                <w:bCs/>
                <w:lang w:val="fr-FR"/>
              </w:rPr>
            </w:pPr>
          </w:p>
          <w:p w:rsidR="000C48FD" w:rsidRPr="00667D8B" w:rsidRDefault="00667D8B" w:rsidP="000C48FD">
            <w:pPr>
              <w:rPr>
                <w:rFonts w:ascii="Trebuchet MS" w:hAnsi="Trebuchet MS"/>
                <w:b/>
                <w:bCs/>
                <w:lang w:val="fr-FR"/>
              </w:rPr>
            </w:pPr>
            <w:r w:rsidRPr="00667D8B">
              <w:rPr>
                <w:rFonts w:ascii="Trebuchet MS" w:hAnsi="Trebuchet MS"/>
                <w:lang w:val="fr-FR"/>
              </w:rPr>
              <w:t xml:space="preserve">L'AFRO peut fournir un soutien dans </w:t>
            </w:r>
            <w:r>
              <w:rPr>
                <w:rFonts w:ascii="Trebuchet MS" w:hAnsi="Trebuchet MS"/>
                <w:lang w:val="fr-FR"/>
              </w:rPr>
              <w:t>c</w:t>
            </w:r>
            <w:r w:rsidRPr="00667D8B">
              <w:rPr>
                <w:rFonts w:ascii="Trebuchet MS" w:hAnsi="Trebuchet MS"/>
                <w:lang w:val="fr-FR"/>
              </w:rPr>
              <w:t>es activités planifiées</w:t>
            </w:r>
          </w:p>
        </w:tc>
      </w:tr>
      <w:tr w:rsidR="000C48FD" w:rsidRPr="001343E2" w:rsidTr="006B2AE9">
        <w:tc>
          <w:tcPr>
            <w:tcW w:w="3092" w:type="dxa"/>
            <w:shd w:val="clear" w:color="auto" w:fill="D9E2F3" w:themeFill="accent1" w:themeFillTint="33"/>
            <w:vAlign w:val="center"/>
          </w:tcPr>
          <w:p w:rsidR="00E9415A" w:rsidRPr="00E9415A" w:rsidRDefault="00E9415A" w:rsidP="00E9415A">
            <w:pPr>
              <w:rPr>
                <w:rFonts w:ascii="Trebuchet MS" w:hAnsi="Trebuchet MS"/>
                <w:b/>
                <w:bCs/>
                <w:color w:val="833C0B" w:themeColor="accent2" w:themeShade="80"/>
                <w:lang w:val="fr-FR"/>
              </w:rPr>
            </w:pPr>
            <w:r>
              <w:rPr>
                <w:rFonts w:ascii="Trebuchet MS" w:hAnsi="Trebuchet MS"/>
                <w:b/>
                <w:bCs/>
                <w:color w:val="833C0B" w:themeColor="accent2" w:themeShade="80"/>
                <w:lang w:val="fr-FR"/>
              </w:rPr>
              <w:t xml:space="preserve">4. </w:t>
            </w:r>
            <w:r w:rsidRPr="00E9415A">
              <w:rPr>
                <w:rFonts w:ascii="Trebuchet MS" w:hAnsi="Trebuchet MS"/>
                <w:b/>
                <w:bCs/>
                <w:color w:val="833C0B" w:themeColor="accent2" w:themeShade="80"/>
                <w:lang w:val="fr-FR"/>
              </w:rPr>
              <w:t>Mettre à l'échelle et/ou améliorer l'efficacité des programmes de santé communautaire (ASC).</w:t>
            </w:r>
          </w:p>
          <w:p w:rsidR="000C48FD" w:rsidRPr="00E9415A" w:rsidRDefault="000C48FD" w:rsidP="00E9415A">
            <w:pPr>
              <w:rPr>
                <w:rFonts w:ascii="Trebuchet MS" w:hAnsi="Trebuchet MS"/>
                <w:b/>
                <w:bCs/>
                <w:color w:val="833C0B" w:themeColor="accent2" w:themeShade="80"/>
                <w:lang w:val="fr-FR"/>
              </w:rPr>
            </w:pPr>
          </w:p>
        </w:tc>
        <w:tc>
          <w:tcPr>
            <w:tcW w:w="4989" w:type="dxa"/>
            <w:shd w:val="clear" w:color="auto" w:fill="FBE4D5" w:themeFill="accent2" w:themeFillTint="33"/>
          </w:tcPr>
          <w:p w:rsidR="00625DD9" w:rsidRPr="00625DD9" w:rsidRDefault="00625DD9" w:rsidP="00625DD9">
            <w:pPr>
              <w:pStyle w:val="ListParagraph"/>
              <w:numPr>
                <w:ilvl w:val="0"/>
                <w:numId w:val="10"/>
              </w:numPr>
              <w:rPr>
                <w:rFonts w:ascii="Trebuchet MS" w:hAnsi="Trebuchet MS"/>
                <w:lang w:val="fr-FR"/>
              </w:rPr>
            </w:pPr>
            <w:r w:rsidRPr="00625DD9">
              <w:rPr>
                <w:rFonts w:ascii="Trebuchet MS" w:hAnsi="Trebuchet MS"/>
                <w:lang w:val="fr-FR"/>
              </w:rPr>
              <w:t>Soutenir le</w:t>
            </w:r>
            <w:r>
              <w:rPr>
                <w:rFonts w:ascii="Trebuchet MS" w:hAnsi="Trebuchet MS"/>
                <w:lang w:val="fr-FR"/>
              </w:rPr>
              <w:t>s</w:t>
            </w:r>
            <w:r w:rsidRPr="00625DD9">
              <w:rPr>
                <w:rFonts w:ascii="Trebuchet MS" w:hAnsi="Trebuchet MS"/>
                <w:lang w:val="fr-FR"/>
              </w:rPr>
              <w:t xml:space="preserve"> pays dans l'élaboration de programmes d'enseignement, de formation et d'outils de suivi des ASC lors du déploiement de programmes d'ASC à grande échelle dans les régions défavorisées.</w:t>
            </w:r>
          </w:p>
          <w:p w:rsidR="00625DD9" w:rsidRPr="00625DD9" w:rsidRDefault="00625DD9" w:rsidP="00625DD9">
            <w:pPr>
              <w:pStyle w:val="ListParagraph"/>
              <w:numPr>
                <w:ilvl w:val="0"/>
                <w:numId w:val="10"/>
              </w:numPr>
              <w:rPr>
                <w:rFonts w:ascii="Trebuchet MS" w:hAnsi="Trebuchet MS"/>
                <w:lang w:val="fr-FR"/>
              </w:rPr>
            </w:pPr>
            <w:r w:rsidRPr="00625DD9">
              <w:rPr>
                <w:rFonts w:ascii="Trebuchet MS" w:hAnsi="Trebuchet MS"/>
                <w:lang w:val="fr-FR"/>
              </w:rPr>
              <w:t>Soutenir le</w:t>
            </w:r>
            <w:r>
              <w:rPr>
                <w:rFonts w:ascii="Trebuchet MS" w:hAnsi="Trebuchet MS"/>
                <w:lang w:val="fr-FR"/>
              </w:rPr>
              <w:t>s</w:t>
            </w:r>
            <w:r w:rsidRPr="00625DD9">
              <w:rPr>
                <w:rFonts w:ascii="Trebuchet MS" w:hAnsi="Trebuchet MS"/>
                <w:lang w:val="fr-FR"/>
              </w:rPr>
              <w:t xml:space="preserve"> pays pour fournir des services de santé de promotion, de prévention et de soins curatifs définis, conformément aux réglementations et aux besoins nationaux. </w:t>
            </w:r>
          </w:p>
          <w:p w:rsidR="00625DD9" w:rsidRPr="00625DD9" w:rsidRDefault="00625DD9" w:rsidP="00625DD9">
            <w:pPr>
              <w:pStyle w:val="ListParagraph"/>
              <w:numPr>
                <w:ilvl w:val="0"/>
                <w:numId w:val="10"/>
              </w:numPr>
              <w:rPr>
                <w:rFonts w:ascii="Trebuchet MS" w:hAnsi="Trebuchet MS"/>
                <w:lang w:val="fr-FR"/>
              </w:rPr>
            </w:pPr>
            <w:r w:rsidRPr="00625DD9">
              <w:rPr>
                <w:rFonts w:ascii="Trebuchet MS" w:hAnsi="Trebuchet MS"/>
                <w:lang w:val="fr-FR"/>
              </w:rPr>
              <w:t>Soutenir le</w:t>
            </w:r>
            <w:r>
              <w:rPr>
                <w:rFonts w:ascii="Trebuchet MS" w:hAnsi="Trebuchet MS"/>
                <w:lang w:val="fr-FR"/>
              </w:rPr>
              <w:t>s</w:t>
            </w:r>
            <w:r w:rsidRPr="00625DD9">
              <w:rPr>
                <w:rFonts w:ascii="Trebuchet MS" w:hAnsi="Trebuchet MS"/>
                <w:lang w:val="fr-FR"/>
              </w:rPr>
              <w:t xml:space="preserve"> pays pour intégrer les ASC dans le système de santé et envisager de leur fournir une compensation financière, des parcours professionnels clairement définis et d'autres avantages. </w:t>
            </w:r>
          </w:p>
          <w:p w:rsidR="00625DD9" w:rsidRPr="00625DD9" w:rsidRDefault="00625DD9" w:rsidP="00625DD9">
            <w:pPr>
              <w:pStyle w:val="ListParagraph"/>
              <w:numPr>
                <w:ilvl w:val="0"/>
                <w:numId w:val="10"/>
              </w:numPr>
              <w:rPr>
                <w:rFonts w:ascii="Trebuchet MS" w:hAnsi="Trebuchet MS"/>
                <w:lang w:val="fr-FR"/>
              </w:rPr>
            </w:pPr>
            <w:r w:rsidRPr="00625DD9">
              <w:rPr>
                <w:rFonts w:ascii="Trebuchet MS" w:hAnsi="Trebuchet MS"/>
                <w:lang w:val="fr-FR"/>
              </w:rPr>
              <w:t>Soutenir le</w:t>
            </w:r>
            <w:r>
              <w:rPr>
                <w:rFonts w:ascii="Trebuchet MS" w:hAnsi="Trebuchet MS"/>
                <w:lang w:val="fr-FR"/>
              </w:rPr>
              <w:t>s</w:t>
            </w:r>
            <w:r w:rsidRPr="00625DD9">
              <w:rPr>
                <w:rFonts w:ascii="Trebuchet MS" w:hAnsi="Trebuchet MS"/>
                <w:lang w:val="fr-FR"/>
              </w:rPr>
              <w:t xml:space="preserve"> pays pour revoir le rôle des ASC, en particulier le rôle des ASC et des infirmières pour faire avancer le programme de soins de santé primaires universels.</w:t>
            </w:r>
          </w:p>
          <w:p w:rsidR="000C48FD" w:rsidRPr="00625DD9" w:rsidRDefault="00625DD9" w:rsidP="00625DD9">
            <w:pPr>
              <w:pStyle w:val="ListParagraph"/>
              <w:numPr>
                <w:ilvl w:val="0"/>
                <w:numId w:val="10"/>
              </w:numPr>
              <w:rPr>
                <w:rFonts w:ascii="Trebuchet MS" w:hAnsi="Trebuchet MS"/>
                <w:lang w:val="fr-FR"/>
              </w:rPr>
            </w:pPr>
            <w:r w:rsidRPr="00625DD9">
              <w:rPr>
                <w:rFonts w:ascii="Trebuchet MS" w:hAnsi="Trebuchet MS"/>
                <w:lang w:val="fr-FR"/>
              </w:rPr>
              <w:t>Documenter/cartographier le profil et les pratiques des ASC dans la région.</w:t>
            </w:r>
          </w:p>
        </w:tc>
        <w:tc>
          <w:tcPr>
            <w:tcW w:w="2126" w:type="dxa"/>
            <w:shd w:val="clear" w:color="auto" w:fill="FFF2CC" w:themeFill="accent4" w:themeFillTint="33"/>
          </w:tcPr>
          <w:p w:rsidR="000C48FD" w:rsidRPr="00625DD9" w:rsidRDefault="000C48FD" w:rsidP="000C48FD">
            <w:pPr>
              <w:rPr>
                <w:rFonts w:ascii="Trebuchet MS" w:hAnsi="Trebuchet MS"/>
                <w:b/>
                <w:bCs/>
                <w:lang w:val="fr-FR"/>
              </w:rPr>
            </w:pPr>
          </w:p>
          <w:p w:rsidR="000C48FD" w:rsidRPr="00667D8B" w:rsidRDefault="00667D8B" w:rsidP="000C48FD">
            <w:pPr>
              <w:rPr>
                <w:rFonts w:ascii="Trebuchet MS" w:hAnsi="Trebuchet MS"/>
                <w:b/>
                <w:bCs/>
                <w:lang w:val="fr-FR"/>
              </w:rPr>
            </w:pPr>
            <w:r w:rsidRPr="00667D8B">
              <w:rPr>
                <w:rFonts w:ascii="Trebuchet MS" w:hAnsi="Trebuchet MS"/>
                <w:lang w:val="fr-FR"/>
              </w:rPr>
              <w:t xml:space="preserve">L'AFRO peut fournir un soutien dans </w:t>
            </w:r>
            <w:r>
              <w:rPr>
                <w:rFonts w:ascii="Trebuchet MS" w:hAnsi="Trebuchet MS"/>
                <w:lang w:val="fr-FR"/>
              </w:rPr>
              <w:t>c</w:t>
            </w:r>
            <w:r w:rsidRPr="00667D8B">
              <w:rPr>
                <w:rFonts w:ascii="Trebuchet MS" w:hAnsi="Trebuchet MS"/>
                <w:lang w:val="fr-FR"/>
              </w:rPr>
              <w:t>es activités planifiées</w:t>
            </w:r>
          </w:p>
        </w:tc>
      </w:tr>
      <w:tr w:rsidR="000C48FD" w:rsidRPr="001343E2" w:rsidTr="006B2AE9">
        <w:tc>
          <w:tcPr>
            <w:tcW w:w="3092" w:type="dxa"/>
            <w:shd w:val="clear" w:color="auto" w:fill="D9E2F3" w:themeFill="accent1" w:themeFillTint="33"/>
            <w:vAlign w:val="center"/>
          </w:tcPr>
          <w:p w:rsidR="000C48FD" w:rsidRPr="00E9415A" w:rsidRDefault="00E9415A" w:rsidP="00E9415A">
            <w:pPr>
              <w:rPr>
                <w:rFonts w:ascii="Trebuchet MS" w:hAnsi="Trebuchet MS"/>
                <w:b/>
                <w:bCs/>
                <w:color w:val="833C0B" w:themeColor="accent2" w:themeShade="80"/>
                <w:lang w:val="fr-FR"/>
              </w:rPr>
            </w:pPr>
            <w:r>
              <w:rPr>
                <w:rFonts w:ascii="Trebuchet MS" w:hAnsi="Trebuchet MS"/>
                <w:b/>
                <w:bCs/>
                <w:color w:val="833C0B" w:themeColor="accent2" w:themeShade="80"/>
                <w:lang w:val="fr-FR"/>
              </w:rPr>
              <w:t xml:space="preserve">5. </w:t>
            </w:r>
            <w:r w:rsidRPr="00E9415A">
              <w:rPr>
                <w:rFonts w:ascii="Trebuchet MS" w:hAnsi="Trebuchet MS"/>
                <w:b/>
                <w:bCs/>
                <w:color w:val="833C0B" w:themeColor="accent2" w:themeShade="80"/>
                <w:lang w:val="fr-FR"/>
              </w:rPr>
              <w:t>Optimiser la rétention, la distribution équitable et la performance des travailleurs de la santé.</w:t>
            </w:r>
          </w:p>
        </w:tc>
        <w:tc>
          <w:tcPr>
            <w:tcW w:w="4989" w:type="dxa"/>
            <w:shd w:val="clear" w:color="auto" w:fill="FBE4D5" w:themeFill="accent2" w:themeFillTint="33"/>
          </w:tcPr>
          <w:p w:rsidR="00625DD9" w:rsidRPr="00625DD9" w:rsidRDefault="00625DD9" w:rsidP="00625DD9">
            <w:pPr>
              <w:pStyle w:val="ListParagraph"/>
              <w:numPr>
                <w:ilvl w:val="0"/>
                <w:numId w:val="11"/>
              </w:numPr>
              <w:rPr>
                <w:rFonts w:ascii="Trebuchet MS" w:hAnsi="Trebuchet MS"/>
                <w:lang w:val="fr-FR"/>
              </w:rPr>
            </w:pPr>
            <w:r w:rsidRPr="00625DD9">
              <w:rPr>
                <w:rFonts w:ascii="Trebuchet MS" w:hAnsi="Trebuchet MS"/>
                <w:lang w:val="fr-FR"/>
              </w:rPr>
              <w:t>A</w:t>
            </w:r>
            <w:r w:rsidR="00860185">
              <w:rPr>
                <w:rFonts w:ascii="Trebuchet MS" w:hAnsi="Trebuchet MS"/>
                <w:lang w:val="fr-FR"/>
              </w:rPr>
              <w:t>ppuyer</w:t>
            </w:r>
            <w:r w:rsidRPr="00625DD9">
              <w:rPr>
                <w:rFonts w:ascii="Trebuchet MS" w:hAnsi="Trebuchet MS"/>
                <w:lang w:val="fr-FR"/>
              </w:rPr>
              <w:t xml:space="preserve"> les pays à développer un ensemble intégré de politiques d'attraction et de rétention sensibles au genre. </w:t>
            </w:r>
          </w:p>
          <w:p w:rsidR="00625DD9" w:rsidRPr="00625DD9" w:rsidRDefault="00625DD9" w:rsidP="00625DD9">
            <w:pPr>
              <w:pStyle w:val="ListParagraph"/>
              <w:numPr>
                <w:ilvl w:val="0"/>
                <w:numId w:val="11"/>
              </w:numPr>
              <w:rPr>
                <w:rFonts w:ascii="Trebuchet MS" w:hAnsi="Trebuchet MS"/>
                <w:lang w:val="fr-FR"/>
              </w:rPr>
            </w:pPr>
            <w:r w:rsidRPr="00625DD9">
              <w:rPr>
                <w:rFonts w:ascii="Trebuchet MS" w:hAnsi="Trebuchet MS"/>
                <w:lang w:val="fr-FR"/>
              </w:rPr>
              <w:t>A</w:t>
            </w:r>
            <w:r w:rsidR="00860185">
              <w:rPr>
                <w:rFonts w:ascii="Trebuchet MS" w:hAnsi="Trebuchet MS"/>
                <w:lang w:val="fr-FR"/>
              </w:rPr>
              <w:t>ppuyer</w:t>
            </w:r>
            <w:r w:rsidRPr="00625DD9">
              <w:rPr>
                <w:rFonts w:ascii="Trebuchet MS" w:hAnsi="Trebuchet MS"/>
                <w:lang w:val="fr-FR"/>
              </w:rPr>
              <w:t xml:space="preserve"> les pays à mettre en place des mécanismes de fidélisation fondés sur des données probantes, y compris la mise en œuvre du Code de pratique mondial de l'OMS pour le recrutement international des personnels de santé, ainsi que des mécanismes permettant de faire revenir les agents de santé de la diaspora. </w:t>
            </w:r>
          </w:p>
          <w:p w:rsidR="00625DD9" w:rsidRPr="00625DD9" w:rsidRDefault="00625DD9" w:rsidP="00625DD9">
            <w:pPr>
              <w:pStyle w:val="ListParagraph"/>
              <w:numPr>
                <w:ilvl w:val="0"/>
                <w:numId w:val="11"/>
              </w:numPr>
              <w:rPr>
                <w:rFonts w:ascii="Trebuchet MS" w:hAnsi="Trebuchet MS"/>
                <w:lang w:val="fr-FR"/>
              </w:rPr>
            </w:pPr>
            <w:r w:rsidRPr="00625DD9">
              <w:rPr>
                <w:rFonts w:ascii="Trebuchet MS" w:hAnsi="Trebuchet MS"/>
                <w:lang w:val="fr-FR"/>
              </w:rPr>
              <w:t>A</w:t>
            </w:r>
            <w:r w:rsidR="00860185">
              <w:rPr>
                <w:rFonts w:ascii="Trebuchet MS" w:hAnsi="Trebuchet MS"/>
                <w:lang w:val="fr-FR"/>
              </w:rPr>
              <w:t>ssister</w:t>
            </w:r>
            <w:r w:rsidRPr="00625DD9">
              <w:rPr>
                <w:rFonts w:ascii="Trebuchet MS" w:hAnsi="Trebuchet MS"/>
                <w:lang w:val="fr-FR"/>
              </w:rPr>
              <w:t xml:space="preserve"> les pays à créer un environnement de travail et de vie favorable grâce à des conditions d'emploi tenant compte de la dimension genre, des possibilités de développement de carrière fondées sur le mérite et l'équité. Il peut s'agir de charges de travail gérables, de la sécurité d</w:t>
            </w:r>
            <w:r w:rsidR="00860185">
              <w:rPr>
                <w:rFonts w:ascii="Trebuchet MS" w:hAnsi="Trebuchet MS"/>
                <w:lang w:val="fr-FR"/>
              </w:rPr>
              <w:t>es soignants</w:t>
            </w:r>
            <w:r w:rsidRPr="00625DD9">
              <w:rPr>
                <w:rFonts w:ascii="Trebuchet MS" w:hAnsi="Trebuchet MS"/>
                <w:lang w:val="fr-FR"/>
              </w:rPr>
              <w:t>, d'un encadrement favorable, de possibilités de formation continue et de développement professionnel, d'incitations, d'indemnités de logement et d'éducation, de prévention du harcèlement et des abus sexuels, ainsi que d'installations et d'outils de travail adéquats.</w:t>
            </w:r>
          </w:p>
          <w:p w:rsidR="00625DD9" w:rsidRPr="00625DD9" w:rsidRDefault="00860185" w:rsidP="00625DD9">
            <w:pPr>
              <w:pStyle w:val="ListParagraph"/>
              <w:numPr>
                <w:ilvl w:val="0"/>
                <w:numId w:val="11"/>
              </w:numPr>
              <w:rPr>
                <w:rFonts w:ascii="Trebuchet MS" w:hAnsi="Trebuchet MS"/>
                <w:lang w:val="fr-FR"/>
              </w:rPr>
            </w:pPr>
            <w:r>
              <w:rPr>
                <w:rFonts w:ascii="Trebuchet MS" w:hAnsi="Trebuchet MS"/>
                <w:lang w:val="fr-FR"/>
              </w:rPr>
              <w:t>Appuyer</w:t>
            </w:r>
            <w:r w:rsidR="00625DD9" w:rsidRPr="00625DD9">
              <w:rPr>
                <w:rFonts w:ascii="Trebuchet MS" w:hAnsi="Trebuchet MS"/>
                <w:lang w:val="fr-FR"/>
              </w:rPr>
              <w:t xml:space="preserve"> les pays à réaliser des analyses de performance, de productivité et/ou d'efficacité du personnel de santé.</w:t>
            </w:r>
          </w:p>
          <w:p w:rsidR="00625DD9" w:rsidRPr="00625DD9" w:rsidRDefault="00625DD9" w:rsidP="00625DD9">
            <w:pPr>
              <w:pStyle w:val="ListParagraph"/>
              <w:numPr>
                <w:ilvl w:val="0"/>
                <w:numId w:val="11"/>
              </w:numPr>
              <w:rPr>
                <w:rFonts w:ascii="Trebuchet MS" w:hAnsi="Trebuchet MS"/>
                <w:lang w:val="fr-FR"/>
              </w:rPr>
            </w:pPr>
            <w:r w:rsidRPr="00625DD9">
              <w:rPr>
                <w:rFonts w:ascii="Trebuchet MS" w:hAnsi="Trebuchet MS"/>
                <w:lang w:val="fr-FR"/>
              </w:rPr>
              <w:t>Soutenir les pays dans le renforcement des capacités et le développement de fonctions stratégiques de gestion des ressources humaines, telles que les schémas de service, les descriptions de postes et les évaluations de postes.</w:t>
            </w:r>
          </w:p>
          <w:p w:rsidR="000C48FD" w:rsidRPr="00625DD9" w:rsidRDefault="00625DD9" w:rsidP="00625DD9">
            <w:pPr>
              <w:pStyle w:val="ListParagraph"/>
              <w:numPr>
                <w:ilvl w:val="0"/>
                <w:numId w:val="11"/>
              </w:numPr>
              <w:rPr>
                <w:rFonts w:ascii="Trebuchet MS" w:hAnsi="Trebuchet MS"/>
                <w:b/>
                <w:bCs/>
                <w:lang w:val="fr-FR"/>
              </w:rPr>
            </w:pPr>
            <w:r w:rsidRPr="00625DD9">
              <w:rPr>
                <w:rFonts w:ascii="Trebuchet MS" w:hAnsi="Trebuchet MS"/>
                <w:lang w:val="fr-FR"/>
              </w:rPr>
              <w:t>Sout</w:t>
            </w:r>
            <w:r w:rsidR="00860185">
              <w:rPr>
                <w:rFonts w:ascii="Trebuchet MS" w:hAnsi="Trebuchet MS"/>
                <w:lang w:val="fr-FR"/>
              </w:rPr>
              <w:t>enir les</w:t>
            </w:r>
            <w:r w:rsidRPr="00625DD9">
              <w:rPr>
                <w:rFonts w:ascii="Trebuchet MS" w:hAnsi="Trebuchet MS"/>
                <w:lang w:val="fr-FR"/>
              </w:rPr>
              <w:t xml:space="preserve"> pays dans l'élaboration de stratégies visant à optimiser l'utilisation du personnel de santé par le biais d'un transfert et d'un partage intégrés des tâches.</w:t>
            </w:r>
          </w:p>
        </w:tc>
        <w:tc>
          <w:tcPr>
            <w:tcW w:w="2126" w:type="dxa"/>
            <w:shd w:val="clear" w:color="auto" w:fill="FFF2CC" w:themeFill="accent4" w:themeFillTint="33"/>
          </w:tcPr>
          <w:p w:rsidR="000C48FD" w:rsidRPr="00625DD9" w:rsidRDefault="000C48FD" w:rsidP="000C48FD">
            <w:pPr>
              <w:rPr>
                <w:rFonts w:ascii="Trebuchet MS" w:hAnsi="Trebuchet MS"/>
                <w:b/>
                <w:bCs/>
                <w:lang w:val="fr-FR"/>
              </w:rPr>
            </w:pPr>
          </w:p>
          <w:p w:rsidR="000C48FD" w:rsidRPr="00625DD9" w:rsidRDefault="000C48FD" w:rsidP="000C48FD">
            <w:pPr>
              <w:rPr>
                <w:rFonts w:ascii="Trebuchet MS" w:hAnsi="Trebuchet MS"/>
                <w:b/>
                <w:bCs/>
                <w:lang w:val="fr-FR"/>
              </w:rPr>
            </w:pPr>
          </w:p>
          <w:p w:rsidR="000C48FD" w:rsidRPr="00667D8B" w:rsidRDefault="00667D8B" w:rsidP="000C48FD">
            <w:pPr>
              <w:rPr>
                <w:rFonts w:ascii="Trebuchet MS" w:hAnsi="Trebuchet MS"/>
                <w:b/>
                <w:bCs/>
                <w:lang w:val="fr-FR"/>
              </w:rPr>
            </w:pPr>
            <w:r w:rsidRPr="00667D8B">
              <w:rPr>
                <w:rFonts w:ascii="Trebuchet MS" w:hAnsi="Trebuchet MS"/>
                <w:lang w:val="fr-FR"/>
              </w:rPr>
              <w:t xml:space="preserve">L'AFRO peut fournir un soutien dans </w:t>
            </w:r>
            <w:r>
              <w:rPr>
                <w:rFonts w:ascii="Trebuchet MS" w:hAnsi="Trebuchet MS"/>
                <w:lang w:val="fr-FR"/>
              </w:rPr>
              <w:t>c</w:t>
            </w:r>
            <w:r w:rsidRPr="00667D8B">
              <w:rPr>
                <w:rFonts w:ascii="Trebuchet MS" w:hAnsi="Trebuchet MS"/>
                <w:lang w:val="fr-FR"/>
              </w:rPr>
              <w:t>es activités planifiées</w:t>
            </w:r>
          </w:p>
        </w:tc>
      </w:tr>
      <w:tr w:rsidR="000C48FD" w:rsidRPr="001343E2" w:rsidTr="006B2AE9">
        <w:tc>
          <w:tcPr>
            <w:tcW w:w="3092" w:type="dxa"/>
            <w:shd w:val="clear" w:color="auto" w:fill="D9E2F3" w:themeFill="accent1" w:themeFillTint="33"/>
            <w:vAlign w:val="center"/>
          </w:tcPr>
          <w:p w:rsidR="000C48FD" w:rsidRPr="004C38D3" w:rsidRDefault="004C38D3" w:rsidP="004C38D3">
            <w:pPr>
              <w:rPr>
                <w:rFonts w:ascii="Trebuchet MS" w:hAnsi="Trebuchet MS"/>
                <w:b/>
                <w:bCs/>
                <w:color w:val="833C0B" w:themeColor="accent2" w:themeShade="80"/>
                <w:lang w:val="fr-FR"/>
              </w:rPr>
            </w:pPr>
            <w:r w:rsidRPr="004C38D3">
              <w:rPr>
                <w:rFonts w:ascii="Trebuchet MS" w:hAnsi="Trebuchet MS"/>
                <w:b/>
                <w:bCs/>
                <w:color w:val="833C0B" w:themeColor="accent2" w:themeShade="80"/>
                <w:lang w:val="fr-FR"/>
              </w:rPr>
              <w:t>6.</w:t>
            </w:r>
            <w:r w:rsidRPr="004C38D3">
              <w:rPr>
                <w:rFonts w:ascii="Trebuchet MS" w:hAnsi="Trebuchet MS"/>
                <w:b/>
                <w:bCs/>
                <w:color w:val="833C0B" w:themeColor="accent2" w:themeShade="80"/>
                <w:lang w:val="fr-FR"/>
              </w:rPr>
              <w:tab/>
              <w:t>Renforcer les capacités de gestion des urgences et des risques de catastrophes pour la protection des RHS, y compris l'intégration de la planification et de la gestion des RHS dans la préparation et les réponses aux urgences</w:t>
            </w:r>
            <w:r>
              <w:rPr>
                <w:rFonts w:ascii="Trebuchet MS" w:hAnsi="Trebuchet MS"/>
                <w:b/>
                <w:bCs/>
                <w:color w:val="833C0B" w:themeColor="accent2" w:themeShade="80"/>
                <w:lang w:val="fr-FR"/>
              </w:rPr>
              <w:t xml:space="preserve"> </w:t>
            </w:r>
          </w:p>
        </w:tc>
        <w:tc>
          <w:tcPr>
            <w:tcW w:w="4989" w:type="dxa"/>
            <w:shd w:val="clear" w:color="auto" w:fill="FBE4D5" w:themeFill="accent2" w:themeFillTint="33"/>
          </w:tcPr>
          <w:p w:rsidR="00860185" w:rsidRPr="00860185" w:rsidRDefault="00860185" w:rsidP="00860185">
            <w:pPr>
              <w:pStyle w:val="ListParagraph"/>
              <w:numPr>
                <w:ilvl w:val="0"/>
                <w:numId w:val="12"/>
              </w:numPr>
              <w:rPr>
                <w:rFonts w:ascii="Trebuchet MS" w:hAnsi="Trebuchet MS"/>
                <w:lang w:val="fr-FR"/>
              </w:rPr>
            </w:pPr>
            <w:r>
              <w:rPr>
                <w:rFonts w:ascii="Trebuchet MS" w:hAnsi="Trebuchet MS"/>
                <w:lang w:val="fr-FR"/>
              </w:rPr>
              <w:t>S</w:t>
            </w:r>
            <w:r w:rsidRPr="00860185">
              <w:rPr>
                <w:rFonts w:ascii="Trebuchet MS" w:hAnsi="Trebuchet MS"/>
                <w:lang w:val="fr-FR"/>
              </w:rPr>
              <w:t xml:space="preserve">outenir les pays dans l'élaboration de stratégies/politiques visant à protéger les travailleurs de la santé, y compris les agents de santé communautaires, formés et équipés de manière adéquate pour la mise en œuvre d'opérations en cas d'urgence à tous les niveaux du système de santé. </w:t>
            </w:r>
          </w:p>
          <w:p w:rsidR="00860185" w:rsidRPr="00860185" w:rsidRDefault="00860185" w:rsidP="00860185">
            <w:pPr>
              <w:pStyle w:val="ListParagraph"/>
              <w:numPr>
                <w:ilvl w:val="0"/>
                <w:numId w:val="12"/>
              </w:numPr>
              <w:rPr>
                <w:rFonts w:ascii="Trebuchet MS" w:hAnsi="Trebuchet MS"/>
                <w:lang w:val="fr-FR"/>
              </w:rPr>
            </w:pPr>
            <w:r>
              <w:rPr>
                <w:rFonts w:ascii="Trebuchet MS" w:hAnsi="Trebuchet MS"/>
                <w:lang w:val="fr-FR"/>
              </w:rPr>
              <w:t>S</w:t>
            </w:r>
            <w:r w:rsidRPr="00860185">
              <w:rPr>
                <w:rFonts w:ascii="Trebuchet MS" w:hAnsi="Trebuchet MS"/>
                <w:lang w:val="fr-FR"/>
              </w:rPr>
              <w:t>outenir les pays pour améliorer et promouvoir la sécurité et la protection de tous les travailleurs de la santé et des soins en adoptant et en mettant en œuvre des mesures appropriées de protection physique et de sécurité et des cadres juridiques pour lutter contre la violence à l'égard du personnel de santé.</w:t>
            </w:r>
          </w:p>
          <w:p w:rsidR="000C48FD" w:rsidRPr="00860185" w:rsidRDefault="00860185" w:rsidP="00860185">
            <w:pPr>
              <w:pStyle w:val="ListParagraph"/>
              <w:numPr>
                <w:ilvl w:val="0"/>
                <w:numId w:val="12"/>
              </w:numPr>
              <w:rPr>
                <w:rFonts w:ascii="Trebuchet MS" w:hAnsi="Trebuchet MS"/>
                <w:b/>
                <w:bCs/>
                <w:lang w:val="fr-FR"/>
              </w:rPr>
            </w:pPr>
            <w:r>
              <w:rPr>
                <w:rFonts w:ascii="Trebuchet MS" w:hAnsi="Trebuchet MS"/>
                <w:lang w:val="fr-FR"/>
              </w:rPr>
              <w:t>S</w:t>
            </w:r>
            <w:r w:rsidRPr="00860185">
              <w:rPr>
                <w:rFonts w:ascii="Trebuchet MS" w:hAnsi="Trebuchet MS"/>
                <w:lang w:val="fr-FR"/>
              </w:rPr>
              <w:t>outenir les pays pour faciliter l'accès à la formation en ligne</w:t>
            </w:r>
          </w:p>
        </w:tc>
        <w:tc>
          <w:tcPr>
            <w:tcW w:w="2126" w:type="dxa"/>
            <w:shd w:val="clear" w:color="auto" w:fill="FFF2CC" w:themeFill="accent4" w:themeFillTint="33"/>
          </w:tcPr>
          <w:p w:rsidR="000C48FD" w:rsidRPr="00860185" w:rsidRDefault="000C48FD" w:rsidP="000C48FD">
            <w:pPr>
              <w:rPr>
                <w:rFonts w:ascii="Trebuchet MS" w:hAnsi="Trebuchet MS"/>
                <w:b/>
                <w:bCs/>
                <w:lang w:val="fr-FR"/>
              </w:rPr>
            </w:pPr>
          </w:p>
          <w:p w:rsidR="000C48FD" w:rsidRPr="00667D8B" w:rsidRDefault="00667D8B" w:rsidP="000C48FD">
            <w:pPr>
              <w:rPr>
                <w:rFonts w:ascii="Trebuchet MS" w:hAnsi="Trebuchet MS"/>
                <w:b/>
                <w:bCs/>
                <w:lang w:val="fr-FR"/>
              </w:rPr>
            </w:pPr>
            <w:r w:rsidRPr="00667D8B">
              <w:rPr>
                <w:rFonts w:ascii="Trebuchet MS" w:hAnsi="Trebuchet MS"/>
                <w:lang w:val="fr-FR"/>
              </w:rPr>
              <w:t xml:space="preserve">L'AFRO peut fournir un soutien dans </w:t>
            </w:r>
            <w:r>
              <w:rPr>
                <w:rFonts w:ascii="Trebuchet MS" w:hAnsi="Trebuchet MS"/>
                <w:lang w:val="fr-FR"/>
              </w:rPr>
              <w:t>c</w:t>
            </w:r>
            <w:r w:rsidRPr="00667D8B">
              <w:rPr>
                <w:rFonts w:ascii="Trebuchet MS" w:hAnsi="Trebuchet MS"/>
                <w:lang w:val="fr-FR"/>
              </w:rPr>
              <w:t>es activités planifiées</w:t>
            </w:r>
          </w:p>
        </w:tc>
      </w:tr>
      <w:tr w:rsidR="000C48FD" w:rsidRPr="001343E2" w:rsidTr="006B2AE9">
        <w:tc>
          <w:tcPr>
            <w:tcW w:w="3092" w:type="dxa"/>
            <w:shd w:val="clear" w:color="auto" w:fill="D9E2F3" w:themeFill="accent1" w:themeFillTint="33"/>
            <w:vAlign w:val="center"/>
          </w:tcPr>
          <w:p w:rsidR="000C48FD" w:rsidRPr="004C38D3" w:rsidRDefault="004C38D3" w:rsidP="004C38D3">
            <w:pPr>
              <w:rPr>
                <w:rFonts w:ascii="Trebuchet MS" w:hAnsi="Trebuchet MS"/>
                <w:b/>
                <w:bCs/>
                <w:color w:val="833C0B" w:themeColor="accent2" w:themeShade="80"/>
                <w:lang w:val="fr-FR"/>
              </w:rPr>
            </w:pPr>
            <w:r w:rsidRPr="004C38D3">
              <w:rPr>
                <w:rFonts w:ascii="Trebuchet MS" w:hAnsi="Trebuchet MS"/>
                <w:b/>
                <w:bCs/>
                <w:color w:val="833C0B" w:themeColor="accent2" w:themeShade="80"/>
                <w:lang w:val="fr-FR"/>
              </w:rPr>
              <w:t>7.</w:t>
            </w:r>
            <w:r w:rsidRPr="004C38D3">
              <w:rPr>
                <w:rFonts w:ascii="Trebuchet MS" w:hAnsi="Trebuchet MS"/>
                <w:b/>
                <w:bCs/>
                <w:color w:val="833C0B" w:themeColor="accent2" w:themeShade="80"/>
                <w:lang w:val="fr-FR"/>
              </w:rPr>
              <w:tab/>
              <w:t>Mettre en place de registres nationaux du personnel de santé et apporter une  assistance technique pour l'élaboration de comptes nationaux du personnel de santé, des observatoires nationaux de personnel de santé, y compris des profils nationaux du personnel de santé</w:t>
            </w:r>
          </w:p>
        </w:tc>
        <w:tc>
          <w:tcPr>
            <w:tcW w:w="4989" w:type="dxa"/>
            <w:shd w:val="clear" w:color="auto" w:fill="FBE4D5" w:themeFill="accent2" w:themeFillTint="33"/>
          </w:tcPr>
          <w:p w:rsidR="00860185" w:rsidRPr="00860185" w:rsidRDefault="00860185" w:rsidP="00860185">
            <w:pPr>
              <w:pStyle w:val="ListParagraph"/>
              <w:numPr>
                <w:ilvl w:val="0"/>
                <w:numId w:val="13"/>
              </w:numPr>
              <w:rPr>
                <w:rFonts w:ascii="Trebuchet MS" w:hAnsi="Trebuchet MS"/>
                <w:lang w:val="fr-FR"/>
              </w:rPr>
            </w:pPr>
            <w:r w:rsidRPr="00860185">
              <w:rPr>
                <w:rFonts w:ascii="Trebuchet MS" w:hAnsi="Trebuchet MS"/>
                <w:lang w:val="fr-FR"/>
              </w:rPr>
              <w:t xml:space="preserve">Soutenir l'élaboration et la tenue de registres </w:t>
            </w:r>
            <w:r>
              <w:rPr>
                <w:rFonts w:ascii="Trebuchet MS" w:hAnsi="Trebuchet MS"/>
                <w:lang w:val="fr-FR"/>
              </w:rPr>
              <w:t xml:space="preserve">informatisés </w:t>
            </w:r>
            <w:r w:rsidRPr="00860185">
              <w:rPr>
                <w:rFonts w:ascii="Trebuchet MS" w:hAnsi="Trebuchet MS"/>
                <w:lang w:val="fr-FR"/>
              </w:rPr>
              <w:t xml:space="preserve">du personnel de santé qui englobent un ensemble complet d'indicateurs de performance clés sur le stock, la distribution, le flux, la demande, l'offre et la rémunération des travailleurs de la santé, tant dans le secteur privé que public. </w:t>
            </w:r>
          </w:p>
          <w:p w:rsidR="000C48FD" w:rsidRPr="00860185" w:rsidRDefault="00860185" w:rsidP="00860185">
            <w:pPr>
              <w:pStyle w:val="ListParagraph"/>
              <w:numPr>
                <w:ilvl w:val="0"/>
                <w:numId w:val="13"/>
              </w:numPr>
              <w:rPr>
                <w:rFonts w:ascii="Trebuchet MS" w:hAnsi="Trebuchet MS"/>
                <w:b/>
                <w:bCs/>
                <w:lang w:val="fr-FR"/>
              </w:rPr>
            </w:pPr>
            <w:r w:rsidRPr="00860185">
              <w:rPr>
                <w:rFonts w:ascii="Trebuchet MS" w:hAnsi="Trebuchet MS"/>
                <w:lang w:val="fr-FR"/>
              </w:rPr>
              <w:t xml:space="preserve">Soutenir le pays pour établir/renforcer </w:t>
            </w:r>
            <w:r>
              <w:rPr>
                <w:rFonts w:ascii="Trebuchet MS" w:hAnsi="Trebuchet MS"/>
                <w:lang w:val="fr-FR"/>
              </w:rPr>
              <w:t>les</w:t>
            </w:r>
            <w:r w:rsidRPr="00860185">
              <w:rPr>
                <w:rFonts w:ascii="Trebuchet MS" w:hAnsi="Trebuchet MS"/>
                <w:lang w:val="fr-FR"/>
              </w:rPr>
              <w:t xml:space="preserve"> registre</w:t>
            </w:r>
            <w:r>
              <w:rPr>
                <w:rFonts w:ascii="Trebuchet MS" w:hAnsi="Trebuchet MS"/>
                <w:lang w:val="fr-FR"/>
              </w:rPr>
              <w:t>s</w:t>
            </w:r>
            <w:r w:rsidRPr="00860185">
              <w:rPr>
                <w:rFonts w:ascii="Trebuchet MS" w:hAnsi="Trebuchet MS"/>
                <w:lang w:val="fr-FR"/>
              </w:rPr>
              <w:t xml:space="preserve"> </w:t>
            </w:r>
            <w:r>
              <w:rPr>
                <w:rFonts w:ascii="Trebuchet MS" w:hAnsi="Trebuchet MS"/>
                <w:lang w:val="fr-FR"/>
              </w:rPr>
              <w:t xml:space="preserve">informatisés </w:t>
            </w:r>
            <w:r w:rsidRPr="00860185">
              <w:rPr>
                <w:rFonts w:ascii="Trebuchet MS" w:hAnsi="Trebuchet MS"/>
                <w:lang w:val="fr-FR"/>
              </w:rPr>
              <w:t>d</w:t>
            </w:r>
            <w:r w:rsidR="00667D8B">
              <w:rPr>
                <w:rFonts w:ascii="Trebuchet MS" w:hAnsi="Trebuchet MS"/>
                <w:lang w:val="fr-FR"/>
              </w:rPr>
              <w:t>es employés de la santé en relation avec</w:t>
            </w:r>
            <w:r w:rsidRPr="00860185">
              <w:rPr>
                <w:rFonts w:ascii="Trebuchet MS" w:hAnsi="Trebuchet MS"/>
                <w:lang w:val="fr-FR"/>
              </w:rPr>
              <w:t xml:space="preserve"> la masse salariale </w:t>
            </w:r>
            <w:r w:rsidR="00667D8B">
              <w:rPr>
                <w:rFonts w:ascii="Trebuchet MS" w:hAnsi="Trebuchet MS"/>
                <w:lang w:val="fr-FR"/>
              </w:rPr>
              <w:t>pour</w:t>
            </w:r>
            <w:r w:rsidRPr="00860185">
              <w:rPr>
                <w:rFonts w:ascii="Trebuchet MS" w:hAnsi="Trebuchet MS"/>
                <w:lang w:val="fr-FR"/>
              </w:rPr>
              <w:t xml:space="preserve"> faciliter l'élimination des travailleurs fantômes.</w:t>
            </w:r>
          </w:p>
        </w:tc>
        <w:tc>
          <w:tcPr>
            <w:tcW w:w="2126" w:type="dxa"/>
            <w:shd w:val="clear" w:color="auto" w:fill="FFF2CC" w:themeFill="accent4" w:themeFillTint="33"/>
          </w:tcPr>
          <w:p w:rsidR="000C48FD" w:rsidRPr="00860185" w:rsidRDefault="000C48FD" w:rsidP="000C48FD">
            <w:pPr>
              <w:rPr>
                <w:rFonts w:ascii="Trebuchet MS" w:hAnsi="Trebuchet MS"/>
                <w:b/>
                <w:bCs/>
                <w:lang w:val="fr-FR"/>
              </w:rPr>
            </w:pPr>
          </w:p>
          <w:p w:rsidR="000C48FD" w:rsidRPr="00667D8B" w:rsidRDefault="00667D8B" w:rsidP="000C48FD">
            <w:pPr>
              <w:rPr>
                <w:rFonts w:ascii="Trebuchet MS" w:hAnsi="Trebuchet MS"/>
                <w:b/>
                <w:bCs/>
                <w:lang w:val="fr-FR"/>
              </w:rPr>
            </w:pPr>
            <w:r w:rsidRPr="00667D8B">
              <w:rPr>
                <w:rFonts w:ascii="Trebuchet MS" w:hAnsi="Trebuchet MS"/>
                <w:lang w:val="fr-FR"/>
              </w:rPr>
              <w:t xml:space="preserve">L'AFRO peut fournir un soutien dans </w:t>
            </w:r>
            <w:r>
              <w:rPr>
                <w:rFonts w:ascii="Trebuchet MS" w:hAnsi="Trebuchet MS"/>
                <w:lang w:val="fr-FR"/>
              </w:rPr>
              <w:t>c</w:t>
            </w:r>
            <w:r w:rsidRPr="00667D8B">
              <w:rPr>
                <w:rFonts w:ascii="Trebuchet MS" w:hAnsi="Trebuchet MS"/>
                <w:lang w:val="fr-FR"/>
              </w:rPr>
              <w:t>es activités planifiées</w:t>
            </w:r>
          </w:p>
        </w:tc>
      </w:tr>
      <w:tr w:rsidR="000C48FD" w:rsidRPr="001343E2" w:rsidTr="006B2AE9">
        <w:tc>
          <w:tcPr>
            <w:tcW w:w="3092" w:type="dxa"/>
            <w:shd w:val="clear" w:color="auto" w:fill="D9E2F3" w:themeFill="accent1" w:themeFillTint="33"/>
            <w:vAlign w:val="center"/>
          </w:tcPr>
          <w:p w:rsidR="004C38D3" w:rsidRPr="004C38D3" w:rsidRDefault="004C38D3" w:rsidP="004C38D3">
            <w:pPr>
              <w:rPr>
                <w:rFonts w:ascii="Trebuchet MS" w:hAnsi="Trebuchet MS"/>
                <w:b/>
                <w:bCs/>
                <w:color w:val="833C0B" w:themeColor="accent2" w:themeShade="80"/>
                <w:lang w:val="fr-FR"/>
              </w:rPr>
            </w:pPr>
            <w:r>
              <w:rPr>
                <w:rFonts w:ascii="Trebuchet MS" w:hAnsi="Trebuchet MS"/>
                <w:b/>
                <w:bCs/>
                <w:color w:val="833C0B" w:themeColor="accent2" w:themeShade="80"/>
                <w:lang w:val="fr-FR"/>
              </w:rPr>
              <w:t xml:space="preserve">8. </w:t>
            </w:r>
            <w:r w:rsidRPr="004C38D3">
              <w:rPr>
                <w:rFonts w:ascii="Trebuchet MS" w:hAnsi="Trebuchet MS"/>
                <w:b/>
                <w:bCs/>
                <w:color w:val="833C0B" w:themeColor="accent2" w:themeShade="80"/>
                <w:lang w:val="fr-FR"/>
              </w:rPr>
              <w:t>Renforcer les systèmes d'information sur les RHS et développer les capacités nécessaires à leur gestion.</w:t>
            </w:r>
          </w:p>
          <w:p w:rsidR="000C48FD" w:rsidRPr="004C38D3" w:rsidRDefault="000C48FD" w:rsidP="004C38D3">
            <w:pPr>
              <w:pStyle w:val="ListParagraph"/>
              <w:rPr>
                <w:rFonts w:ascii="Trebuchet MS" w:hAnsi="Trebuchet MS"/>
                <w:b/>
                <w:bCs/>
                <w:color w:val="833C0B" w:themeColor="accent2" w:themeShade="80"/>
                <w:lang w:val="fr-FR"/>
              </w:rPr>
            </w:pPr>
          </w:p>
        </w:tc>
        <w:tc>
          <w:tcPr>
            <w:tcW w:w="4989" w:type="dxa"/>
            <w:shd w:val="clear" w:color="auto" w:fill="FBE4D5" w:themeFill="accent2" w:themeFillTint="33"/>
          </w:tcPr>
          <w:p w:rsidR="00860185" w:rsidRPr="00860185" w:rsidRDefault="00860185" w:rsidP="00860185">
            <w:pPr>
              <w:pStyle w:val="ListParagraph"/>
              <w:numPr>
                <w:ilvl w:val="0"/>
                <w:numId w:val="15"/>
              </w:numPr>
              <w:rPr>
                <w:rFonts w:ascii="Trebuchet MS" w:hAnsi="Trebuchet MS"/>
                <w:lang w:val="fr-FR"/>
              </w:rPr>
            </w:pPr>
            <w:r w:rsidRPr="00860185">
              <w:rPr>
                <w:rFonts w:ascii="Trebuchet MS" w:hAnsi="Trebuchet MS"/>
                <w:lang w:val="fr-FR"/>
              </w:rPr>
              <w:t>Soutenir le</w:t>
            </w:r>
            <w:r w:rsidR="00667D8B">
              <w:rPr>
                <w:rFonts w:ascii="Trebuchet MS" w:hAnsi="Trebuchet MS"/>
                <w:lang w:val="fr-FR"/>
              </w:rPr>
              <w:t>s</w:t>
            </w:r>
            <w:r w:rsidRPr="00860185">
              <w:rPr>
                <w:rFonts w:ascii="Trebuchet MS" w:hAnsi="Trebuchet MS"/>
                <w:lang w:val="fr-FR"/>
              </w:rPr>
              <w:t xml:space="preserve"> pays pour établir/renforcer les comptes nationaux du personnel de santé.</w:t>
            </w:r>
          </w:p>
          <w:p w:rsidR="00860185" w:rsidRPr="00860185" w:rsidRDefault="00860185" w:rsidP="00860185">
            <w:pPr>
              <w:pStyle w:val="ListParagraph"/>
              <w:numPr>
                <w:ilvl w:val="0"/>
                <w:numId w:val="15"/>
              </w:numPr>
              <w:rPr>
                <w:rFonts w:ascii="Trebuchet MS" w:hAnsi="Trebuchet MS"/>
                <w:lang w:val="fr-FR"/>
              </w:rPr>
            </w:pPr>
            <w:r w:rsidRPr="00860185">
              <w:rPr>
                <w:rFonts w:ascii="Trebuchet MS" w:hAnsi="Trebuchet MS"/>
                <w:lang w:val="fr-FR"/>
              </w:rPr>
              <w:t>Soutenir le</w:t>
            </w:r>
            <w:r w:rsidR="00667D8B">
              <w:rPr>
                <w:rFonts w:ascii="Trebuchet MS" w:hAnsi="Trebuchet MS"/>
                <w:lang w:val="fr-FR"/>
              </w:rPr>
              <w:t>s</w:t>
            </w:r>
            <w:r w:rsidRPr="00860185">
              <w:rPr>
                <w:rFonts w:ascii="Trebuchet MS" w:hAnsi="Trebuchet MS"/>
                <w:lang w:val="fr-FR"/>
              </w:rPr>
              <w:t xml:space="preserve"> pays dans l'établissement/le renforcement de l'Observatoire</w:t>
            </w:r>
            <w:r w:rsidR="00667D8B">
              <w:rPr>
                <w:rFonts w:ascii="Trebuchet MS" w:hAnsi="Trebuchet MS"/>
                <w:lang w:val="fr-FR"/>
              </w:rPr>
              <w:t>s</w:t>
            </w:r>
            <w:r w:rsidRPr="00860185">
              <w:rPr>
                <w:rFonts w:ascii="Trebuchet MS" w:hAnsi="Trebuchet MS"/>
                <w:lang w:val="fr-FR"/>
              </w:rPr>
              <w:t xml:space="preserve"> nationa</w:t>
            </w:r>
            <w:r w:rsidR="00667D8B">
              <w:rPr>
                <w:rFonts w:ascii="Trebuchet MS" w:hAnsi="Trebuchet MS"/>
                <w:lang w:val="fr-FR"/>
              </w:rPr>
              <w:t>ux</w:t>
            </w:r>
            <w:r w:rsidRPr="00860185">
              <w:rPr>
                <w:rFonts w:ascii="Trebuchet MS" w:hAnsi="Trebuchet MS"/>
                <w:lang w:val="fr-FR"/>
              </w:rPr>
              <w:t xml:space="preserve"> du personnel de santé et dans l'élaboration de</w:t>
            </w:r>
            <w:r w:rsidR="00667D8B">
              <w:rPr>
                <w:rFonts w:ascii="Trebuchet MS" w:hAnsi="Trebuchet MS"/>
                <w:lang w:val="fr-FR"/>
              </w:rPr>
              <w:t>s</w:t>
            </w:r>
            <w:r w:rsidRPr="00860185">
              <w:rPr>
                <w:rFonts w:ascii="Trebuchet MS" w:hAnsi="Trebuchet MS"/>
                <w:lang w:val="fr-FR"/>
              </w:rPr>
              <w:t xml:space="preserve"> profils nationaux du personnel de santé.</w:t>
            </w:r>
          </w:p>
          <w:p w:rsidR="00860185" w:rsidRPr="00860185" w:rsidRDefault="00860185" w:rsidP="00860185">
            <w:pPr>
              <w:pStyle w:val="ListParagraph"/>
              <w:numPr>
                <w:ilvl w:val="0"/>
                <w:numId w:val="15"/>
              </w:numPr>
              <w:rPr>
                <w:rFonts w:ascii="Trebuchet MS" w:hAnsi="Trebuchet MS"/>
                <w:lang w:val="fr-FR"/>
              </w:rPr>
            </w:pPr>
            <w:r w:rsidRPr="00860185">
              <w:rPr>
                <w:rFonts w:ascii="Trebuchet MS" w:hAnsi="Trebuchet MS"/>
                <w:lang w:val="fr-FR"/>
              </w:rPr>
              <w:t>Soutenir le</w:t>
            </w:r>
            <w:r w:rsidR="00667D8B">
              <w:rPr>
                <w:rFonts w:ascii="Trebuchet MS" w:hAnsi="Trebuchet MS"/>
                <w:lang w:val="fr-FR"/>
              </w:rPr>
              <w:t>s</w:t>
            </w:r>
            <w:r w:rsidRPr="00860185">
              <w:rPr>
                <w:rFonts w:ascii="Trebuchet MS" w:hAnsi="Trebuchet MS"/>
                <w:lang w:val="fr-FR"/>
              </w:rPr>
              <w:t xml:space="preserve"> pays dans le renforcement et l'alignement des systèmes d'information de gestion de la santé au sens large, y compris la capacité d'utiliser ces systèmes en cas d'urgence et de catastrophe. </w:t>
            </w:r>
          </w:p>
          <w:p w:rsidR="000C48FD" w:rsidRPr="00860185" w:rsidRDefault="00860185" w:rsidP="00860185">
            <w:pPr>
              <w:pStyle w:val="ListParagraph"/>
              <w:numPr>
                <w:ilvl w:val="0"/>
                <w:numId w:val="15"/>
              </w:numPr>
              <w:rPr>
                <w:rFonts w:ascii="Trebuchet MS" w:hAnsi="Trebuchet MS"/>
                <w:lang w:val="fr-FR"/>
              </w:rPr>
            </w:pPr>
            <w:r w:rsidRPr="00860185">
              <w:rPr>
                <w:rFonts w:ascii="Trebuchet MS" w:hAnsi="Trebuchet MS"/>
                <w:lang w:val="fr-FR"/>
              </w:rPr>
              <w:t>Aider le</w:t>
            </w:r>
            <w:r w:rsidR="00667D8B">
              <w:rPr>
                <w:rFonts w:ascii="Trebuchet MS" w:hAnsi="Trebuchet MS"/>
                <w:lang w:val="fr-FR"/>
              </w:rPr>
              <w:t>s</w:t>
            </w:r>
            <w:r w:rsidRPr="00860185">
              <w:rPr>
                <w:rFonts w:ascii="Trebuchet MS" w:hAnsi="Trebuchet MS"/>
                <w:lang w:val="fr-FR"/>
              </w:rPr>
              <w:t xml:space="preserve"> pays à renforcer </w:t>
            </w:r>
            <w:r w:rsidR="00667D8B">
              <w:rPr>
                <w:rFonts w:ascii="Trebuchet MS" w:hAnsi="Trebuchet MS"/>
                <w:lang w:val="fr-FR"/>
              </w:rPr>
              <w:t>leur</w:t>
            </w:r>
            <w:r w:rsidRPr="00860185">
              <w:rPr>
                <w:rFonts w:ascii="Trebuchet MS" w:hAnsi="Trebuchet MS"/>
                <w:lang w:val="fr-FR"/>
              </w:rPr>
              <w:t xml:space="preserve"> capacité à utiliser efficacement les données pour dialoguer avec les décideurs politiques et la société civile.</w:t>
            </w:r>
          </w:p>
        </w:tc>
        <w:tc>
          <w:tcPr>
            <w:tcW w:w="2126" w:type="dxa"/>
            <w:shd w:val="clear" w:color="auto" w:fill="FFF2CC" w:themeFill="accent4" w:themeFillTint="33"/>
          </w:tcPr>
          <w:p w:rsidR="000C48FD" w:rsidRPr="00860185" w:rsidRDefault="000C48FD" w:rsidP="000C48FD">
            <w:pPr>
              <w:rPr>
                <w:rFonts w:ascii="Trebuchet MS" w:hAnsi="Trebuchet MS"/>
                <w:b/>
                <w:bCs/>
                <w:lang w:val="fr-FR"/>
              </w:rPr>
            </w:pPr>
          </w:p>
          <w:p w:rsidR="000C48FD" w:rsidRPr="00860185" w:rsidRDefault="000C48FD" w:rsidP="000C48FD">
            <w:pPr>
              <w:rPr>
                <w:rFonts w:ascii="Trebuchet MS" w:hAnsi="Trebuchet MS"/>
                <w:b/>
                <w:bCs/>
                <w:lang w:val="fr-FR"/>
              </w:rPr>
            </w:pPr>
          </w:p>
          <w:p w:rsidR="000C48FD" w:rsidRPr="00667D8B" w:rsidRDefault="00667D8B" w:rsidP="000C48FD">
            <w:pPr>
              <w:rPr>
                <w:rFonts w:ascii="Trebuchet MS" w:hAnsi="Trebuchet MS"/>
                <w:b/>
                <w:bCs/>
                <w:lang w:val="fr-FR"/>
              </w:rPr>
            </w:pPr>
            <w:r w:rsidRPr="00667D8B">
              <w:rPr>
                <w:rFonts w:ascii="Trebuchet MS" w:hAnsi="Trebuchet MS"/>
                <w:lang w:val="fr-FR"/>
              </w:rPr>
              <w:t xml:space="preserve">L'AFRO peut fournir un soutien dans </w:t>
            </w:r>
            <w:r>
              <w:rPr>
                <w:rFonts w:ascii="Trebuchet MS" w:hAnsi="Trebuchet MS"/>
                <w:lang w:val="fr-FR"/>
              </w:rPr>
              <w:t>c</w:t>
            </w:r>
            <w:r w:rsidRPr="00667D8B">
              <w:rPr>
                <w:rFonts w:ascii="Trebuchet MS" w:hAnsi="Trebuchet MS"/>
                <w:lang w:val="fr-FR"/>
              </w:rPr>
              <w:t>es activités planifiées</w:t>
            </w:r>
          </w:p>
        </w:tc>
      </w:tr>
      <w:tr w:rsidR="000C48FD" w:rsidRPr="001343E2" w:rsidTr="006B2AE9">
        <w:tc>
          <w:tcPr>
            <w:tcW w:w="3092" w:type="dxa"/>
            <w:shd w:val="clear" w:color="auto" w:fill="D9E2F3" w:themeFill="accent1" w:themeFillTint="33"/>
            <w:vAlign w:val="center"/>
          </w:tcPr>
          <w:p w:rsidR="000C48FD" w:rsidRPr="004C38D3" w:rsidRDefault="004C38D3" w:rsidP="004C38D3">
            <w:pPr>
              <w:rPr>
                <w:rFonts w:ascii="Trebuchet MS" w:hAnsi="Trebuchet MS"/>
                <w:b/>
                <w:bCs/>
                <w:color w:val="833C0B" w:themeColor="accent2" w:themeShade="80"/>
                <w:lang w:val="fr-FR"/>
              </w:rPr>
            </w:pPr>
            <w:r>
              <w:rPr>
                <w:rFonts w:ascii="Trebuchet MS" w:hAnsi="Trebuchet MS"/>
                <w:b/>
                <w:bCs/>
                <w:color w:val="833C0B" w:themeColor="accent2" w:themeShade="80"/>
                <w:lang w:val="fr-FR"/>
              </w:rPr>
              <w:t xml:space="preserve">9. </w:t>
            </w:r>
            <w:r w:rsidRPr="004C38D3">
              <w:rPr>
                <w:rFonts w:ascii="Trebuchet MS" w:hAnsi="Trebuchet MS"/>
                <w:b/>
                <w:bCs/>
                <w:color w:val="833C0B" w:themeColor="accent2" w:themeShade="80"/>
                <w:lang w:val="fr-FR"/>
              </w:rPr>
              <w:t>Documenter l'impact de COVID-19 sur les RHS pour en tirer des leçons.</w:t>
            </w:r>
          </w:p>
        </w:tc>
        <w:tc>
          <w:tcPr>
            <w:tcW w:w="4989" w:type="dxa"/>
            <w:shd w:val="clear" w:color="auto" w:fill="FBE4D5" w:themeFill="accent2" w:themeFillTint="33"/>
          </w:tcPr>
          <w:p w:rsidR="00667D8B" w:rsidRPr="00667D8B" w:rsidRDefault="00667D8B" w:rsidP="00667D8B">
            <w:pPr>
              <w:pStyle w:val="ListParagraph"/>
              <w:numPr>
                <w:ilvl w:val="0"/>
                <w:numId w:val="14"/>
              </w:numPr>
              <w:rPr>
                <w:rFonts w:ascii="Trebuchet MS" w:hAnsi="Trebuchet MS"/>
                <w:lang w:val="fr-FR"/>
              </w:rPr>
            </w:pPr>
            <w:r w:rsidRPr="00667D8B">
              <w:rPr>
                <w:rFonts w:ascii="Trebuchet MS" w:hAnsi="Trebuchet MS"/>
                <w:lang w:val="fr-FR"/>
              </w:rPr>
              <w:t xml:space="preserve">Soutenir la réalisation d'une étude de cas sur la réponse à l'épidémie de COVID-19 et </w:t>
            </w:r>
            <w:r>
              <w:rPr>
                <w:rFonts w:ascii="Trebuchet MS" w:hAnsi="Trebuchet MS"/>
                <w:lang w:val="fr-FR"/>
              </w:rPr>
              <w:t>Les RHS</w:t>
            </w:r>
            <w:r w:rsidRPr="00667D8B">
              <w:rPr>
                <w:rFonts w:ascii="Trebuchet MS" w:hAnsi="Trebuchet MS"/>
                <w:lang w:val="fr-FR"/>
              </w:rPr>
              <w:t xml:space="preserve"> afin d'en tirer des leçons et de mettre en évidence les faiblesses du système de santé et de souligner l'importance de construire des systèmes résilients qui peuvent à la fois faire face à une épidémie et continuer à fournir des services essentiels. </w:t>
            </w:r>
          </w:p>
          <w:p w:rsidR="000C48FD" w:rsidRPr="00667D8B" w:rsidRDefault="00667D8B" w:rsidP="00667D8B">
            <w:pPr>
              <w:pStyle w:val="ListParagraph"/>
              <w:numPr>
                <w:ilvl w:val="0"/>
                <w:numId w:val="14"/>
              </w:numPr>
              <w:rPr>
                <w:rFonts w:ascii="Trebuchet MS" w:hAnsi="Trebuchet MS"/>
                <w:lang w:val="fr-FR"/>
              </w:rPr>
            </w:pPr>
            <w:r w:rsidRPr="00667D8B">
              <w:rPr>
                <w:rFonts w:ascii="Trebuchet MS" w:hAnsi="Trebuchet MS"/>
                <w:lang w:val="fr-FR"/>
              </w:rPr>
              <w:t>Soutenir l'intégration des leçons du Covid-19 sur la protection et la performance d</w:t>
            </w:r>
            <w:r>
              <w:rPr>
                <w:rFonts w:ascii="Trebuchet MS" w:hAnsi="Trebuchet MS"/>
                <w:lang w:val="fr-FR"/>
              </w:rPr>
              <w:t xml:space="preserve">es RHS </w:t>
            </w:r>
            <w:r w:rsidRPr="00667D8B">
              <w:rPr>
                <w:rFonts w:ascii="Trebuchet MS" w:hAnsi="Trebuchet MS"/>
                <w:lang w:val="fr-FR"/>
              </w:rPr>
              <w:t xml:space="preserve">dans le plan stratégique des ressources humaines.  </w:t>
            </w:r>
          </w:p>
        </w:tc>
        <w:tc>
          <w:tcPr>
            <w:tcW w:w="2126" w:type="dxa"/>
            <w:shd w:val="clear" w:color="auto" w:fill="FFF2CC" w:themeFill="accent4" w:themeFillTint="33"/>
          </w:tcPr>
          <w:p w:rsidR="000C48FD" w:rsidRPr="00667D8B" w:rsidRDefault="000C48FD" w:rsidP="000C48FD">
            <w:pPr>
              <w:rPr>
                <w:rFonts w:ascii="Trebuchet MS" w:hAnsi="Trebuchet MS"/>
                <w:b/>
                <w:bCs/>
                <w:lang w:val="fr-FR"/>
              </w:rPr>
            </w:pPr>
          </w:p>
          <w:p w:rsidR="000C48FD" w:rsidRPr="00667D8B" w:rsidRDefault="00667D8B" w:rsidP="000C48FD">
            <w:pPr>
              <w:rPr>
                <w:rFonts w:ascii="Trebuchet MS" w:hAnsi="Trebuchet MS"/>
                <w:b/>
                <w:bCs/>
                <w:lang w:val="fr-FR"/>
              </w:rPr>
            </w:pPr>
            <w:r w:rsidRPr="00667D8B">
              <w:rPr>
                <w:rFonts w:ascii="Trebuchet MS" w:hAnsi="Trebuchet MS"/>
                <w:lang w:val="fr-FR"/>
              </w:rPr>
              <w:t xml:space="preserve">L'AFRO peut fournir un soutien dans </w:t>
            </w:r>
            <w:r>
              <w:rPr>
                <w:rFonts w:ascii="Trebuchet MS" w:hAnsi="Trebuchet MS"/>
                <w:lang w:val="fr-FR"/>
              </w:rPr>
              <w:t>c</w:t>
            </w:r>
            <w:r w:rsidRPr="00667D8B">
              <w:rPr>
                <w:rFonts w:ascii="Trebuchet MS" w:hAnsi="Trebuchet MS"/>
                <w:lang w:val="fr-FR"/>
              </w:rPr>
              <w:t>es activités planifiées</w:t>
            </w:r>
          </w:p>
        </w:tc>
      </w:tr>
      <w:tr w:rsidR="000C48FD" w:rsidRPr="001343E2" w:rsidTr="006B2AE9">
        <w:tc>
          <w:tcPr>
            <w:tcW w:w="3092" w:type="dxa"/>
            <w:shd w:val="clear" w:color="auto" w:fill="D9E2F3" w:themeFill="accent1" w:themeFillTint="33"/>
            <w:vAlign w:val="center"/>
          </w:tcPr>
          <w:p w:rsidR="000C48FD" w:rsidRPr="004C38D3" w:rsidRDefault="004C38D3" w:rsidP="004C38D3">
            <w:pPr>
              <w:rPr>
                <w:rFonts w:ascii="Trebuchet MS" w:hAnsi="Trebuchet MS"/>
                <w:b/>
                <w:bCs/>
                <w:color w:val="833C0B" w:themeColor="accent2" w:themeShade="80"/>
                <w:lang w:val="fr-FR"/>
              </w:rPr>
            </w:pPr>
            <w:r>
              <w:rPr>
                <w:rFonts w:ascii="Trebuchet MS" w:hAnsi="Trebuchet MS"/>
                <w:b/>
                <w:bCs/>
                <w:color w:val="833C0B" w:themeColor="accent2" w:themeShade="80"/>
                <w:lang w:val="fr-FR"/>
              </w:rPr>
              <w:t xml:space="preserve">10. </w:t>
            </w:r>
            <w:r w:rsidRPr="004C38D3">
              <w:rPr>
                <w:rFonts w:ascii="Trebuchet MS" w:hAnsi="Trebuchet MS"/>
                <w:b/>
                <w:bCs/>
                <w:color w:val="833C0B" w:themeColor="accent2" w:themeShade="80"/>
                <w:lang w:val="fr-FR"/>
              </w:rPr>
              <w:t>Développement d'outils et de guides régionaux pour aider les pays à analyser et à mettre en œuvre des initiatives dans les priorités identifiées.</w:t>
            </w:r>
          </w:p>
        </w:tc>
        <w:tc>
          <w:tcPr>
            <w:tcW w:w="4989" w:type="dxa"/>
            <w:shd w:val="clear" w:color="auto" w:fill="FBE4D5" w:themeFill="accent2" w:themeFillTint="33"/>
          </w:tcPr>
          <w:p w:rsidR="000C48FD" w:rsidRPr="00667D8B" w:rsidRDefault="000C48FD" w:rsidP="000C48FD">
            <w:pPr>
              <w:pStyle w:val="ListParagraph"/>
              <w:ind w:left="312" w:hanging="312"/>
              <w:rPr>
                <w:rFonts w:ascii="Trebuchet MS" w:hAnsi="Trebuchet MS"/>
                <w:lang w:val="fr-FR"/>
              </w:rPr>
            </w:pPr>
            <w:r w:rsidRPr="00667D8B">
              <w:rPr>
                <w:rFonts w:ascii="Trebuchet MS" w:hAnsi="Trebuchet MS"/>
                <w:lang w:val="fr-FR"/>
              </w:rPr>
              <w:t xml:space="preserve">1.  </w:t>
            </w:r>
            <w:r w:rsidR="00667D8B" w:rsidRPr="00667D8B">
              <w:rPr>
                <w:rFonts w:ascii="Trebuchet MS" w:hAnsi="Trebuchet MS"/>
                <w:lang w:val="fr-FR"/>
              </w:rPr>
              <w:t>Soutenir les pays pour mettre en œuvre des stratégies et des outils de prévention, d'identification, de gestion et de suivi de l'exposition ou des infections au COVID-19 des travailleurs de la santé sur le lieu de travail ou dans la communauté</w:t>
            </w:r>
          </w:p>
        </w:tc>
        <w:tc>
          <w:tcPr>
            <w:tcW w:w="2126" w:type="dxa"/>
            <w:shd w:val="clear" w:color="auto" w:fill="FFF2CC" w:themeFill="accent4" w:themeFillTint="33"/>
          </w:tcPr>
          <w:p w:rsidR="000C48FD" w:rsidRPr="00667D8B" w:rsidRDefault="00667D8B" w:rsidP="000C48FD">
            <w:pPr>
              <w:rPr>
                <w:rFonts w:ascii="Trebuchet MS" w:hAnsi="Trebuchet MS"/>
                <w:b/>
                <w:bCs/>
                <w:lang w:val="fr-FR"/>
              </w:rPr>
            </w:pPr>
            <w:r w:rsidRPr="00667D8B">
              <w:rPr>
                <w:rFonts w:ascii="Trebuchet MS" w:hAnsi="Trebuchet MS"/>
                <w:lang w:val="fr-FR"/>
              </w:rPr>
              <w:t xml:space="preserve">L'AFRO peut fournir un soutien dans </w:t>
            </w:r>
            <w:r>
              <w:rPr>
                <w:rFonts w:ascii="Trebuchet MS" w:hAnsi="Trebuchet MS"/>
                <w:lang w:val="fr-FR"/>
              </w:rPr>
              <w:t>c</w:t>
            </w:r>
            <w:r w:rsidRPr="00667D8B">
              <w:rPr>
                <w:rFonts w:ascii="Trebuchet MS" w:hAnsi="Trebuchet MS"/>
                <w:lang w:val="fr-FR"/>
              </w:rPr>
              <w:t>es activités planifiées</w:t>
            </w:r>
          </w:p>
        </w:tc>
      </w:tr>
    </w:tbl>
    <w:p w:rsidR="000C48FD" w:rsidRPr="00667D8B" w:rsidRDefault="000C48FD" w:rsidP="000C48FD">
      <w:pPr>
        <w:rPr>
          <w:rFonts w:ascii="Trebuchet MS" w:hAnsi="Trebuchet MS"/>
          <w:b/>
          <w:bCs/>
          <w:lang w:val="fr-FR"/>
        </w:rPr>
      </w:pPr>
    </w:p>
    <w:p w:rsidR="000C48FD" w:rsidRPr="00667D8B" w:rsidRDefault="000C48FD" w:rsidP="000C48FD">
      <w:pPr>
        <w:rPr>
          <w:rFonts w:ascii="Trebuchet MS" w:hAnsi="Trebuchet MS"/>
          <w:b/>
          <w:bCs/>
          <w:lang w:val="fr-FR"/>
        </w:rPr>
      </w:pPr>
    </w:p>
    <w:p w:rsidR="000C48FD" w:rsidRPr="008D3931" w:rsidRDefault="008D3931" w:rsidP="000C48FD">
      <w:pPr>
        <w:rPr>
          <w:rFonts w:ascii="Trebuchet MS" w:eastAsiaTheme="minorEastAsia" w:hAnsi="Trebuchet MS" w:cs="Times New Roman"/>
          <w:b/>
          <w:bCs/>
          <w:color w:val="C00000"/>
          <w:sz w:val="28"/>
          <w:szCs w:val="28"/>
          <w:lang w:val="fr-FR"/>
        </w:rPr>
      </w:pPr>
      <w:r>
        <w:rPr>
          <w:rFonts w:ascii="Trebuchet MS" w:eastAsiaTheme="minorEastAsia" w:hAnsi="Trebuchet MS" w:cs="Times New Roman"/>
          <w:b/>
          <w:bCs/>
          <w:color w:val="C00000"/>
          <w:sz w:val="28"/>
          <w:szCs w:val="28"/>
          <w:lang w:val="fr-FR"/>
        </w:rPr>
        <w:t>6</w:t>
      </w:r>
      <w:r w:rsidR="000C48FD" w:rsidRPr="008D3931">
        <w:rPr>
          <w:rFonts w:ascii="Trebuchet MS" w:eastAsiaTheme="minorEastAsia" w:hAnsi="Trebuchet MS" w:cs="Times New Roman"/>
          <w:b/>
          <w:bCs/>
          <w:color w:val="C00000"/>
          <w:sz w:val="28"/>
          <w:szCs w:val="28"/>
          <w:lang w:val="fr-FR"/>
        </w:rPr>
        <w:t xml:space="preserve">. </w:t>
      </w:r>
      <w:r w:rsidR="00667D8B" w:rsidRPr="008D3931">
        <w:rPr>
          <w:rFonts w:ascii="Trebuchet MS" w:eastAsiaTheme="minorEastAsia" w:hAnsi="Trebuchet MS" w:cs="Times New Roman"/>
          <w:b/>
          <w:bCs/>
          <w:color w:val="C00000"/>
          <w:sz w:val="28"/>
          <w:szCs w:val="28"/>
          <w:lang w:val="fr-FR"/>
        </w:rPr>
        <w:t>PRODUITS TECHNIQUES DE SANTÉ PUBLIQUE PROPOSÉS POUR L'EXERCICE BIENNAL AU NIVEAU RÉGIONAL</w:t>
      </w:r>
    </w:p>
    <w:tbl>
      <w:tblPr>
        <w:tblStyle w:val="TableGrid"/>
        <w:tblW w:w="10207" w:type="dxa"/>
        <w:tblInd w:w="-289" w:type="dxa"/>
        <w:tblLook w:val="04A0" w:firstRow="1" w:lastRow="0" w:firstColumn="1" w:lastColumn="0" w:noHBand="0" w:noVBand="1"/>
      </w:tblPr>
      <w:tblGrid>
        <w:gridCol w:w="5227"/>
        <w:gridCol w:w="1720"/>
        <w:gridCol w:w="3260"/>
      </w:tblGrid>
      <w:tr w:rsidR="006B2AE9" w:rsidRPr="001343E2" w:rsidTr="006B2AE9">
        <w:trPr>
          <w:tblHeader/>
        </w:trPr>
        <w:tc>
          <w:tcPr>
            <w:tcW w:w="5227" w:type="dxa"/>
            <w:shd w:val="clear" w:color="auto" w:fill="FBE4D5" w:themeFill="accent2" w:themeFillTint="33"/>
          </w:tcPr>
          <w:p w:rsidR="000C48FD" w:rsidRPr="004D27E2" w:rsidRDefault="004D27E2" w:rsidP="000C48FD">
            <w:pPr>
              <w:rPr>
                <w:rFonts w:ascii="Trebuchet MS" w:hAnsi="Trebuchet MS"/>
                <w:b/>
                <w:bCs/>
                <w:color w:val="44546A" w:themeColor="text2"/>
                <w:lang w:val="fr-FR"/>
              </w:rPr>
            </w:pPr>
            <w:r w:rsidRPr="004D27E2">
              <w:rPr>
                <w:rFonts w:ascii="Trebuchet MS" w:hAnsi="Trebuchet MS"/>
                <w:b/>
                <w:bCs/>
                <w:lang w:val="fr-FR"/>
              </w:rPr>
              <w:t>Type de produits techniques de santé publique</w:t>
            </w:r>
            <w:r w:rsidRPr="004D27E2">
              <w:rPr>
                <w:rFonts w:ascii="Trebuchet MS" w:hAnsi="Trebuchet MS"/>
                <w:b/>
                <w:bCs/>
                <w:color w:val="44546A" w:themeColor="text2"/>
                <w:lang w:val="fr-FR"/>
              </w:rPr>
              <w:t xml:space="preserve"> </w:t>
            </w:r>
          </w:p>
        </w:tc>
        <w:tc>
          <w:tcPr>
            <w:tcW w:w="1720" w:type="dxa"/>
            <w:shd w:val="clear" w:color="auto" w:fill="FBE4D5" w:themeFill="accent2" w:themeFillTint="33"/>
          </w:tcPr>
          <w:p w:rsidR="000C48FD" w:rsidRPr="002F51CC" w:rsidRDefault="000C48FD" w:rsidP="000C48FD">
            <w:pPr>
              <w:rPr>
                <w:rFonts w:ascii="Trebuchet MS" w:hAnsi="Trebuchet MS"/>
                <w:b/>
                <w:bCs/>
              </w:rPr>
            </w:pPr>
            <w:r w:rsidRPr="002F51CC">
              <w:rPr>
                <w:rFonts w:ascii="Trebuchet MS" w:hAnsi="Trebuchet MS"/>
                <w:b/>
                <w:bCs/>
              </w:rPr>
              <w:t xml:space="preserve">Type </w:t>
            </w:r>
          </w:p>
        </w:tc>
        <w:tc>
          <w:tcPr>
            <w:tcW w:w="3260" w:type="dxa"/>
            <w:shd w:val="clear" w:color="auto" w:fill="FFF2CC" w:themeFill="accent4" w:themeFillTint="33"/>
          </w:tcPr>
          <w:p w:rsidR="000C48FD" w:rsidRPr="004D27E2" w:rsidRDefault="004D27E2" w:rsidP="000C48FD">
            <w:pPr>
              <w:rPr>
                <w:rFonts w:ascii="Trebuchet MS" w:hAnsi="Trebuchet MS"/>
                <w:b/>
                <w:bCs/>
                <w:lang w:val="fr-FR"/>
              </w:rPr>
            </w:pPr>
            <w:r w:rsidRPr="004D27E2">
              <w:rPr>
                <w:rFonts w:ascii="Trebuchet MS" w:hAnsi="Trebuchet MS"/>
                <w:b/>
                <w:bCs/>
                <w:lang w:val="fr-FR"/>
              </w:rPr>
              <w:t>Commentaires du pays/intérêt du pays à participer</w:t>
            </w:r>
          </w:p>
        </w:tc>
      </w:tr>
      <w:tr w:rsidR="006B2AE9" w:rsidRPr="002F51CC" w:rsidTr="006B2AE9">
        <w:tc>
          <w:tcPr>
            <w:tcW w:w="5227" w:type="dxa"/>
            <w:shd w:val="clear" w:color="auto" w:fill="FBE4D5" w:themeFill="accent2" w:themeFillTint="33"/>
          </w:tcPr>
          <w:p w:rsidR="000C48FD" w:rsidRPr="004D27E2" w:rsidRDefault="004D27E2" w:rsidP="000C48FD">
            <w:pPr>
              <w:pStyle w:val="ListParagraph"/>
              <w:numPr>
                <w:ilvl w:val="0"/>
                <w:numId w:val="16"/>
              </w:numPr>
              <w:ind w:left="316"/>
              <w:rPr>
                <w:rFonts w:ascii="Trebuchet MS" w:hAnsi="Trebuchet MS"/>
                <w:b/>
                <w:bCs/>
                <w:color w:val="44546A" w:themeColor="text2"/>
                <w:lang w:val="fr-FR"/>
              </w:rPr>
            </w:pPr>
            <w:r w:rsidRPr="004D27E2">
              <w:rPr>
                <w:rFonts w:ascii="Trebuchet MS" w:hAnsi="Trebuchet MS"/>
                <w:b/>
                <w:bCs/>
                <w:color w:val="44546A" w:themeColor="text2"/>
                <w:lang w:val="fr-FR"/>
              </w:rPr>
              <w:t>Guide régional révisé sur l'élaboration de politiques et de plans en matière de RHS</w:t>
            </w:r>
          </w:p>
        </w:tc>
        <w:tc>
          <w:tcPr>
            <w:tcW w:w="1720" w:type="dxa"/>
            <w:shd w:val="clear" w:color="auto" w:fill="FBE4D5" w:themeFill="accent2" w:themeFillTint="33"/>
          </w:tcPr>
          <w:p w:rsidR="000C48FD" w:rsidRPr="002F51CC" w:rsidRDefault="000C48FD" w:rsidP="000C48FD">
            <w:pPr>
              <w:rPr>
                <w:rFonts w:ascii="Trebuchet MS" w:hAnsi="Trebuchet MS"/>
              </w:rPr>
            </w:pPr>
            <w:proofErr w:type="spellStart"/>
            <w:r w:rsidRPr="002F51CC">
              <w:rPr>
                <w:rFonts w:ascii="Trebuchet MS" w:hAnsi="Trebuchet MS"/>
              </w:rPr>
              <w:t>Guide</w:t>
            </w:r>
            <w:r w:rsidR="004D27E2">
              <w:rPr>
                <w:rFonts w:ascii="Trebuchet MS" w:hAnsi="Trebuchet MS"/>
              </w:rPr>
              <w:t>S</w:t>
            </w:r>
            <w:proofErr w:type="spellEnd"/>
          </w:p>
        </w:tc>
        <w:tc>
          <w:tcPr>
            <w:tcW w:w="3260" w:type="dxa"/>
            <w:shd w:val="clear" w:color="auto" w:fill="FFF2CC" w:themeFill="accent4" w:themeFillTint="33"/>
          </w:tcPr>
          <w:p w:rsidR="000C48FD" w:rsidRPr="002F51CC" w:rsidRDefault="000C48FD" w:rsidP="000C48FD">
            <w:pPr>
              <w:rPr>
                <w:rFonts w:ascii="Trebuchet MS" w:hAnsi="Trebuchet MS"/>
              </w:rPr>
            </w:pPr>
          </w:p>
        </w:tc>
      </w:tr>
      <w:tr w:rsidR="006B2AE9" w:rsidRPr="002F51CC" w:rsidTr="006B2AE9">
        <w:tc>
          <w:tcPr>
            <w:tcW w:w="5227" w:type="dxa"/>
            <w:shd w:val="clear" w:color="auto" w:fill="FBE4D5" w:themeFill="accent2" w:themeFillTint="33"/>
          </w:tcPr>
          <w:p w:rsidR="000C48FD" w:rsidRPr="004D27E2" w:rsidRDefault="004D27E2" w:rsidP="000C48FD">
            <w:pPr>
              <w:pStyle w:val="ListParagraph"/>
              <w:numPr>
                <w:ilvl w:val="0"/>
                <w:numId w:val="16"/>
              </w:numPr>
              <w:ind w:left="316"/>
              <w:rPr>
                <w:rFonts w:ascii="Trebuchet MS" w:hAnsi="Trebuchet MS"/>
                <w:b/>
                <w:bCs/>
                <w:color w:val="44546A" w:themeColor="text2"/>
                <w:lang w:val="fr-FR"/>
              </w:rPr>
            </w:pPr>
            <w:r w:rsidRPr="004D27E2">
              <w:rPr>
                <w:rFonts w:ascii="Trebuchet MS" w:hAnsi="Trebuchet MS"/>
                <w:b/>
                <w:bCs/>
                <w:color w:val="44546A" w:themeColor="text2"/>
                <w:lang w:val="fr-FR"/>
              </w:rPr>
              <w:t>Étude de cas sur les systèmes d'information sur les ressources humaines et leur fonctionnalité dans certains pays de la région</w:t>
            </w:r>
          </w:p>
        </w:tc>
        <w:tc>
          <w:tcPr>
            <w:tcW w:w="1720" w:type="dxa"/>
            <w:shd w:val="clear" w:color="auto" w:fill="FBE4D5" w:themeFill="accent2" w:themeFillTint="33"/>
          </w:tcPr>
          <w:p w:rsidR="000C48FD" w:rsidRPr="002F51CC" w:rsidRDefault="000C48FD" w:rsidP="000C48FD">
            <w:pPr>
              <w:rPr>
                <w:rFonts w:ascii="Trebuchet MS" w:hAnsi="Trebuchet MS"/>
              </w:rPr>
            </w:pPr>
            <w:r w:rsidRPr="002F51CC">
              <w:rPr>
                <w:rFonts w:ascii="Trebuchet MS" w:hAnsi="Trebuchet MS"/>
              </w:rPr>
              <w:t>Good practices documentation</w:t>
            </w:r>
          </w:p>
        </w:tc>
        <w:tc>
          <w:tcPr>
            <w:tcW w:w="3260" w:type="dxa"/>
            <w:shd w:val="clear" w:color="auto" w:fill="FFF2CC" w:themeFill="accent4" w:themeFillTint="33"/>
          </w:tcPr>
          <w:p w:rsidR="000C48FD" w:rsidRPr="002F51CC" w:rsidRDefault="000C48FD" w:rsidP="000C48FD">
            <w:pPr>
              <w:rPr>
                <w:rFonts w:ascii="Trebuchet MS" w:hAnsi="Trebuchet MS"/>
              </w:rPr>
            </w:pPr>
          </w:p>
        </w:tc>
      </w:tr>
      <w:tr w:rsidR="006B2AE9" w:rsidRPr="002F51CC" w:rsidTr="006B2AE9">
        <w:tc>
          <w:tcPr>
            <w:tcW w:w="5227" w:type="dxa"/>
            <w:shd w:val="clear" w:color="auto" w:fill="FBE4D5" w:themeFill="accent2" w:themeFillTint="33"/>
          </w:tcPr>
          <w:p w:rsidR="000C48FD" w:rsidRPr="004D27E2" w:rsidRDefault="004D27E2" w:rsidP="000C48FD">
            <w:pPr>
              <w:pStyle w:val="ListParagraph"/>
              <w:numPr>
                <w:ilvl w:val="0"/>
                <w:numId w:val="16"/>
              </w:numPr>
              <w:ind w:left="316"/>
              <w:rPr>
                <w:rFonts w:ascii="Trebuchet MS" w:hAnsi="Trebuchet MS"/>
                <w:b/>
                <w:bCs/>
                <w:color w:val="44546A" w:themeColor="text2"/>
                <w:lang w:val="fr-FR"/>
              </w:rPr>
            </w:pPr>
            <w:r w:rsidRPr="004D27E2">
              <w:rPr>
                <w:rFonts w:ascii="Trebuchet MS" w:hAnsi="Trebuchet MS"/>
                <w:b/>
                <w:bCs/>
                <w:color w:val="44546A" w:themeColor="text2"/>
                <w:lang w:val="fr-FR"/>
              </w:rPr>
              <w:t>Etude de cas sur le partage des tâches dans des pays sélectionnés de la région.</w:t>
            </w:r>
          </w:p>
        </w:tc>
        <w:tc>
          <w:tcPr>
            <w:tcW w:w="1720" w:type="dxa"/>
            <w:shd w:val="clear" w:color="auto" w:fill="FBE4D5" w:themeFill="accent2" w:themeFillTint="33"/>
          </w:tcPr>
          <w:p w:rsidR="000C48FD" w:rsidRPr="002F51CC" w:rsidRDefault="000C48FD" w:rsidP="000C48FD">
            <w:pPr>
              <w:rPr>
                <w:rFonts w:ascii="Trebuchet MS" w:hAnsi="Trebuchet MS"/>
              </w:rPr>
            </w:pPr>
            <w:r w:rsidRPr="002F51CC">
              <w:rPr>
                <w:rFonts w:ascii="Trebuchet MS" w:hAnsi="Trebuchet MS"/>
              </w:rPr>
              <w:t>Documentation</w:t>
            </w:r>
          </w:p>
        </w:tc>
        <w:tc>
          <w:tcPr>
            <w:tcW w:w="3260" w:type="dxa"/>
            <w:shd w:val="clear" w:color="auto" w:fill="FFF2CC" w:themeFill="accent4" w:themeFillTint="33"/>
          </w:tcPr>
          <w:p w:rsidR="000C48FD" w:rsidRPr="002F51CC" w:rsidRDefault="000C48FD" w:rsidP="000C48FD">
            <w:pPr>
              <w:rPr>
                <w:rFonts w:ascii="Trebuchet MS" w:hAnsi="Trebuchet MS"/>
              </w:rPr>
            </w:pPr>
          </w:p>
        </w:tc>
      </w:tr>
      <w:tr w:rsidR="006B2AE9" w:rsidRPr="002F51CC" w:rsidTr="006B2AE9">
        <w:tc>
          <w:tcPr>
            <w:tcW w:w="5227" w:type="dxa"/>
            <w:shd w:val="clear" w:color="auto" w:fill="FBE4D5" w:themeFill="accent2" w:themeFillTint="33"/>
          </w:tcPr>
          <w:p w:rsidR="000C48FD" w:rsidRPr="004D27E2" w:rsidRDefault="004D27E2" w:rsidP="000C48FD">
            <w:pPr>
              <w:pStyle w:val="ListParagraph"/>
              <w:numPr>
                <w:ilvl w:val="0"/>
                <w:numId w:val="16"/>
              </w:numPr>
              <w:ind w:left="316"/>
              <w:rPr>
                <w:rFonts w:ascii="Trebuchet MS" w:hAnsi="Trebuchet MS"/>
                <w:b/>
                <w:bCs/>
                <w:color w:val="44546A" w:themeColor="text2"/>
                <w:lang w:val="fr-FR"/>
              </w:rPr>
            </w:pPr>
            <w:r w:rsidRPr="004D27E2">
              <w:rPr>
                <w:rFonts w:ascii="Trebuchet MS" w:hAnsi="Trebuchet MS"/>
                <w:b/>
                <w:bCs/>
                <w:color w:val="44546A" w:themeColor="text2"/>
                <w:lang w:val="fr-FR"/>
              </w:rPr>
              <w:t xml:space="preserve">Série de notes d'orientation sur le </w:t>
            </w:r>
            <w:r>
              <w:rPr>
                <w:rFonts w:ascii="Trebuchet MS" w:hAnsi="Trebuchet MS"/>
                <w:b/>
                <w:bCs/>
                <w:color w:val="44546A" w:themeColor="text2"/>
                <w:lang w:val="fr-FR"/>
              </w:rPr>
              <w:t>RHS</w:t>
            </w:r>
            <w:r w:rsidRPr="004D27E2">
              <w:rPr>
                <w:rFonts w:ascii="Trebuchet MS" w:hAnsi="Trebuchet MS"/>
                <w:b/>
                <w:bCs/>
                <w:color w:val="44546A" w:themeColor="text2"/>
                <w:lang w:val="fr-FR"/>
              </w:rPr>
              <w:t xml:space="preserve"> (à partir des données de l'enquête régionale sur les ressources humaines et de</w:t>
            </w:r>
            <w:r>
              <w:rPr>
                <w:rFonts w:ascii="Trebuchet MS" w:hAnsi="Trebuchet MS"/>
                <w:b/>
                <w:bCs/>
                <w:color w:val="44546A" w:themeColor="text2"/>
                <w:lang w:val="fr-FR"/>
              </w:rPr>
              <w:t xml:space="preserve">s </w:t>
            </w:r>
            <w:r w:rsidRPr="004D27E2">
              <w:rPr>
                <w:rFonts w:ascii="Trebuchet MS" w:hAnsi="Trebuchet MS"/>
                <w:b/>
                <w:bCs/>
                <w:color w:val="44546A" w:themeColor="text2"/>
                <w:lang w:val="fr-FR"/>
              </w:rPr>
              <w:t>étude</w:t>
            </w:r>
            <w:r>
              <w:rPr>
                <w:rFonts w:ascii="Trebuchet MS" w:hAnsi="Trebuchet MS"/>
                <w:b/>
                <w:bCs/>
                <w:color w:val="44546A" w:themeColor="text2"/>
                <w:lang w:val="fr-FR"/>
              </w:rPr>
              <w:t>s de marché de travail de la santé</w:t>
            </w:r>
            <w:r w:rsidRPr="004D27E2">
              <w:rPr>
                <w:rFonts w:ascii="Trebuchet MS" w:hAnsi="Trebuchet MS"/>
                <w:b/>
                <w:bCs/>
                <w:color w:val="44546A" w:themeColor="text2"/>
                <w:lang w:val="fr-FR"/>
              </w:rPr>
              <w:t>).</w:t>
            </w:r>
          </w:p>
        </w:tc>
        <w:tc>
          <w:tcPr>
            <w:tcW w:w="1720" w:type="dxa"/>
            <w:shd w:val="clear" w:color="auto" w:fill="FBE4D5" w:themeFill="accent2" w:themeFillTint="33"/>
          </w:tcPr>
          <w:p w:rsidR="000C48FD" w:rsidRPr="002F51CC" w:rsidRDefault="004D27E2" w:rsidP="000C48FD">
            <w:pPr>
              <w:rPr>
                <w:rFonts w:ascii="Trebuchet MS" w:hAnsi="Trebuchet MS"/>
              </w:rPr>
            </w:pPr>
            <w:r>
              <w:rPr>
                <w:rFonts w:ascii="Trebuchet MS" w:hAnsi="Trebuchet MS"/>
              </w:rPr>
              <w:t>Plaidoyer</w:t>
            </w:r>
          </w:p>
        </w:tc>
        <w:tc>
          <w:tcPr>
            <w:tcW w:w="3260" w:type="dxa"/>
            <w:shd w:val="clear" w:color="auto" w:fill="FFF2CC" w:themeFill="accent4" w:themeFillTint="33"/>
          </w:tcPr>
          <w:p w:rsidR="000C48FD" w:rsidRPr="002F51CC" w:rsidRDefault="000C48FD" w:rsidP="000C48FD">
            <w:pPr>
              <w:rPr>
                <w:rFonts w:ascii="Trebuchet MS" w:hAnsi="Trebuchet MS"/>
              </w:rPr>
            </w:pPr>
          </w:p>
        </w:tc>
      </w:tr>
      <w:tr w:rsidR="006B2AE9" w:rsidRPr="002F51CC" w:rsidTr="006B2AE9">
        <w:tc>
          <w:tcPr>
            <w:tcW w:w="5227" w:type="dxa"/>
            <w:shd w:val="clear" w:color="auto" w:fill="FBE4D5" w:themeFill="accent2" w:themeFillTint="33"/>
          </w:tcPr>
          <w:p w:rsidR="000C48FD" w:rsidRPr="004D27E2" w:rsidRDefault="004D27E2" w:rsidP="000C48FD">
            <w:pPr>
              <w:pStyle w:val="ListParagraph"/>
              <w:numPr>
                <w:ilvl w:val="0"/>
                <w:numId w:val="16"/>
              </w:numPr>
              <w:ind w:left="316"/>
              <w:rPr>
                <w:rFonts w:ascii="Trebuchet MS" w:hAnsi="Trebuchet MS"/>
                <w:b/>
                <w:bCs/>
                <w:color w:val="44546A" w:themeColor="text2"/>
                <w:lang w:val="fr-FR"/>
              </w:rPr>
            </w:pPr>
            <w:r w:rsidRPr="004D27E2">
              <w:rPr>
                <w:rFonts w:ascii="Trebuchet MS" w:hAnsi="Trebuchet MS"/>
                <w:b/>
                <w:bCs/>
                <w:color w:val="44546A" w:themeColor="text2"/>
                <w:lang w:val="fr-FR"/>
              </w:rPr>
              <w:t xml:space="preserve">Étude de cas sur les </w:t>
            </w:r>
            <w:r>
              <w:rPr>
                <w:rFonts w:ascii="Trebuchet MS" w:hAnsi="Trebuchet MS"/>
                <w:b/>
                <w:bCs/>
                <w:color w:val="44546A" w:themeColor="text2"/>
                <w:lang w:val="fr-FR"/>
              </w:rPr>
              <w:t xml:space="preserve">doubles </w:t>
            </w:r>
            <w:r w:rsidRPr="004D27E2">
              <w:rPr>
                <w:rFonts w:ascii="Trebuchet MS" w:hAnsi="Trebuchet MS"/>
                <w:b/>
                <w:bCs/>
                <w:color w:val="44546A" w:themeColor="text2"/>
                <w:lang w:val="fr-FR"/>
              </w:rPr>
              <w:t>pratiques des professionnels de la santé dans certains pays.</w:t>
            </w:r>
          </w:p>
        </w:tc>
        <w:tc>
          <w:tcPr>
            <w:tcW w:w="1720" w:type="dxa"/>
            <w:shd w:val="clear" w:color="auto" w:fill="FBE4D5" w:themeFill="accent2" w:themeFillTint="33"/>
          </w:tcPr>
          <w:p w:rsidR="000C48FD" w:rsidRPr="002F51CC" w:rsidRDefault="000C48FD" w:rsidP="000C48FD">
            <w:pPr>
              <w:rPr>
                <w:rFonts w:ascii="Trebuchet MS" w:hAnsi="Trebuchet MS"/>
              </w:rPr>
            </w:pPr>
            <w:r w:rsidRPr="002F51CC">
              <w:rPr>
                <w:rFonts w:ascii="Trebuchet MS" w:hAnsi="Trebuchet MS"/>
              </w:rPr>
              <w:t>Documentation</w:t>
            </w:r>
          </w:p>
        </w:tc>
        <w:tc>
          <w:tcPr>
            <w:tcW w:w="3260" w:type="dxa"/>
            <w:shd w:val="clear" w:color="auto" w:fill="FFF2CC" w:themeFill="accent4" w:themeFillTint="33"/>
          </w:tcPr>
          <w:p w:rsidR="000C48FD" w:rsidRPr="002F51CC" w:rsidRDefault="000C48FD" w:rsidP="000C48FD">
            <w:pPr>
              <w:rPr>
                <w:rFonts w:ascii="Trebuchet MS" w:hAnsi="Trebuchet MS"/>
              </w:rPr>
            </w:pPr>
          </w:p>
        </w:tc>
      </w:tr>
      <w:tr w:rsidR="006B2AE9" w:rsidRPr="002F51CC" w:rsidTr="006B2AE9">
        <w:tc>
          <w:tcPr>
            <w:tcW w:w="5227" w:type="dxa"/>
            <w:shd w:val="clear" w:color="auto" w:fill="FBE4D5" w:themeFill="accent2" w:themeFillTint="33"/>
          </w:tcPr>
          <w:p w:rsidR="000C48FD" w:rsidRPr="004D27E2" w:rsidRDefault="004D27E2" w:rsidP="000C48FD">
            <w:pPr>
              <w:pStyle w:val="ListParagraph"/>
              <w:numPr>
                <w:ilvl w:val="0"/>
                <w:numId w:val="16"/>
              </w:numPr>
              <w:ind w:left="316"/>
              <w:rPr>
                <w:rFonts w:ascii="Trebuchet MS" w:hAnsi="Trebuchet MS"/>
                <w:b/>
                <w:bCs/>
                <w:color w:val="44546A" w:themeColor="text2"/>
                <w:lang w:val="fr-FR"/>
              </w:rPr>
            </w:pPr>
            <w:r w:rsidRPr="004D27E2">
              <w:rPr>
                <w:rFonts w:ascii="Trebuchet MS" w:hAnsi="Trebuchet MS"/>
                <w:b/>
                <w:bCs/>
                <w:color w:val="44546A" w:themeColor="text2"/>
                <w:lang w:val="fr-FR"/>
              </w:rPr>
              <w:t>Évaluation de la charge de travail des professionnels de la santé de 2019 à 2021 (Covid-19/WISN) dans certains pays.</w:t>
            </w:r>
          </w:p>
        </w:tc>
        <w:tc>
          <w:tcPr>
            <w:tcW w:w="1720" w:type="dxa"/>
            <w:shd w:val="clear" w:color="auto" w:fill="FBE4D5" w:themeFill="accent2" w:themeFillTint="33"/>
          </w:tcPr>
          <w:p w:rsidR="000C48FD" w:rsidRPr="002F51CC" w:rsidRDefault="004D27E2" w:rsidP="000C48FD">
            <w:pPr>
              <w:rPr>
                <w:rFonts w:ascii="Trebuchet MS" w:hAnsi="Trebuchet MS"/>
              </w:rPr>
            </w:pPr>
            <w:r>
              <w:rPr>
                <w:rFonts w:ascii="Trebuchet MS" w:hAnsi="Trebuchet MS"/>
              </w:rPr>
              <w:t>Evaluation</w:t>
            </w:r>
          </w:p>
        </w:tc>
        <w:tc>
          <w:tcPr>
            <w:tcW w:w="3260" w:type="dxa"/>
            <w:shd w:val="clear" w:color="auto" w:fill="FFF2CC" w:themeFill="accent4" w:themeFillTint="33"/>
          </w:tcPr>
          <w:p w:rsidR="000C48FD" w:rsidRPr="002F51CC" w:rsidRDefault="000C48FD" w:rsidP="000C48FD">
            <w:pPr>
              <w:rPr>
                <w:rFonts w:ascii="Trebuchet MS" w:hAnsi="Trebuchet MS"/>
              </w:rPr>
            </w:pPr>
          </w:p>
        </w:tc>
      </w:tr>
      <w:tr w:rsidR="006B2AE9" w:rsidRPr="002F51CC" w:rsidTr="006B2AE9">
        <w:tc>
          <w:tcPr>
            <w:tcW w:w="5227" w:type="dxa"/>
            <w:shd w:val="clear" w:color="auto" w:fill="FBE4D5" w:themeFill="accent2" w:themeFillTint="33"/>
          </w:tcPr>
          <w:p w:rsidR="000C48FD" w:rsidRPr="004D27E2" w:rsidRDefault="004D27E2" w:rsidP="000C48FD">
            <w:pPr>
              <w:pStyle w:val="ListParagraph"/>
              <w:numPr>
                <w:ilvl w:val="0"/>
                <w:numId w:val="16"/>
              </w:numPr>
              <w:ind w:left="316"/>
              <w:rPr>
                <w:rFonts w:ascii="Trebuchet MS" w:hAnsi="Trebuchet MS"/>
                <w:b/>
                <w:bCs/>
                <w:color w:val="44546A" w:themeColor="text2"/>
                <w:lang w:val="fr-FR"/>
              </w:rPr>
            </w:pPr>
            <w:r w:rsidRPr="004D27E2">
              <w:rPr>
                <w:rFonts w:ascii="Trebuchet MS" w:hAnsi="Trebuchet MS"/>
                <w:b/>
                <w:bCs/>
                <w:color w:val="44546A" w:themeColor="text2"/>
                <w:lang w:val="fr-FR"/>
              </w:rPr>
              <w:t>Note d</w:t>
            </w:r>
            <w:r>
              <w:rPr>
                <w:rFonts w:ascii="Trebuchet MS" w:hAnsi="Trebuchet MS"/>
                <w:b/>
                <w:bCs/>
                <w:color w:val="44546A" w:themeColor="text2"/>
                <w:lang w:val="fr-FR"/>
              </w:rPr>
              <w:t xml:space="preserve">’orientation </w:t>
            </w:r>
            <w:r w:rsidRPr="004D27E2">
              <w:rPr>
                <w:rFonts w:ascii="Trebuchet MS" w:hAnsi="Trebuchet MS"/>
                <w:b/>
                <w:bCs/>
                <w:color w:val="44546A" w:themeColor="text2"/>
                <w:lang w:val="fr-FR"/>
              </w:rPr>
              <w:t>sur l'optimisation des rôles des agents de santé par le transfert et le partage des tâches</w:t>
            </w:r>
          </w:p>
        </w:tc>
        <w:tc>
          <w:tcPr>
            <w:tcW w:w="1720" w:type="dxa"/>
            <w:shd w:val="clear" w:color="auto" w:fill="FBE4D5" w:themeFill="accent2" w:themeFillTint="33"/>
          </w:tcPr>
          <w:p w:rsidR="000C48FD" w:rsidRPr="002F51CC" w:rsidRDefault="000C48FD" w:rsidP="000C48FD">
            <w:pPr>
              <w:rPr>
                <w:rFonts w:ascii="Trebuchet MS" w:hAnsi="Trebuchet MS"/>
              </w:rPr>
            </w:pPr>
            <w:r w:rsidRPr="002F51CC">
              <w:rPr>
                <w:rFonts w:ascii="Trebuchet MS" w:hAnsi="Trebuchet MS"/>
              </w:rPr>
              <w:t>Guide</w:t>
            </w:r>
          </w:p>
        </w:tc>
        <w:tc>
          <w:tcPr>
            <w:tcW w:w="3260" w:type="dxa"/>
            <w:shd w:val="clear" w:color="auto" w:fill="FFF2CC" w:themeFill="accent4" w:themeFillTint="33"/>
          </w:tcPr>
          <w:p w:rsidR="000C48FD" w:rsidRPr="002F51CC" w:rsidRDefault="000C48FD" w:rsidP="000C48FD">
            <w:pPr>
              <w:rPr>
                <w:rFonts w:ascii="Trebuchet MS" w:hAnsi="Trebuchet MS"/>
              </w:rPr>
            </w:pPr>
          </w:p>
        </w:tc>
      </w:tr>
    </w:tbl>
    <w:p w:rsidR="000C48FD" w:rsidRPr="002F51CC" w:rsidRDefault="000C48FD" w:rsidP="000C48FD">
      <w:pPr>
        <w:rPr>
          <w:rFonts w:ascii="Trebuchet MS" w:hAnsi="Trebuchet MS"/>
        </w:rPr>
      </w:pPr>
    </w:p>
    <w:p w:rsidR="000C48FD" w:rsidRPr="002F51CC" w:rsidRDefault="000C48FD" w:rsidP="000C48FD">
      <w:pPr>
        <w:rPr>
          <w:rFonts w:ascii="Trebuchet MS" w:hAnsi="Trebuchet MS"/>
          <w:b/>
          <w:bCs/>
        </w:rPr>
      </w:pPr>
    </w:p>
    <w:p w:rsidR="000C48FD" w:rsidRPr="008D3931" w:rsidRDefault="008D3931" w:rsidP="000C48FD">
      <w:pPr>
        <w:rPr>
          <w:rFonts w:ascii="Trebuchet MS" w:eastAsiaTheme="minorEastAsia" w:hAnsi="Trebuchet MS" w:cs="Times New Roman"/>
          <w:b/>
          <w:bCs/>
          <w:color w:val="C00000"/>
          <w:sz w:val="28"/>
          <w:szCs w:val="28"/>
          <w:lang w:val="fr-FR"/>
        </w:rPr>
      </w:pPr>
      <w:r>
        <w:rPr>
          <w:rFonts w:ascii="Trebuchet MS" w:eastAsiaTheme="minorEastAsia" w:hAnsi="Trebuchet MS" w:cs="Times New Roman"/>
          <w:b/>
          <w:bCs/>
          <w:color w:val="C00000"/>
          <w:sz w:val="28"/>
          <w:szCs w:val="28"/>
          <w:lang w:val="fr-FR"/>
        </w:rPr>
        <w:t xml:space="preserve">8. </w:t>
      </w:r>
      <w:r w:rsidR="00BD4599" w:rsidRPr="008D3931">
        <w:rPr>
          <w:rFonts w:ascii="Trebuchet MS" w:eastAsiaTheme="minorEastAsia" w:hAnsi="Trebuchet MS" w:cs="Times New Roman"/>
          <w:b/>
          <w:bCs/>
          <w:color w:val="C00000"/>
          <w:sz w:val="28"/>
          <w:szCs w:val="28"/>
          <w:lang w:val="fr-FR"/>
        </w:rPr>
        <w:t xml:space="preserve">PROPOSITION DE PRODUITS DU PROGRAMME RÉGIONAL DE RHS 2022-2023  </w:t>
      </w:r>
    </w:p>
    <w:tbl>
      <w:tblPr>
        <w:tblStyle w:val="TableGrid"/>
        <w:tblW w:w="10207" w:type="dxa"/>
        <w:tblInd w:w="-289" w:type="dxa"/>
        <w:tblLook w:val="04A0" w:firstRow="1" w:lastRow="0" w:firstColumn="1" w:lastColumn="0" w:noHBand="0" w:noVBand="1"/>
      </w:tblPr>
      <w:tblGrid>
        <w:gridCol w:w="3331"/>
        <w:gridCol w:w="3474"/>
        <w:gridCol w:w="2126"/>
        <w:gridCol w:w="1276"/>
      </w:tblGrid>
      <w:tr w:rsidR="000C48FD" w:rsidRPr="00C83349" w:rsidTr="000C48FD">
        <w:trPr>
          <w:tblHeader/>
        </w:trPr>
        <w:tc>
          <w:tcPr>
            <w:tcW w:w="3331" w:type="dxa"/>
            <w:shd w:val="clear" w:color="auto" w:fill="D5DCE4" w:themeFill="text2" w:themeFillTint="33"/>
            <w:vAlign w:val="center"/>
          </w:tcPr>
          <w:p w:rsidR="000C48FD" w:rsidRPr="00C83349" w:rsidRDefault="000C48FD" w:rsidP="000C48FD">
            <w:pPr>
              <w:rPr>
                <w:rFonts w:cstheme="minorHAnsi"/>
                <w:b/>
                <w:bCs/>
                <w:color w:val="833C0B" w:themeColor="accent2" w:themeShade="80"/>
                <w:sz w:val="20"/>
                <w:szCs w:val="20"/>
              </w:rPr>
            </w:pPr>
            <w:r w:rsidRPr="00C83349">
              <w:rPr>
                <w:rFonts w:ascii="Trebuchet MS" w:hAnsi="Trebuchet MS"/>
                <w:b/>
                <w:bCs/>
                <w:color w:val="833C0B" w:themeColor="accent2" w:themeShade="80"/>
              </w:rPr>
              <w:t>Area of focus</w:t>
            </w:r>
          </w:p>
        </w:tc>
        <w:tc>
          <w:tcPr>
            <w:tcW w:w="3474" w:type="dxa"/>
            <w:shd w:val="clear" w:color="auto" w:fill="D5DCE4" w:themeFill="text2" w:themeFillTint="33"/>
          </w:tcPr>
          <w:p w:rsidR="000C48FD" w:rsidRPr="00C83349" w:rsidRDefault="000C48FD" w:rsidP="000C48FD">
            <w:pPr>
              <w:rPr>
                <w:rFonts w:ascii="Trebuchet MS" w:hAnsi="Trebuchet MS"/>
                <w:b/>
                <w:bCs/>
                <w:color w:val="833C0B" w:themeColor="accent2" w:themeShade="80"/>
              </w:rPr>
            </w:pPr>
            <w:r w:rsidRPr="00C83349">
              <w:rPr>
                <w:rFonts w:ascii="Trebuchet MS" w:hAnsi="Trebuchet MS"/>
                <w:b/>
                <w:bCs/>
                <w:color w:val="833C0B" w:themeColor="accent2" w:themeShade="80"/>
              </w:rPr>
              <w:t>Specify your possible activities</w:t>
            </w:r>
          </w:p>
        </w:tc>
        <w:tc>
          <w:tcPr>
            <w:tcW w:w="2126" w:type="dxa"/>
            <w:shd w:val="clear" w:color="auto" w:fill="D5DCE4" w:themeFill="text2" w:themeFillTint="33"/>
          </w:tcPr>
          <w:p w:rsidR="000C48FD" w:rsidRPr="00C83349" w:rsidRDefault="000C48FD" w:rsidP="000C48FD">
            <w:pPr>
              <w:rPr>
                <w:rFonts w:ascii="Trebuchet MS" w:hAnsi="Trebuchet MS"/>
                <w:b/>
                <w:bCs/>
                <w:color w:val="833C0B" w:themeColor="accent2" w:themeShade="80"/>
              </w:rPr>
            </w:pPr>
            <w:r>
              <w:rPr>
                <w:rFonts w:ascii="Trebuchet MS" w:hAnsi="Trebuchet MS"/>
                <w:b/>
                <w:bCs/>
                <w:color w:val="833C0B" w:themeColor="accent2" w:themeShade="80"/>
              </w:rPr>
              <w:t>List of countries to be supported</w:t>
            </w:r>
          </w:p>
        </w:tc>
        <w:tc>
          <w:tcPr>
            <w:tcW w:w="1276" w:type="dxa"/>
            <w:shd w:val="clear" w:color="auto" w:fill="D5DCE4" w:themeFill="text2" w:themeFillTint="33"/>
          </w:tcPr>
          <w:p w:rsidR="000C48FD" w:rsidRPr="00C83349" w:rsidRDefault="000C48FD" w:rsidP="000C48FD">
            <w:pPr>
              <w:rPr>
                <w:rFonts w:ascii="Trebuchet MS" w:hAnsi="Trebuchet MS"/>
                <w:b/>
                <w:bCs/>
                <w:color w:val="833C0B" w:themeColor="accent2" w:themeShade="80"/>
              </w:rPr>
            </w:pPr>
            <w:r w:rsidRPr="00C83349">
              <w:rPr>
                <w:rFonts w:ascii="Trebuchet MS" w:hAnsi="Trebuchet MS"/>
                <w:b/>
                <w:bCs/>
                <w:color w:val="833C0B" w:themeColor="accent2" w:themeShade="80"/>
              </w:rPr>
              <w:t>Estimated cost in USD</w:t>
            </w:r>
          </w:p>
        </w:tc>
      </w:tr>
      <w:tr w:rsidR="000C48FD" w:rsidTr="000C48FD">
        <w:tc>
          <w:tcPr>
            <w:tcW w:w="6805" w:type="dxa"/>
            <w:gridSpan w:val="2"/>
            <w:shd w:val="clear" w:color="auto" w:fill="FBE4D5" w:themeFill="accent2" w:themeFillTint="33"/>
            <w:vAlign w:val="center"/>
          </w:tcPr>
          <w:p w:rsidR="000C48FD" w:rsidRDefault="000C48FD" w:rsidP="000C48FD">
            <w:pPr>
              <w:rPr>
                <w:rFonts w:ascii="Trebuchet MS" w:hAnsi="Trebuchet MS"/>
                <w:b/>
                <w:bCs/>
              </w:rPr>
            </w:pPr>
            <w:r w:rsidRPr="00C83349">
              <w:rPr>
                <w:rFonts w:cstheme="minorHAnsi"/>
                <w:b/>
                <w:bCs/>
                <w:color w:val="FFFFFF" w:themeColor="background1"/>
                <w:sz w:val="20"/>
                <w:szCs w:val="20"/>
                <w:shd w:val="clear" w:color="auto" w:fill="2F5496" w:themeFill="accent1" w:themeFillShade="BF"/>
              </w:rPr>
              <w:t>Top Task 1:</w:t>
            </w:r>
            <w:r w:rsidRPr="00C83349">
              <w:rPr>
                <w:rFonts w:cstheme="minorHAnsi"/>
                <w:b/>
                <w:bCs/>
                <w:color w:val="FFFFFF" w:themeColor="background1"/>
                <w:sz w:val="20"/>
                <w:szCs w:val="20"/>
              </w:rPr>
              <w:t xml:space="preserve"> </w:t>
            </w:r>
            <w:r>
              <w:rPr>
                <w:rFonts w:cstheme="minorHAnsi"/>
                <w:b/>
                <w:bCs/>
                <w:color w:val="833C0B" w:themeColor="accent2" w:themeShade="80"/>
                <w:sz w:val="20"/>
                <w:szCs w:val="20"/>
              </w:rPr>
              <w:t>Support provided to X countries for reviewing or d</w:t>
            </w:r>
            <w:r w:rsidRPr="00657614">
              <w:rPr>
                <w:rFonts w:cstheme="minorHAnsi"/>
                <w:b/>
                <w:bCs/>
                <w:color w:val="833C0B" w:themeColor="accent2" w:themeShade="80"/>
                <w:sz w:val="20"/>
                <w:szCs w:val="20"/>
              </w:rPr>
              <w:t>eveloping transformative strategies for scaling-up quantity and quality of health workers, including competency-based curricula development and reviews</w:t>
            </w:r>
          </w:p>
        </w:tc>
        <w:tc>
          <w:tcPr>
            <w:tcW w:w="2126" w:type="dxa"/>
            <w:shd w:val="clear" w:color="auto" w:fill="FBE4D5" w:themeFill="accent2" w:themeFillTint="33"/>
          </w:tcPr>
          <w:p w:rsidR="000C48FD" w:rsidRDefault="000C48FD" w:rsidP="000C48FD">
            <w:pPr>
              <w:rPr>
                <w:rFonts w:ascii="Trebuchet MS" w:hAnsi="Trebuchet MS"/>
                <w:b/>
                <w:bCs/>
              </w:rPr>
            </w:pPr>
          </w:p>
        </w:tc>
        <w:tc>
          <w:tcPr>
            <w:tcW w:w="1276" w:type="dxa"/>
            <w:shd w:val="clear" w:color="auto" w:fill="FBE4D5" w:themeFill="accent2" w:themeFillTint="33"/>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7"/>
              </w:numPr>
              <w:rPr>
                <w:rFonts w:ascii="Trebuchet MS" w:hAnsi="Trebuchet MS"/>
                <w:b/>
                <w:bCs/>
              </w:rPr>
            </w:pPr>
            <w:r w:rsidRPr="00303A4D">
              <w:rPr>
                <w:rFonts w:cstheme="minorHAnsi"/>
                <w:b/>
                <w:bCs/>
                <w:color w:val="833C0B" w:themeColor="accent2" w:themeShade="80"/>
                <w:sz w:val="20"/>
                <w:szCs w:val="20"/>
              </w:rPr>
              <w:t>Lower Task 1</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7"/>
              </w:numPr>
              <w:rPr>
                <w:rFonts w:ascii="Trebuchet MS" w:hAnsi="Trebuchet MS"/>
                <w:b/>
                <w:bCs/>
              </w:rPr>
            </w:pPr>
            <w:r w:rsidRPr="00303A4D">
              <w:rPr>
                <w:rFonts w:cstheme="minorHAnsi"/>
                <w:b/>
                <w:bCs/>
                <w:color w:val="833C0B" w:themeColor="accent2" w:themeShade="80"/>
                <w:sz w:val="20"/>
                <w:szCs w:val="20"/>
              </w:rPr>
              <w:t>Lower Task 2</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7"/>
              </w:numPr>
              <w:rPr>
                <w:rFonts w:ascii="Trebuchet MS" w:hAnsi="Trebuchet MS"/>
                <w:b/>
                <w:bCs/>
              </w:rPr>
            </w:pPr>
            <w:r w:rsidRPr="00303A4D">
              <w:rPr>
                <w:rFonts w:cstheme="minorHAnsi"/>
                <w:b/>
                <w:bCs/>
                <w:color w:val="833C0B" w:themeColor="accent2" w:themeShade="80"/>
                <w:sz w:val="20"/>
                <w:szCs w:val="20"/>
              </w:rPr>
              <w:t>Lower Task 3</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7"/>
              </w:numPr>
              <w:rPr>
                <w:rFonts w:ascii="Trebuchet MS" w:hAnsi="Trebuchet MS"/>
                <w:b/>
                <w:bCs/>
              </w:rPr>
            </w:pPr>
            <w:r w:rsidRPr="00303A4D">
              <w:rPr>
                <w:rFonts w:cstheme="minorHAnsi"/>
                <w:b/>
                <w:bCs/>
                <w:color w:val="833C0B" w:themeColor="accent2" w:themeShade="80"/>
                <w:sz w:val="20"/>
                <w:szCs w:val="20"/>
              </w:rPr>
              <w:t>Lower Task 5</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rPr>
          <w:trHeight w:val="410"/>
        </w:trPr>
        <w:tc>
          <w:tcPr>
            <w:tcW w:w="6805" w:type="dxa"/>
            <w:gridSpan w:val="2"/>
            <w:shd w:val="clear" w:color="auto" w:fill="FBE4D5" w:themeFill="accent2" w:themeFillTint="33"/>
            <w:vAlign w:val="center"/>
          </w:tcPr>
          <w:p w:rsidR="000C48FD" w:rsidRDefault="000C48FD" w:rsidP="000C48FD">
            <w:pPr>
              <w:rPr>
                <w:rFonts w:ascii="Trebuchet MS" w:hAnsi="Trebuchet MS"/>
                <w:b/>
                <w:bCs/>
              </w:rPr>
            </w:pPr>
            <w:r w:rsidRPr="00C83349">
              <w:rPr>
                <w:rFonts w:cstheme="minorHAnsi"/>
                <w:b/>
                <w:bCs/>
                <w:color w:val="FFFFFF" w:themeColor="background1"/>
                <w:sz w:val="20"/>
                <w:szCs w:val="20"/>
                <w:shd w:val="clear" w:color="auto" w:fill="2F5496" w:themeFill="accent1" w:themeFillShade="BF"/>
              </w:rPr>
              <w:t xml:space="preserve">Top Task </w:t>
            </w:r>
            <w:r>
              <w:rPr>
                <w:rFonts w:cstheme="minorHAnsi"/>
                <w:b/>
                <w:bCs/>
                <w:color w:val="FFFFFF" w:themeColor="background1"/>
                <w:sz w:val="20"/>
                <w:szCs w:val="20"/>
                <w:shd w:val="clear" w:color="auto" w:fill="2F5496" w:themeFill="accent1" w:themeFillShade="BF"/>
              </w:rPr>
              <w:t xml:space="preserve">2 </w:t>
            </w:r>
            <w:r w:rsidRPr="00C83349">
              <w:rPr>
                <w:rFonts w:cstheme="minorHAnsi"/>
                <w:b/>
                <w:bCs/>
                <w:color w:val="FFFFFF" w:themeColor="background1"/>
                <w:sz w:val="20"/>
                <w:szCs w:val="20"/>
                <w:shd w:val="clear" w:color="auto" w:fill="2F5496" w:themeFill="accent1" w:themeFillShade="BF"/>
              </w:rPr>
              <w:t>:</w:t>
            </w:r>
            <w:r w:rsidRPr="00C83349">
              <w:rPr>
                <w:rFonts w:cstheme="minorHAnsi"/>
                <w:b/>
                <w:bCs/>
                <w:color w:val="FFFFFF" w:themeColor="background1"/>
                <w:sz w:val="20"/>
                <w:szCs w:val="20"/>
              </w:rPr>
              <w:t xml:space="preserve"> </w:t>
            </w:r>
            <w:r>
              <w:rPr>
                <w:rFonts w:cstheme="minorHAnsi"/>
                <w:b/>
                <w:bCs/>
                <w:color w:val="833C0B" w:themeColor="accent2" w:themeShade="80"/>
                <w:sz w:val="20"/>
                <w:szCs w:val="20"/>
              </w:rPr>
              <w:t>Support provided to X countries for b</w:t>
            </w:r>
            <w:r w:rsidRPr="00C83349">
              <w:rPr>
                <w:rFonts w:cstheme="minorHAnsi"/>
                <w:b/>
                <w:bCs/>
                <w:color w:val="833C0B" w:themeColor="accent2" w:themeShade="80"/>
                <w:sz w:val="20"/>
                <w:szCs w:val="20"/>
              </w:rPr>
              <w:t>uilding planning capacity to develop or improve HRH policy and strategies</w:t>
            </w:r>
            <w:r>
              <w:rPr>
                <w:rFonts w:cstheme="minorHAnsi"/>
                <w:b/>
                <w:bCs/>
                <w:color w:val="833C0B" w:themeColor="accent2" w:themeShade="80"/>
                <w:sz w:val="20"/>
                <w:szCs w:val="20"/>
              </w:rPr>
              <w:t xml:space="preserve"> or </w:t>
            </w:r>
            <w:r w:rsidRPr="00657614">
              <w:rPr>
                <w:rFonts w:cstheme="minorHAnsi"/>
                <w:b/>
                <w:bCs/>
                <w:color w:val="833C0B" w:themeColor="accent2" w:themeShade="80"/>
                <w:sz w:val="20"/>
                <w:szCs w:val="20"/>
              </w:rPr>
              <w:t xml:space="preserve">investment case/plan </w:t>
            </w:r>
            <w:r>
              <w:rPr>
                <w:rFonts w:cstheme="minorHAnsi"/>
                <w:b/>
                <w:bCs/>
                <w:color w:val="833C0B" w:themeColor="accent2" w:themeShade="80"/>
                <w:sz w:val="20"/>
                <w:szCs w:val="20"/>
              </w:rPr>
              <w:t>development</w:t>
            </w:r>
            <w:r w:rsidRPr="00657614">
              <w:rPr>
                <w:rFonts w:cstheme="minorHAnsi"/>
                <w:b/>
                <w:bCs/>
                <w:color w:val="833C0B" w:themeColor="accent2" w:themeShade="80"/>
                <w:sz w:val="20"/>
                <w:szCs w:val="20"/>
              </w:rPr>
              <w:t xml:space="preserve"> as a component of health financing and investment towards UHC and SDGs</w:t>
            </w:r>
          </w:p>
        </w:tc>
        <w:tc>
          <w:tcPr>
            <w:tcW w:w="2126" w:type="dxa"/>
            <w:shd w:val="clear" w:color="auto" w:fill="FBE4D5" w:themeFill="accent2" w:themeFillTint="33"/>
          </w:tcPr>
          <w:p w:rsidR="000C48FD" w:rsidRDefault="000C48FD" w:rsidP="000C48FD">
            <w:pPr>
              <w:rPr>
                <w:rFonts w:ascii="Trebuchet MS" w:hAnsi="Trebuchet MS"/>
                <w:b/>
                <w:bCs/>
              </w:rPr>
            </w:pPr>
          </w:p>
        </w:tc>
        <w:tc>
          <w:tcPr>
            <w:tcW w:w="1276" w:type="dxa"/>
            <w:shd w:val="clear" w:color="auto" w:fill="FBE4D5" w:themeFill="accent2" w:themeFillTint="33"/>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6"/>
              </w:numPr>
              <w:rPr>
                <w:rFonts w:ascii="Trebuchet MS" w:hAnsi="Trebuchet MS"/>
                <w:b/>
                <w:bCs/>
              </w:rPr>
            </w:pPr>
            <w:r w:rsidRPr="00303A4D">
              <w:rPr>
                <w:rFonts w:cstheme="minorHAnsi"/>
                <w:b/>
                <w:bCs/>
                <w:color w:val="833C0B" w:themeColor="accent2" w:themeShade="80"/>
                <w:sz w:val="20"/>
                <w:szCs w:val="20"/>
              </w:rPr>
              <w:t>Lower Task 1</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6"/>
              </w:numPr>
              <w:rPr>
                <w:rFonts w:ascii="Trebuchet MS" w:hAnsi="Trebuchet MS"/>
                <w:b/>
                <w:bCs/>
              </w:rPr>
            </w:pPr>
            <w:r w:rsidRPr="00303A4D">
              <w:rPr>
                <w:rFonts w:cstheme="minorHAnsi"/>
                <w:b/>
                <w:bCs/>
                <w:color w:val="833C0B" w:themeColor="accent2" w:themeShade="80"/>
                <w:sz w:val="20"/>
                <w:szCs w:val="20"/>
              </w:rPr>
              <w:t>Lower Task 2</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6"/>
              </w:numPr>
              <w:rPr>
                <w:rFonts w:ascii="Trebuchet MS" w:hAnsi="Trebuchet MS"/>
                <w:b/>
                <w:bCs/>
              </w:rPr>
            </w:pPr>
            <w:r w:rsidRPr="00303A4D">
              <w:rPr>
                <w:rFonts w:cstheme="minorHAnsi"/>
                <w:b/>
                <w:bCs/>
                <w:color w:val="833C0B" w:themeColor="accent2" w:themeShade="80"/>
                <w:sz w:val="20"/>
                <w:szCs w:val="20"/>
              </w:rPr>
              <w:t>Lower Task 3</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6"/>
              </w:numPr>
              <w:rPr>
                <w:rFonts w:ascii="Trebuchet MS" w:hAnsi="Trebuchet MS"/>
                <w:b/>
                <w:bCs/>
              </w:rPr>
            </w:pPr>
            <w:r w:rsidRPr="00303A4D">
              <w:rPr>
                <w:rFonts w:cstheme="minorHAnsi"/>
                <w:b/>
                <w:bCs/>
                <w:color w:val="833C0B" w:themeColor="accent2" w:themeShade="80"/>
                <w:sz w:val="20"/>
                <w:szCs w:val="20"/>
              </w:rPr>
              <w:t>Lower Task 5</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shd w:val="clear" w:color="auto" w:fill="FBE4D5" w:themeFill="accent2" w:themeFillTint="33"/>
            <w:vAlign w:val="center"/>
          </w:tcPr>
          <w:p w:rsidR="000C48FD" w:rsidRDefault="000C48FD" w:rsidP="000C48FD">
            <w:pPr>
              <w:rPr>
                <w:rFonts w:ascii="Trebuchet MS" w:hAnsi="Trebuchet MS"/>
                <w:b/>
                <w:bCs/>
              </w:rPr>
            </w:pPr>
            <w:r w:rsidRPr="00C83349">
              <w:rPr>
                <w:rFonts w:cstheme="minorHAnsi"/>
                <w:b/>
                <w:bCs/>
                <w:color w:val="FFFFFF" w:themeColor="background1"/>
                <w:sz w:val="20"/>
                <w:szCs w:val="20"/>
                <w:shd w:val="clear" w:color="auto" w:fill="2F5496" w:themeFill="accent1" w:themeFillShade="BF"/>
              </w:rPr>
              <w:t xml:space="preserve">Top Task </w:t>
            </w:r>
            <w:r>
              <w:rPr>
                <w:rFonts w:cstheme="minorHAnsi"/>
                <w:b/>
                <w:bCs/>
                <w:color w:val="FFFFFF" w:themeColor="background1"/>
                <w:sz w:val="20"/>
                <w:szCs w:val="20"/>
                <w:shd w:val="clear" w:color="auto" w:fill="2F5496" w:themeFill="accent1" w:themeFillShade="BF"/>
              </w:rPr>
              <w:t xml:space="preserve">3 </w:t>
            </w:r>
            <w:r w:rsidRPr="00C83349">
              <w:rPr>
                <w:rFonts w:cstheme="minorHAnsi"/>
                <w:b/>
                <w:bCs/>
                <w:color w:val="FFFFFF" w:themeColor="background1"/>
                <w:sz w:val="20"/>
                <w:szCs w:val="20"/>
                <w:shd w:val="clear" w:color="auto" w:fill="2F5496" w:themeFill="accent1" w:themeFillShade="BF"/>
              </w:rPr>
              <w:t>:</w:t>
            </w:r>
            <w:r w:rsidRPr="00C83349">
              <w:rPr>
                <w:rFonts w:cstheme="minorHAnsi"/>
                <w:b/>
                <w:bCs/>
                <w:color w:val="FFFFFF" w:themeColor="background1"/>
                <w:sz w:val="20"/>
                <w:szCs w:val="20"/>
              </w:rPr>
              <w:t xml:space="preserve"> </w:t>
            </w:r>
            <w:r>
              <w:rPr>
                <w:rFonts w:cstheme="minorHAnsi"/>
                <w:b/>
                <w:bCs/>
                <w:color w:val="833C0B" w:themeColor="accent2" w:themeShade="80"/>
                <w:sz w:val="20"/>
                <w:szCs w:val="20"/>
              </w:rPr>
              <w:t>Support provided to X countries</w:t>
            </w:r>
            <w:r w:rsidRPr="00657614">
              <w:rPr>
                <w:rFonts w:cstheme="minorHAnsi"/>
                <w:b/>
                <w:bCs/>
                <w:color w:val="833C0B" w:themeColor="accent2" w:themeShade="80"/>
                <w:sz w:val="20"/>
                <w:szCs w:val="20"/>
              </w:rPr>
              <w:t xml:space="preserve"> </w:t>
            </w:r>
            <w:r>
              <w:rPr>
                <w:rFonts w:cstheme="minorHAnsi"/>
                <w:b/>
                <w:bCs/>
                <w:color w:val="833C0B" w:themeColor="accent2" w:themeShade="80"/>
                <w:sz w:val="20"/>
                <w:szCs w:val="20"/>
              </w:rPr>
              <w:t>for o</w:t>
            </w:r>
            <w:r w:rsidRPr="00657614">
              <w:rPr>
                <w:rFonts w:cstheme="minorHAnsi"/>
                <w:b/>
                <w:bCs/>
                <w:color w:val="833C0B" w:themeColor="accent2" w:themeShade="80"/>
                <w:sz w:val="20"/>
                <w:szCs w:val="20"/>
              </w:rPr>
              <w:t>ptimizing health worker retention</w:t>
            </w:r>
            <w:r>
              <w:rPr>
                <w:rFonts w:cstheme="minorHAnsi"/>
                <w:b/>
                <w:bCs/>
                <w:color w:val="833C0B" w:themeColor="accent2" w:themeShade="80"/>
                <w:sz w:val="20"/>
                <w:szCs w:val="20"/>
              </w:rPr>
              <w:t xml:space="preserve"> strategies</w:t>
            </w:r>
            <w:r w:rsidRPr="00657614">
              <w:rPr>
                <w:rFonts w:cstheme="minorHAnsi"/>
                <w:b/>
                <w:bCs/>
                <w:color w:val="833C0B" w:themeColor="accent2" w:themeShade="80"/>
                <w:sz w:val="20"/>
                <w:szCs w:val="20"/>
              </w:rPr>
              <w:t>, equitable distribution and performance</w:t>
            </w:r>
            <w:r w:rsidRPr="00BC4A75">
              <w:rPr>
                <w:rFonts w:cstheme="minorHAnsi"/>
                <w:b/>
                <w:bCs/>
                <w:color w:val="833C0B" w:themeColor="accent2" w:themeShade="80"/>
                <w:sz w:val="20"/>
                <w:szCs w:val="20"/>
              </w:rPr>
              <w:t xml:space="preserve"> </w:t>
            </w:r>
            <w:r>
              <w:rPr>
                <w:rFonts w:cstheme="minorHAnsi"/>
                <w:b/>
                <w:bCs/>
                <w:color w:val="833C0B" w:themeColor="accent2" w:themeShade="80"/>
                <w:sz w:val="20"/>
                <w:szCs w:val="20"/>
              </w:rPr>
              <w:t xml:space="preserve">including </w:t>
            </w:r>
            <w:r w:rsidRPr="00BC4A75">
              <w:rPr>
                <w:rFonts w:cstheme="minorHAnsi"/>
                <w:b/>
                <w:bCs/>
                <w:color w:val="833C0B" w:themeColor="accent2" w:themeShade="80"/>
                <w:sz w:val="20"/>
                <w:szCs w:val="20"/>
              </w:rPr>
              <w:t>effectiveness of Community Health Workers (CHWs) programmes</w:t>
            </w:r>
          </w:p>
        </w:tc>
        <w:tc>
          <w:tcPr>
            <w:tcW w:w="2126" w:type="dxa"/>
            <w:shd w:val="clear" w:color="auto" w:fill="FBE4D5" w:themeFill="accent2" w:themeFillTint="33"/>
          </w:tcPr>
          <w:p w:rsidR="000C48FD" w:rsidRDefault="000C48FD" w:rsidP="000C48FD">
            <w:pPr>
              <w:rPr>
                <w:rFonts w:ascii="Trebuchet MS" w:hAnsi="Trebuchet MS"/>
                <w:b/>
                <w:bCs/>
              </w:rPr>
            </w:pPr>
          </w:p>
        </w:tc>
        <w:tc>
          <w:tcPr>
            <w:tcW w:w="1276" w:type="dxa"/>
            <w:shd w:val="clear" w:color="auto" w:fill="FBE4D5" w:themeFill="accent2" w:themeFillTint="33"/>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5"/>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1</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5"/>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2</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5"/>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3</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5"/>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5</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shd w:val="clear" w:color="auto" w:fill="FBE4D5" w:themeFill="accent2" w:themeFillTint="33"/>
            <w:vAlign w:val="center"/>
          </w:tcPr>
          <w:p w:rsidR="000C48FD" w:rsidRPr="00BC4A75" w:rsidRDefault="000C48FD" w:rsidP="000C48FD">
            <w:pPr>
              <w:rPr>
                <w:rFonts w:ascii="Trebuchet MS" w:hAnsi="Trebuchet MS"/>
                <w:b/>
                <w:bCs/>
              </w:rPr>
            </w:pPr>
            <w:r w:rsidRPr="00C83349">
              <w:rPr>
                <w:rFonts w:cstheme="minorHAnsi"/>
                <w:b/>
                <w:bCs/>
                <w:color w:val="FFFFFF" w:themeColor="background1"/>
                <w:sz w:val="20"/>
                <w:szCs w:val="20"/>
                <w:shd w:val="clear" w:color="auto" w:fill="2F5496" w:themeFill="accent1" w:themeFillShade="BF"/>
              </w:rPr>
              <w:t xml:space="preserve">Top Task </w:t>
            </w:r>
            <w:r>
              <w:rPr>
                <w:rFonts w:cstheme="minorHAnsi"/>
                <w:b/>
                <w:bCs/>
                <w:color w:val="FFFFFF" w:themeColor="background1"/>
                <w:sz w:val="20"/>
                <w:szCs w:val="20"/>
                <w:shd w:val="clear" w:color="auto" w:fill="2F5496" w:themeFill="accent1" w:themeFillShade="BF"/>
              </w:rPr>
              <w:t xml:space="preserve">4 </w:t>
            </w:r>
            <w:r w:rsidRPr="00C83349">
              <w:rPr>
                <w:rFonts w:cstheme="minorHAnsi"/>
                <w:b/>
                <w:bCs/>
                <w:color w:val="FFFFFF" w:themeColor="background1"/>
                <w:sz w:val="20"/>
                <w:szCs w:val="20"/>
                <w:shd w:val="clear" w:color="auto" w:fill="2F5496" w:themeFill="accent1" w:themeFillShade="BF"/>
              </w:rPr>
              <w:t>:</w:t>
            </w:r>
            <w:r w:rsidRPr="00C83349">
              <w:rPr>
                <w:rFonts w:cstheme="minorHAnsi"/>
                <w:b/>
                <w:bCs/>
                <w:color w:val="FFFFFF" w:themeColor="background1"/>
                <w:sz w:val="20"/>
                <w:szCs w:val="20"/>
              </w:rPr>
              <w:t xml:space="preserve"> </w:t>
            </w:r>
            <w:r>
              <w:rPr>
                <w:rFonts w:cstheme="minorHAnsi"/>
                <w:b/>
                <w:bCs/>
                <w:color w:val="FFFFFF" w:themeColor="background1"/>
                <w:sz w:val="20"/>
                <w:szCs w:val="20"/>
              </w:rPr>
              <w:t xml:space="preserve"> </w:t>
            </w:r>
            <w:r>
              <w:rPr>
                <w:rFonts w:cstheme="minorHAnsi"/>
                <w:b/>
                <w:bCs/>
                <w:color w:val="833C0B" w:themeColor="accent2" w:themeShade="80"/>
                <w:sz w:val="20"/>
                <w:szCs w:val="20"/>
              </w:rPr>
              <w:t>Support provided to X countries for s</w:t>
            </w:r>
            <w:r w:rsidRPr="00C83349">
              <w:rPr>
                <w:rFonts w:cstheme="minorHAnsi"/>
                <w:b/>
                <w:bCs/>
                <w:color w:val="833C0B" w:themeColor="accent2" w:themeShade="80"/>
              </w:rPr>
              <w:t>trengthening HRH information systems</w:t>
            </w:r>
            <w:r>
              <w:rPr>
                <w:rFonts w:cstheme="minorHAnsi"/>
                <w:b/>
                <w:bCs/>
                <w:color w:val="833C0B" w:themeColor="accent2" w:themeShade="80"/>
              </w:rPr>
              <w:t xml:space="preserve">, registries </w:t>
            </w:r>
            <w:r w:rsidRPr="00C83349">
              <w:rPr>
                <w:rFonts w:cstheme="minorHAnsi"/>
                <w:b/>
                <w:bCs/>
                <w:color w:val="833C0B" w:themeColor="accent2" w:themeShade="80"/>
              </w:rPr>
              <w:t>National Health Workforce Accounts and National Health workforce Observator</w:t>
            </w:r>
            <w:r>
              <w:rPr>
                <w:rFonts w:cstheme="minorHAnsi"/>
                <w:b/>
                <w:bCs/>
                <w:color w:val="833C0B" w:themeColor="accent2" w:themeShade="80"/>
              </w:rPr>
              <w:t>ies</w:t>
            </w:r>
            <w:r w:rsidRPr="00C83349">
              <w:rPr>
                <w:rFonts w:cstheme="minorHAnsi"/>
                <w:b/>
                <w:bCs/>
                <w:color w:val="833C0B" w:themeColor="accent2" w:themeShade="80"/>
              </w:rPr>
              <w:t xml:space="preserve"> and building capacity </w:t>
            </w:r>
            <w:r>
              <w:rPr>
                <w:rFonts w:cstheme="minorHAnsi"/>
                <w:b/>
                <w:bCs/>
                <w:color w:val="833C0B" w:themeColor="accent2" w:themeShade="80"/>
              </w:rPr>
              <w:t xml:space="preserve">for their development, management and maintenance </w:t>
            </w:r>
          </w:p>
        </w:tc>
        <w:tc>
          <w:tcPr>
            <w:tcW w:w="2126" w:type="dxa"/>
            <w:shd w:val="clear" w:color="auto" w:fill="FBE4D5" w:themeFill="accent2" w:themeFillTint="33"/>
          </w:tcPr>
          <w:p w:rsidR="000C48FD" w:rsidRDefault="000C48FD" w:rsidP="000C48FD">
            <w:pPr>
              <w:rPr>
                <w:rFonts w:ascii="Trebuchet MS" w:hAnsi="Trebuchet MS"/>
                <w:b/>
                <w:bCs/>
              </w:rPr>
            </w:pPr>
          </w:p>
        </w:tc>
        <w:tc>
          <w:tcPr>
            <w:tcW w:w="1276" w:type="dxa"/>
            <w:shd w:val="clear" w:color="auto" w:fill="FBE4D5" w:themeFill="accent2" w:themeFillTint="33"/>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4"/>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1</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4"/>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2</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4"/>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3</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4"/>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5</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shd w:val="clear" w:color="auto" w:fill="FBE4D5" w:themeFill="accent2" w:themeFillTint="33"/>
            <w:vAlign w:val="center"/>
          </w:tcPr>
          <w:p w:rsidR="000C48FD" w:rsidRDefault="000C48FD" w:rsidP="000C48FD">
            <w:pPr>
              <w:rPr>
                <w:rFonts w:ascii="Trebuchet MS" w:hAnsi="Trebuchet MS"/>
                <w:b/>
                <w:bCs/>
              </w:rPr>
            </w:pPr>
            <w:r w:rsidRPr="00C83349">
              <w:rPr>
                <w:rFonts w:cstheme="minorHAnsi"/>
                <w:b/>
                <w:bCs/>
                <w:color w:val="FFFFFF" w:themeColor="background1"/>
                <w:sz w:val="20"/>
                <w:szCs w:val="20"/>
                <w:shd w:val="clear" w:color="auto" w:fill="2F5496" w:themeFill="accent1" w:themeFillShade="BF"/>
              </w:rPr>
              <w:t xml:space="preserve">Top Task </w:t>
            </w:r>
            <w:r>
              <w:rPr>
                <w:rFonts w:cstheme="minorHAnsi"/>
                <w:b/>
                <w:bCs/>
                <w:color w:val="FFFFFF" w:themeColor="background1"/>
                <w:sz w:val="20"/>
                <w:szCs w:val="20"/>
                <w:shd w:val="clear" w:color="auto" w:fill="2F5496" w:themeFill="accent1" w:themeFillShade="BF"/>
              </w:rPr>
              <w:t xml:space="preserve">5 </w:t>
            </w:r>
            <w:r w:rsidRPr="00C83349">
              <w:rPr>
                <w:rFonts w:cstheme="minorHAnsi"/>
                <w:b/>
                <w:bCs/>
                <w:color w:val="FFFFFF" w:themeColor="background1"/>
                <w:sz w:val="20"/>
                <w:szCs w:val="20"/>
                <w:shd w:val="clear" w:color="auto" w:fill="2F5496" w:themeFill="accent1" w:themeFillShade="BF"/>
              </w:rPr>
              <w:t>:</w:t>
            </w:r>
            <w:r w:rsidRPr="00C83349">
              <w:rPr>
                <w:rFonts w:cstheme="minorHAnsi"/>
                <w:b/>
                <w:bCs/>
                <w:color w:val="FFFFFF" w:themeColor="background1"/>
                <w:sz w:val="20"/>
                <w:szCs w:val="20"/>
              </w:rPr>
              <w:t xml:space="preserve"> </w:t>
            </w:r>
            <w:r>
              <w:rPr>
                <w:rFonts w:cstheme="minorHAnsi"/>
                <w:b/>
                <w:bCs/>
                <w:color w:val="833C0B" w:themeColor="accent2" w:themeShade="80"/>
                <w:sz w:val="20"/>
                <w:szCs w:val="20"/>
              </w:rPr>
              <w:t>Support provided to X countries</w:t>
            </w:r>
            <w:r w:rsidRPr="00C83349">
              <w:rPr>
                <w:rFonts w:cstheme="minorHAnsi"/>
                <w:b/>
                <w:bCs/>
                <w:color w:val="833C0B" w:themeColor="accent2" w:themeShade="80"/>
              </w:rPr>
              <w:t xml:space="preserve"> </w:t>
            </w:r>
            <w:r>
              <w:rPr>
                <w:rFonts w:cstheme="minorHAnsi"/>
                <w:b/>
                <w:bCs/>
                <w:color w:val="833C0B" w:themeColor="accent2" w:themeShade="80"/>
              </w:rPr>
              <w:t>for s</w:t>
            </w:r>
            <w:r w:rsidRPr="00C83349">
              <w:rPr>
                <w:rFonts w:cstheme="minorHAnsi"/>
                <w:b/>
                <w:bCs/>
                <w:color w:val="833C0B" w:themeColor="accent2" w:themeShade="80"/>
              </w:rPr>
              <w:t xml:space="preserve">trengthening the capacities of the HWF in emergency and disaster risk management including </w:t>
            </w:r>
            <w:r>
              <w:rPr>
                <w:rFonts w:cstheme="minorHAnsi"/>
                <w:b/>
                <w:bCs/>
                <w:color w:val="833C0B" w:themeColor="accent2" w:themeShade="80"/>
              </w:rPr>
              <w:t xml:space="preserve">Health worker protection and </w:t>
            </w:r>
            <w:r w:rsidRPr="00C83349">
              <w:rPr>
                <w:rFonts w:cstheme="minorHAnsi"/>
                <w:b/>
                <w:bCs/>
                <w:color w:val="833C0B" w:themeColor="accent2" w:themeShade="80"/>
              </w:rPr>
              <w:t>integration of HWF planning and management in emergency preparedness, response and recovery</w:t>
            </w:r>
          </w:p>
        </w:tc>
        <w:tc>
          <w:tcPr>
            <w:tcW w:w="2126" w:type="dxa"/>
            <w:shd w:val="clear" w:color="auto" w:fill="FBE4D5" w:themeFill="accent2" w:themeFillTint="33"/>
          </w:tcPr>
          <w:p w:rsidR="000C48FD" w:rsidRDefault="000C48FD" w:rsidP="000C48FD">
            <w:pPr>
              <w:rPr>
                <w:rFonts w:ascii="Trebuchet MS" w:hAnsi="Trebuchet MS"/>
                <w:b/>
                <w:bCs/>
              </w:rPr>
            </w:pPr>
          </w:p>
        </w:tc>
        <w:tc>
          <w:tcPr>
            <w:tcW w:w="1276" w:type="dxa"/>
            <w:shd w:val="clear" w:color="auto" w:fill="FBE4D5" w:themeFill="accent2" w:themeFillTint="33"/>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3"/>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1</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3"/>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2</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3"/>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3</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Tr="000C48FD">
        <w:tc>
          <w:tcPr>
            <w:tcW w:w="6805" w:type="dxa"/>
            <w:gridSpan w:val="2"/>
            <w:vAlign w:val="center"/>
          </w:tcPr>
          <w:p w:rsidR="000C48FD" w:rsidRPr="00303A4D" w:rsidRDefault="000C48FD" w:rsidP="000C48FD">
            <w:pPr>
              <w:pStyle w:val="ListParagraph"/>
              <w:numPr>
                <w:ilvl w:val="0"/>
                <w:numId w:val="23"/>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5</w:t>
            </w:r>
          </w:p>
        </w:tc>
        <w:tc>
          <w:tcPr>
            <w:tcW w:w="2126" w:type="dxa"/>
          </w:tcPr>
          <w:p w:rsidR="000C48FD" w:rsidRDefault="000C48FD" w:rsidP="000C48FD">
            <w:pPr>
              <w:rPr>
                <w:rFonts w:ascii="Trebuchet MS" w:hAnsi="Trebuchet MS"/>
                <w:b/>
                <w:bCs/>
              </w:rPr>
            </w:pPr>
          </w:p>
        </w:tc>
        <w:tc>
          <w:tcPr>
            <w:tcW w:w="1276" w:type="dxa"/>
          </w:tcPr>
          <w:p w:rsidR="000C48FD" w:rsidRDefault="000C48FD" w:rsidP="000C48FD">
            <w:pPr>
              <w:rPr>
                <w:rFonts w:ascii="Trebuchet MS" w:hAnsi="Trebuchet MS"/>
                <w:b/>
                <w:bCs/>
              </w:rPr>
            </w:pPr>
          </w:p>
        </w:tc>
      </w:tr>
      <w:tr w:rsidR="000C48FD" w:rsidRPr="00C83349" w:rsidTr="000C48FD">
        <w:tc>
          <w:tcPr>
            <w:tcW w:w="6805" w:type="dxa"/>
            <w:gridSpan w:val="2"/>
            <w:shd w:val="clear" w:color="auto" w:fill="FBE4D5" w:themeFill="accent2" w:themeFillTint="33"/>
            <w:vAlign w:val="center"/>
          </w:tcPr>
          <w:p w:rsidR="000C48FD" w:rsidRPr="00C83349" w:rsidRDefault="000C48FD" w:rsidP="000C48FD">
            <w:pPr>
              <w:rPr>
                <w:rFonts w:cstheme="minorHAnsi"/>
                <w:b/>
                <w:bCs/>
              </w:rPr>
            </w:pPr>
            <w:r w:rsidRPr="00C83349">
              <w:rPr>
                <w:rFonts w:cstheme="minorHAnsi"/>
                <w:b/>
                <w:bCs/>
                <w:color w:val="FFFFFF" w:themeColor="background1"/>
                <w:sz w:val="20"/>
                <w:szCs w:val="20"/>
                <w:shd w:val="clear" w:color="auto" w:fill="2F5496" w:themeFill="accent1" w:themeFillShade="BF"/>
              </w:rPr>
              <w:t xml:space="preserve">Top Task </w:t>
            </w:r>
            <w:r>
              <w:rPr>
                <w:rFonts w:cstheme="minorHAnsi"/>
                <w:b/>
                <w:bCs/>
                <w:color w:val="FFFFFF" w:themeColor="background1"/>
                <w:sz w:val="20"/>
                <w:szCs w:val="20"/>
                <w:shd w:val="clear" w:color="auto" w:fill="2F5496" w:themeFill="accent1" w:themeFillShade="BF"/>
              </w:rPr>
              <w:t xml:space="preserve">6 </w:t>
            </w:r>
            <w:r w:rsidRPr="00C83349">
              <w:rPr>
                <w:rFonts w:cstheme="minorHAnsi"/>
                <w:b/>
                <w:bCs/>
                <w:color w:val="FFFFFF" w:themeColor="background1"/>
                <w:sz w:val="20"/>
                <w:szCs w:val="20"/>
                <w:shd w:val="clear" w:color="auto" w:fill="2F5496" w:themeFill="accent1" w:themeFillShade="BF"/>
              </w:rPr>
              <w:t>:</w:t>
            </w:r>
            <w:r w:rsidRPr="00C83349">
              <w:rPr>
                <w:rFonts w:cstheme="minorHAnsi"/>
                <w:b/>
                <w:bCs/>
                <w:color w:val="FFFFFF" w:themeColor="background1"/>
                <w:sz w:val="20"/>
                <w:szCs w:val="20"/>
              </w:rPr>
              <w:t xml:space="preserve"> </w:t>
            </w:r>
            <w:r>
              <w:rPr>
                <w:rFonts w:cstheme="minorHAnsi"/>
                <w:b/>
                <w:bCs/>
                <w:color w:val="833C0B" w:themeColor="accent2" w:themeShade="80"/>
                <w:sz w:val="20"/>
                <w:szCs w:val="20"/>
              </w:rPr>
              <w:t>Support provided to X countries in the i</w:t>
            </w:r>
            <w:r w:rsidRPr="00C83349">
              <w:rPr>
                <w:rFonts w:cstheme="minorHAnsi"/>
                <w:b/>
                <w:bCs/>
                <w:color w:val="833C0B" w:themeColor="accent2" w:themeShade="80"/>
              </w:rPr>
              <w:t xml:space="preserve">mplementation of the specific </w:t>
            </w:r>
            <w:r>
              <w:rPr>
                <w:rFonts w:cstheme="minorHAnsi"/>
                <w:b/>
                <w:bCs/>
                <w:color w:val="833C0B" w:themeColor="accent2" w:themeShade="80"/>
              </w:rPr>
              <w:t xml:space="preserve">HWF </w:t>
            </w:r>
            <w:r w:rsidRPr="00C83349">
              <w:rPr>
                <w:rFonts w:cstheme="minorHAnsi"/>
                <w:b/>
                <w:bCs/>
                <w:color w:val="833C0B" w:themeColor="accent2" w:themeShade="80"/>
              </w:rPr>
              <w:t xml:space="preserve">programmes </w:t>
            </w:r>
            <w:r>
              <w:rPr>
                <w:rFonts w:cstheme="minorHAnsi"/>
                <w:b/>
                <w:bCs/>
                <w:color w:val="833C0B" w:themeColor="accent2" w:themeShade="80"/>
              </w:rPr>
              <w:t>or funded projects under UHC partnership</w:t>
            </w:r>
            <w:r w:rsidRPr="00C83349">
              <w:rPr>
                <w:rFonts w:cstheme="minorHAnsi"/>
                <w:b/>
                <w:bCs/>
                <w:color w:val="833C0B" w:themeColor="accent2" w:themeShade="80"/>
              </w:rPr>
              <w:t>.</w:t>
            </w:r>
          </w:p>
        </w:tc>
        <w:tc>
          <w:tcPr>
            <w:tcW w:w="2126" w:type="dxa"/>
            <w:shd w:val="clear" w:color="auto" w:fill="FBE4D5" w:themeFill="accent2" w:themeFillTint="33"/>
          </w:tcPr>
          <w:p w:rsidR="000C48FD" w:rsidRPr="00C83349" w:rsidRDefault="000C48FD" w:rsidP="000C48FD">
            <w:pPr>
              <w:rPr>
                <w:rFonts w:cstheme="minorHAnsi"/>
                <w:b/>
                <w:bCs/>
              </w:rPr>
            </w:pPr>
          </w:p>
        </w:tc>
        <w:tc>
          <w:tcPr>
            <w:tcW w:w="1276" w:type="dxa"/>
            <w:shd w:val="clear" w:color="auto" w:fill="FBE4D5" w:themeFill="accent2" w:themeFillTint="33"/>
          </w:tcPr>
          <w:p w:rsidR="000C48FD" w:rsidRPr="00C83349" w:rsidRDefault="000C48FD" w:rsidP="000C48FD">
            <w:pPr>
              <w:rPr>
                <w:rFonts w:cstheme="minorHAnsi"/>
                <w:b/>
                <w:bCs/>
              </w:rPr>
            </w:pPr>
          </w:p>
        </w:tc>
      </w:tr>
      <w:tr w:rsidR="000C48FD" w:rsidRPr="00C83349" w:rsidTr="000C48FD">
        <w:tc>
          <w:tcPr>
            <w:tcW w:w="6805" w:type="dxa"/>
            <w:gridSpan w:val="2"/>
            <w:vAlign w:val="center"/>
          </w:tcPr>
          <w:p w:rsidR="000C48FD" w:rsidRPr="00C83349" w:rsidRDefault="000C48FD" w:rsidP="000C48FD">
            <w:pPr>
              <w:rPr>
                <w:rFonts w:cstheme="minorHAnsi"/>
                <w:b/>
                <w:bCs/>
                <w:color w:val="833C0B" w:themeColor="accent2" w:themeShade="80"/>
              </w:rPr>
            </w:pPr>
            <w:r>
              <w:rPr>
                <w:rFonts w:cstheme="minorHAnsi"/>
                <w:b/>
                <w:bCs/>
                <w:color w:val="833C0B" w:themeColor="accent2" w:themeShade="80"/>
                <w:sz w:val="20"/>
                <w:szCs w:val="20"/>
              </w:rPr>
              <w:t>Lower Task 1</w:t>
            </w:r>
          </w:p>
        </w:tc>
        <w:tc>
          <w:tcPr>
            <w:tcW w:w="2126" w:type="dxa"/>
          </w:tcPr>
          <w:p w:rsidR="000C48FD" w:rsidRPr="00C83349" w:rsidRDefault="000C48FD" w:rsidP="000C48FD">
            <w:pPr>
              <w:rPr>
                <w:rFonts w:cstheme="minorHAnsi"/>
                <w:b/>
                <w:bCs/>
              </w:rPr>
            </w:pPr>
          </w:p>
        </w:tc>
        <w:tc>
          <w:tcPr>
            <w:tcW w:w="1276" w:type="dxa"/>
          </w:tcPr>
          <w:p w:rsidR="000C48FD" w:rsidRPr="00C83349" w:rsidRDefault="000C48FD" w:rsidP="000C48FD">
            <w:pPr>
              <w:rPr>
                <w:rFonts w:cstheme="minorHAnsi"/>
                <w:b/>
                <w:bCs/>
              </w:rPr>
            </w:pPr>
          </w:p>
        </w:tc>
      </w:tr>
      <w:tr w:rsidR="000C48FD" w:rsidRPr="00C83349" w:rsidTr="000C48FD">
        <w:tc>
          <w:tcPr>
            <w:tcW w:w="6805" w:type="dxa"/>
            <w:gridSpan w:val="2"/>
            <w:vAlign w:val="center"/>
          </w:tcPr>
          <w:p w:rsidR="000C48FD" w:rsidRPr="00C83349" w:rsidRDefault="000C48FD" w:rsidP="000C48FD">
            <w:pPr>
              <w:rPr>
                <w:rFonts w:cstheme="minorHAnsi"/>
                <w:b/>
                <w:bCs/>
                <w:color w:val="833C0B" w:themeColor="accent2" w:themeShade="80"/>
              </w:rPr>
            </w:pPr>
            <w:r>
              <w:rPr>
                <w:rFonts w:cstheme="minorHAnsi"/>
                <w:b/>
                <w:bCs/>
                <w:color w:val="833C0B" w:themeColor="accent2" w:themeShade="80"/>
                <w:sz w:val="20"/>
                <w:szCs w:val="20"/>
              </w:rPr>
              <w:t>Lower Task 2</w:t>
            </w:r>
          </w:p>
        </w:tc>
        <w:tc>
          <w:tcPr>
            <w:tcW w:w="2126" w:type="dxa"/>
          </w:tcPr>
          <w:p w:rsidR="000C48FD" w:rsidRPr="00C83349" w:rsidRDefault="000C48FD" w:rsidP="000C48FD">
            <w:pPr>
              <w:rPr>
                <w:rFonts w:cstheme="minorHAnsi"/>
                <w:b/>
                <w:bCs/>
              </w:rPr>
            </w:pPr>
          </w:p>
        </w:tc>
        <w:tc>
          <w:tcPr>
            <w:tcW w:w="1276" w:type="dxa"/>
          </w:tcPr>
          <w:p w:rsidR="000C48FD" w:rsidRPr="00C83349" w:rsidRDefault="000C48FD" w:rsidP="000C48FD">
            <w:pPr>
              <w:rPr>
                <w:rFonts w:cstheme="minorHAnsi"/>
                <w:b/>
                <w:bCs/>
              </w:rPr>
            </w:pPr>
          </w:p>
        </w:tc>
      </w:tr>
      <w:tr w:rsidR="000C48FD" w:rsidRPr="00C83349" w:rsidTr="000C48FD">
        <w:tc>
          <w:tcPr>
            <w:tcW w:w="6805" w:type="dxa"/>
            <w:gridSpan w:val="2"/>
            <w:vAlign w:val="center"/>
          </w:tcPr>
          <w:p w:rsidR="000C48FD" w:rsidRPr="00C83349" w:rsidRDefault="000C48FD" w:rsidP="000C48FD">
            <w:pPr>
              <w:rPr>
                <w:rFonts w:cstheme="minorHAnsi"/>
                <w:b/>
                <w:bCs/>
                <w:color w:val="833C0B" w:themeColor="accent2" w:themeShade="80"/>
              </w:rPr>
            </w:pPr>
            <w:r>
              <w:rPr>
                <w:rFonts w:cstheme="minorHAnsi"/>
                <w:b/>
                <w:bCs/>
                <w:color w:val="833C0B" w:themeColor="accent2" w:themeShade="80"/>
                <w:sz w:val="20"/>
                <w:szCs w:val="20"/>
              </w:rPr>
              <w:t>Lower Task 3</w:t>
            </w:r>
          </w:p>
        </w:tc>
        <w:tc>
          <w:tcPr>
            <w:tcW w:w="2126" w:type="dxa"/>
          </w:tcPr>
          <w:p w:rsidR="000C48FD" w:rsidRPr="00C83349" w:rsidRDefault="000C48FD" w:rsidP="000C48FD">
            <w:pPr>
              <w:rPr>
                <w:rFonts w:cstheme="minorHAnsi"/>
                <w:b/>
                <w:bCs/>
              </w:rPr>
            </w:pPr>
          </w:p>
        </w:tc>
        <w:tc>
          <w:tcPr>
            <w:tcW w:w="1276" w:type="dxa"/>
          </w:tcPr>
          <w:p w:rsidR="000C48FD" w:rsidRPr="00C83349" w:rsidRDefault="000C48FD" w:rsidP="000C48FD">
            <w:pPr>
              <w:rPr>
                <w:rFonts w:cstheme="minorHAnsi"/>
                <w:b/>
                <w:bCs/>
              </w:rPr>
            </w:pPr>
          </w:p>
        </w:tc>
      </w:tr>
      <w:tr w:rsidR="000C48FD" w:rsidRPr="00C83349" w:rsidTr="000C48FD">
        <w:tc>
          <w:tcPr>
            <w:tcW w:w="6805" w:type="dxa"/>
            <w:gridSpan w:val="2"/>
            <w:vAlign w:val="center"/>
          </w:tcPr>
          <w:p w:rsidR="000C48FD" w:rsidRPr="00C83349" w:rsidRDefault="000C48FD" w:rsidP="000C48FD">
            <w:pPr>
              <w:rPr>
                <w:rFonts w:cstheme="minorHAnsi"/>
                <w:b/>
                <w:bCs/>
                <w:color w:val="833C0B" w:themeColor="accent2" w:themeShade="80"/>
              </w:rPr>
            </w:pPr>
            <w:r>
              <w:rPr>
                <w:rFonts w:cstheme="minorHAnsi"/>
                <w:b/>
                <w:bCs/>
                <w:color w:val="833C0B" w:themeColor="accent2" w:themeShade="80"/>
                <w:sz w:val="20"/>
                <w:szCs w:val="20"/>
              </w:rPr>
              <w:t>Lower Task 5</w:t>
            </w:r>
          </w:p>
        </w:tc>
        <w:tc>
          <w:tcPr>
            <w:tcW w:w="2126" w:type="dxa"/>
          </w:tcPr>
          <w:p w:rsidR="000C48FD" w:rsidRPr="00C83349" w:rsidRDefault="000C48FD" w:rsidP="000C48FD">
            <w:pPr>
              <w:rPr>
                <w:rFonts w:cstheme="minorHAnsi"/>
                <w:b/>
                <w:bCs/>
              </w:rPr>
            </w:pPr>
          </w:p>
        </w:tc>
        <w:tc>
          <w:tcPr>
            <w:tcW w:w="1276" w:type="dxa"/>
          </w:tcPr>
          <w:p w:rsidR="000C48FD" w:rsidRPr="00C83349" w:rsidRDefault="000C48FD" w:rsidP="000C48FD">
            <w:pPr>
              <w:rPr>
                <w:rFonts w:cstheme="minorHAnsi"/>
                <w:b/>
                <w:bCs/>
              </w:rPr>
            </w:pPr>
          </w:p>
        </w:tc>
      </w:tr>
      <w:tr w:rsidR="000C48FD" w:rsidRPr="00C83349" w:rsidTr="000C48FD">
        <w:tc>
          <w:tcPr>
            <w:tcW w:w="6805" w:type="dxa"/>
            <w:gridSpan w:val="2"/>
            <w:shd w:val="clear" w:color="auto" w:fill="FBE4D5" w:themeFill="accent2" w:themeFillTint="33"/>
            <w:vAlign w:val="center"/>
          </w:tcPr>
          <w:p w:rsidR="000C48FD" w:rsidRPr="00C83349" w:rsidRDefault="000C48FD" w:rsidP="000C48FD">
            <w:pPr>
              <w:rPr>
                <w:rFonts w:cstheme="minorHAnsi"/>
                <w:b/>
                <w:bCs/>
              </w:rPr>
            </w:pPr>
            <w:r w:rsidRPr="00C83349">
              <w:rPr>
                <w:rFonts w:cstheme="minorHAnsi"/>
                <w:b/>
                <w:bCs/>
                <w:color w:val="FFFFFF" w:themeColor="background1"/>
                <w:sz w:val="20"/>
                <w:szCs w:val="20"/>
                <w:shd w:val="clear" w:color="auto" w:fill="2F5496" w:themeFill="accent1" w:themeFillShade="BF"/>
              </w:rPr>
              <w:t xml:space="preserve">Top Task </w:t>
            </w:r>
            <w:r>
              <w:rPr>
                <w:rFonts w:cstheme="minorHAnsi"/>
                <w:b/>
                <w:bCs/>
                <w:color w:val="FFFFFF" w:themeColor="background1"/>
                <w:sz w:val="20"/>
                <w:szCs w:val="20"/>
                <w:shd w:val="clear" w:color="auto" w:fill="2F5496" w:themeFill="accent1" w:themeFillShade="BF"/>
              </w:rPr>
              <w:t xml:space="preserve">7 </w:t>
            </w:r>
            <w:r w:rsidRPr="00C83349">
              <w:rPr>
                <w:rFonts w:cstheme="minorHAnsi"/>
                <w:b/>
                <w:bCs/>
                <w:color w:val="FFFFFF" w:themeColor="background1"/>
                <w:sz w:val="20"/>
                <w:szCs w:val="20"/>
                <w:shd w:val="clear" w:color="auto" w:fill="2F5496" w:themeFill="accent1" w:themeFillShade="BF"/>
              </w:rPr>
              <w:t>:</w:t>
            </w:r>
            <w:r w:rsidRPr="00C83349">
              <w:rPr>
                <w:rFonts w:cstheme="minorHAnsi"/>
                <w:b/>
                <w:bCs/>
                <w:color w:val="FFFFFF" w:themeColor="background1"/>
                <w:sz w:val="20"/>
                <w:szCs w:val="20"/>
              </w:rPr>
              <w:t xml:space="preserve"> </w:t>
            </w:r>
            <w:r w:rsidRPr="00FC23F6">
              <w:rPr>
                <w:rFonts w:cstheme="minorHAnsi"/>
                <w:b/>
                <w:bCs/>
                <w:color w:val="833C0B" w:themeColor="accent2" w:themeShade="80"/>
              </w:rPr>
              <w:t xml:space="preserve">Development of </w:t>
            </w:r>
            <w:r>
              <w:rPr>
                <w:rFonts w:cstheme="minorHAnsi"/>
                <w:b/>
                <w:bCs/>
                <w:color w:val="833C0B" w:themeColor="accent2" w:themeShade="80"/>
              </w:rPr>
              <w:t xml:space="preserve">at least five </w:t>
            </w:r>
            <w:r w:rsidRPr="00FC23F6">
              <w:rPr>
                <w:rFonts w:cstheme="minorHAnsi"/>
                <w:b/>
                <w:bCs/>
                <w:color w:val="833C0B" w:themeColor="accent2" w:themeShade="80"/>
              </w:rPr>
              <w:t xml:space="preserve">regional </w:t>
            </w:r>
            <w:r>
              <w:rPr>
                <w:rFonts w:cstheme="minorHAnsi"/>
                <w:b/>
                <w:bCs/>
                <w:color w:val="833C0B" w:themeColor="accent2" w:themeShade="80"/>
              </w:rPr>
              <w:t>technical products</w:t>
            </w:r>
            <w:r w:rsidRPr="00FC23F6">
              <w:rPr>
                <w:rFonts w:cstheme="minorHAnsi"/>
                <w:b/>
                <w:bCs/>
                <w:color w:val="833C0B" w:themeColor="accent2" w:themeShade="80"/>
              </w:rPr>
              <w:t xml:space="preserve"> to support countries in analyzing and implementing initiatives in </w:t>
            </w:r>
            <w:r>
              <w:rPr>
                <w:rFonts w:cstheme="minorHAnsi"/>
                <w:b/>
                <w:bCs/>
                <w:color w:val="833C0B" w:themeColor="accent2" w:themeShade="80"/>
              </w:rPr>
              <w:t>based on the regional</w:t>
            </w:r>
            <w:r w:rsidRPr="00FC23F6">
              <w:rPr>
                <w:rFonts w:cstheme="minorHAnsi"/>
                <w:b/>
                <w:bCs/>
                <w:color w:val="833C0B" w:themeColor="accent2" w:themeShade="80"/>
              </w:rPr>
              <w:t xml:space="preserve"> priorities</w:t>
            </w:r>
            <w:r>
              <w:rPr>
                <w:rFonts w:cstheme="minorHAnsi"/>
                <w:b/>
                <w:bCs/>
                <w:color w:val="833C0B" w:themeColor="accent2" w:themeShade="80"/>
              </w:rPr>
              <w:t xml:space="preserve"> on HWF</w:t>
            </w:r>
          </w:p>
        </w:tc>
        <w:tc>
          <w:tcPr>
            <w:tcW w:w="2126" w:type="dxa"/>
            <w:shd w:val="clear" w:color="auto" w:fill="FBE4D5" w:themeFill="accent2" w:themeFillTint="33"/>
          </w:tcPr>
          <w:p w:rsidR="000C48FD" w:rsidRPr="00C83349" w:rsidRDefault="000C48FD" w:rsidP="000C48FD">
            <w:pPr>
              <w:rPr>
                <w:rFonts w:cstheme="minorHAnsi"/>
                <w:b/>
                <w:bCs/>
              </w:rPr>
            </w:pPr>
          </w:p>
        </w:tc>
        <w:tc>
          <w:tcPr>
            <w:tcW w:w="1276" w:type="dxa"/>
            <w:shd w:val="clear" w:color="auto" w:fill="FBE4D5" w:themeFill="accent2" w:themeFillTint="33"/>
          </w:tcPr>
          <w:p w:rsidR="000C48FD" w:rsidRPr="00C83349" w:rsidRDefault="000C48FD" w:rsidP="000C48FD">
            <w:pPr>
              <w:rPr>
                <w:rFonts w:cstheme="minorHAnsi"/>
                <w:b/>
                <w:bCs/>
              </w:rPr>
            </w:pPr>
          </w:p>
        </w:tc>
      </w:tr>
      <w:tr w:rsidR="000C48FD" w:rsidRPr="00C83349" w:rsidTr="000C48FD">
        <w:tc>
          <w:tcPr>
            <w:tcW w:w="6805" w:type="dxa"/>
            <w:gridSpan w:val="2"/>
          </w:tcPr>
          <w:p w:rsidR="000C48FD" w:rsidRPr="00303A4D" w:rsidRDefault="000C48FD" w:rsidP="000C48FD">
            <w:pPr>
              <w:pStyle w:val="ListParagraph"/>
              <w:numPr>
                <w:ilvl w:val="0"/>
                <w:numId w:val="22"/>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1 : Revise regional guide on developing HRH policies and Plans</w:t>
            </w:r>
          </w:p>
        </w:tc>
        <w:tc>
          <w:tcPr>
            <w:tcW w:w="2126" w:type="dxa"/>
          </w:tcPr>
          <w:p w:rsidR="000C48FD" w:rsidRPr="00C83349" w:rsidRDefault="000C48FD" w:rsidP="000C48FD">
            <w:pPr>
              <w:rPr>
                <w:rFonts w:cstheme="minorHAnsi"/>
                <w:b/>
                <w:bCs/>
              </w:rPr>
            </w:pPr>
          </w:p>
        </w:tc>
        <w:tc>
          <w:tcPr>
            <w:tcW w:w="1276" w:type="dxa"/>
          </w:tcPr>
          <w:p w:rsidR="000C48FD" w:rsidRPr="00C83349" w:rsidRDefault="000C48FD" w:rsidP="000C48FD">
            <w:pPr>
              <w:rPr>
                <w:rFonts w:cstheme="minorHAnsi"/>
                <w:b/>
                <w:bCs/>
              </w:rPr>
            </w:pPr>
          </w:p>
        </w:tc>
      </w:tr>
      <w:tr w:rsidR="000C48FD" w:rsidRPr="00C83349" w:rsidTr="000C48FD">
        <w:tc>
          <w:tcPr>
            <w:tcW w:w="6805" w:type="dxa"/>
            <w:gridSpan w:val="2"/>
          </w:tcPr>
          <w:p w:rsidR="000C48FD" w:rsidRPr="00303A4D" w:rsidRDefault="000C48FD" w:rsidP="000C48FD">
            <w:pPr>
              <w:pStyle w:val="ListParagraph"/>
              <w:numPr>
                <w:ilvl w:val="0"/>
                <w:numId w:val="22"/>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2 : Conduct Case study on HHRIS  in selected countries in the region</w:t>
            </w:r>
          </w:p>
        </w:tc>
        <w:tc>
          <w:tcPr>
            <w:tcW w:w="2126" w:type="dxa"/>
          </w:tcPr>
          <w:p w:rsidR="000C48FD" w:rsidRPr="00C83349" w:rsidRDefault="000C48FD" w:rsidP="000C48FD">
            <w:pPr>
              <w:rPr>
                <w:rFonts w:cstheme="minorHAnsi"/>
                <w:b/>
                <w:bCs/>
              </w:rPr>
            </w:pPr>
          </w:p>
        </w:tc>
        <w:tc>
          <w:tcPr>
            <w:tcW w:w="1276" w:type="dxa"/>
          </w:tcPr>
          <w:p w:rsidR="000C48FD" w:rsidRPr="00C83349" w:rsidRDefault="000C48FD" w:rsidP="000C48FD">
            <w:pPr>
              <w:rPr>
                <w:rFonts w:cstheme="minorHAnsi"/>
                <w:b/>
                <w:bCs/>
              </w:rPr>
            </w:pPr>
          </w:p>
        </w:tc>
      </w:tr>
      <w:tr w:rsidR="000C48FD" w:rsidRPr="00C83349" w:rsidTr="000C48FD">
        <w:tc>
          <w:tcPr>
            <w:tcW w:w="6805" w:type="dxa"/>
            <w:gridSpan w:val="2"/>
          </w:tcPr>
          <w:p w:rsidR="000C48FD" w:rsidRPr="00303A4D" w:rsidRDefault="000C48FD" w:rsidP="000C48FD">
            <w:pPr>
              <w:pStyle w:val="ListParagraph"/>
              <w:numPr>
                <w:ilvl w:val="0"/>
                <w:numId w:val="22"/>
              </w:numPr>
              <w:rPr>
                <w:rFonts w:cstheme="minorHAnsi"/>
                <w:b/>
                <w:bCs/>
                <w:color w:val="833C0B" w:themeColor="accent2" w:themeShade="80"/>
                <w:sz w:val="20"/>
                <w:szCs w:val="20"/>
              </w:rPr>
            </w:pPr>
            <w:r w:rsidRPr="00303A4D">
              <w:rPr>
                <w:rFonts w:cstheme="minorHAnsi"/>
                <w:b/>
                <w:bCs/>
                <w:color w:val="833C0B" w:themeColor="accent2" w:themeShade="80"/>
                <w:sz w:val="20"/>
                <w:szCs w:val="20"/>
              </w:rPr>
              <w:t xml:space="preserve">Lower Task 3 : Conduct Case study on Task shifting Task sharing in selected countries </w:t>
            </w:r>
            <w:proofErr w:type="spellStart"/>
            <w:r w:rsidRPr="00303A4D">
              <w:rPr>
                <w:rFonts w:cstheme="minorHAnsi"/>
                <w:b/>
                <w:bCs/>
                <w:color w:val="833C0B" w:themeColor="accent2" w:themeShade="80"/>
                <w:sz w:val="20"/>
                <w:szCs w:val="20"/>
              </w:rPr>
              <w:t>i</w:t>
            </w:r>
            <w:proofErr w:type="spellEnd"/>
          </w:p>
        </w:tc>
        <w:tc>
          <w:tcPr>
            <w:tcW w:w="2126" w:type="dxa"/>
          </w:tcPr>
          <w:p w:rsidR="000C48FD" w:rsidRPr="00C83349" w:rsidRDefault="000C48FD" w:rsidP="000C48FD">
            <w:pPr>
              <w:rPr>
                <w:rFonts w:cstheme="minorHAnsi"/>
                <w:b/>
                <w:bCs/>
              </w:rPr>
            </w:pPr>
          </w:p>
        </w:tc>
        <w:tc>
          <w:tcPr>
            <w:tcW w:w="1276" w:type="dxa"/>
          </w:tcPr>
          <w:p w:rsidR="000C48FD" w:rsidRPr="00C83349" w:rsidRDefault="000C48FD" w:rsidP="000C48FD">
            <w:pPr>
              <w:rPr>
                <w:rFonts w:cstheme="minorHAnsi"/>
                <w:b/>
                <w:bCs/>
              </w:rPr>
            </w:pPr>
          </w:p>
        </w:tc>
      </w:tr>
      <w:tr w:rsidR="000C48FD" w:rsidRPr="00C83349" w:rsidTr="000C48FD">
        <w:tc>
          <w:tcPr>
            <w:tcW w:w="6805" w:type="dxa"/>
            <w:gridSpan w:val="2"/>
          </w:tcPr>
          <w:p w:rsidR="000C48FD" w:rsidRPr="00303A4D" w:rsidRDefault="000C48FD" w:rsidP="000C48FD">
            <w:pPr>
              <w:pStyle w:val="ListParagraph"/>
              <w:numPr>
                <w:ilvl w:val="0"/>
                <w:numId w:val="22"/>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4 : Produce four Policy briefs on HWF (from regional HRH survey data and HLMA) that include one on optimizing the Roles of Health Workers through Task Shifting And Sharing</w:t>
            </w:r>
          </w:p>
        </w:tc>
        <w:tc>
          <w:tcPr>
            <w:tcW w:w="2126" w:type="dxa"/>
          </w:tcPr>
          <w:p w:rsidR="000C48FD" w:rsidRPr="00C83349" w:rsidRDefault="000C48FD" w:rsidP="000C48FD">
            <w:pPr>
              <w:rPr>
                <w:rFonts w:cstheme="minorHAnsi"/>
                <w:b/>
                <w:bCs/>
              </w:rPr>
            </w:pPr>
          </w:p>
        </w:tc>
        <w:tc>
          <w:tcPr>
            <w:tcW w:w="1276" w:type="dxa"/>
          </w:tcPr>
          <w:p w:rsidR="000C48FD" w:rsidRPr="00C83349" w:rsidRDefault="000C48FD" w:rsidP="000C48FD">
            <w:pPr>
              <w:rPr>
                <w:rFonts w:cstheme="minorHAnsi"/>
                <w:b/>
                <w:bCs/>
              </w:rPr>
            </w:pPr>
          </w:p>
        </w:tc>
      </w:tr>
      <w:tr w:rsidR="000C48FD" w:rsidRPr="00C83349" w:rsidTr="000C48FD">
        <w:tc>
          <w:tcPr>
            <w:tcW w:w="6805" w:type="dxa"/>
            <w:gridSpan w:val="2"/>
          </w:tcPr>
          <w:p w:rsidR="000C48FD" w:rsidRPr="00303A4D" w:rsidRDefault="000C48FD" w:rsidP="000C48FD">
            <w:pPr>
              <w:pStyle w:val="ListParagraph"/>
              <w:numPr>
                <w:ilvl w:val="0"/>
                <w:numId w:val="22"/>
              </w:numPr>
              <w:rPr>
                <w:rFonts w:cstheme="minorHAnsi"/>
                <w:b/>
                <w:bCs/>
                <w:color w:val="833C0B" w:themeColor="accent2" w:themeShade="80"/>
                <w:sz w:val="20"/>
                <w:szCs w:val="20"/>
              </w:rPr>
            </w:pPr>
            <w:r w:rsidRPr="00303A4D">
              <w:rPr>
                <w:rFonts w:cstheme="minorHAnsi"/>
                <w:b/>
                <w:bCs/>
                <w:color w:val="833C0B" w:themeColor="accent2" w:themeShade="80"/>
                <w:sz w:val="20"/>
                <w:szCs w:val="20"/>
              </w:rPr>
              <w:t xml:space="preserve">Lower Task 5 : Conduct Case study on dual practices of health professionals </w:t>
            </w:r>
          </w:p>
        </w:tc>
        <w:tc>
          <w:tcPr>
            <w:tcW w:w="2126" w:type="dxa"/>
          </w:tcPr>
          <w:p w:rsidR="000C48FD" w:rsidRPr="00C83349" w:rsidRDefault="000C48FD" w:rsidP="000C48FD">
            <w:pPr>
              <w:rPr>
                <w:rFonts w:cstheme="minorHAnsi"/>
                <w:b/>
                <w:bCs/>
              </w:rPr>
            </w:pPr>
          </w:p>
        </w:tc>
        <w:tc>
          <w:tcPr>
            <w:tcW w:w="1276" w:type="dxa"/>
          </w:tcPr>
          <w:p w:rsidR="000C48FD" w:rsidRPr="00C83349" w:rsidRDefault="000C48FD" w:rsidP="000C48FD">
            <w:pPr>
              <w:rPr>
                <w:rFonts w:cstheme="minorHAnsi"/>
                <w:b/>
                <w:bCs/>
              </w:rPr>
            </w:pPr>
          </w:p>
        </w:tc>
      </w:tr>
      <w:tr w:rsidR="000C48FD" w:rsidRPr="00C83349" w:rsidTr="000C48FD">
        <w:tc>
          <w:tcPr>
            <w:tcW w:w="6805" w:type="dxa"/>
            <w:gridSpan w:val="2"/>
          </w:tcPr>
          <w:p w:rsidR="000C48FD" w:rsidRPr="00303A4D" w:rsidRDefault="000C48FD" w:rsidP="000C48FD">
            <w:pPr>
              <w:pStyle w:val="ListParagraph"/>
              <w:numPr>
                <w:ilvl w:val="0"/>
                <w:numId w:val="22"/>
              </w:numPr>
              <w:rPr>
                <w:rFonts w:cstheme="minorHAnsi"/>
                <w:b/>
                <w:bCs/>
                <w:color w:val="833C0B" w:themeColor="accent2" w:themeShade="80"/>
                <w:sz w:val="20"/>
                <w:szCs w:val="20"/>
              </w:rPr>
            </w:pPr>
            <w:r w:rsidRPr="00303A4D">
              <w:rPr>
                <w:rFonts w:cstheme="minorHAnsi"/>
                <w:b/>
                <w:bCs/>
                <w:color w:val="833C0B" w:themeColor="accent2" w:themeShade="80"/>
                <w:sz w:val="20"/>
                <w:szCs w:val="20"/>
              </w:rPr>
              <w:t>Lower Task 6 : Undertake Workload Assessment of health care workers from 2019 to 2021 (Covid-19/WISN) in selected countries</w:t>
            </w:r>
          </w:p>
        </w:tc>
        <w:tc>
          <w:tcPr>
            <w:tcW w:w="2126" w:type="dxa"/>
          </w:tcPr>
          <w:p w:rsidR="000C48FD" w:rsidRPr="00C83349" w:rsidRDefault="000C48FD" w:rsidP="000C48FD">
            <w:pPr>
              <w:rPr>
                <w:rFonts w:cstheme="minorHAnsi"/>
                <w:b/>
                <w:bCs/>
              </w:rPr>
            </w:pPr>
          </w:p>
        </w:tc>
        <w:tc>
          <w:tcPr>
            <w:tcW w:w="1276" w:type="dxa"/>
          </w:tcPr>
          <w:p w:rsidR="000C48FD" w:rsidRPr="00C83349" w:rsidRDefault="000C48FD" w:rsidP="000C48FD">
            <w:pPr>
              <w:rPr>
                <w:rFonts w:cstheme="minorHAnsi"/>
                <w:b/>
                <w:bCs/>
              </w:rPr>
            </w:pPr>
          </w:p>
        </w:tc>
      </w:tr>
      <w:tr w:rsidR="000C48FD" w:rsidRPr="00C83349" w:rsidTr="000C48FD">
        <w:tc>
          <w:tcPr>
            <w:tcW w:w="6805" w:type="dxa"/>
            <w:gridSpan w:val="2"/>
          </w:tcPr>
          <w:p w:rsidR="000C48FD" w:rsidRPr="00FC23F6" w:rsidRDefault="000C48FD" w:rsidP="000C48FD">
            <w:pPr>
              <w:rPr>
                <w:rFonts w:cstheme="minorHAnsi"/>
                <w:b/>
                <w:bCs/>
                <w:color w:val="833C0B" w:themeColor="accent2" w:themeShade="80"/>
              </w:rPr>
            </w:pPr>
          </w:p>
        </w:tc>
        <w:tc>
          <w:tcPr>
            <w:tcW w:w="2126" w:type="dxa"/>
          </w:tcPr>
          <w:p w:rsidR="000C48FD" w:rsidRPr="00C83349" w:rsidRDefault="000C48FD" w:rsidP="000C48FD">
            <w:pPr>
              <w:rPr>
                <w:rFonts w:cstheme="minorHAnsi"/>
                <w:b/>
                <w:bCs/>
              </w:rPr>
            </w:pPr>
          </w:p>
        </w:tc>
        <w:tc>
          <w:tcPr>
            <w:tcW w:w="1276" w:type="dxa"/>
          </w:tcPr>
          <w:p w:rsidR="000C48FD" w:rsidRPr="00C83349" w:rsidRDefault="000C48FD" w:rsidP="000C48FD">
            <w:pPr>
              <w:rPr>
                <w:rFonts w:cstheme="minorHAnsi"/>
                <w:b/>
                <w:bCs/>
              </w:rPr>
            </w:pPr>
          </w:p>
        </w:tc>
      </w:tr>
    </w:tbl>
    <w:p w:rsidR="000C48FD" w:rsidRDefault="000C48FD" w:rsidP="000C48FD">
      <w:pPr>
        <w:rPr>
          <w:rFonts w:ascii="Trebuchet MS" w:hAnsi="Trebuchet MS"/>
          <w:b/>
          <w:bCs/>
        </w:rPr>
      </w:pPr>
    </w:p>
    <w:p w:rsidR="000C48FD" w:rsidRDefault="000C48FD" w:rsidP="000C48FD">
      <w:pPr>
        <w:rPr>
          <w:rFonts w:ascii="Trebuchet MS" w:hAnsi="Trebuchet MS"/>
          <w:b/>
          <w:bCs/>
        </w:rPr>
      </w:pPr>
    </w:p>
    <w:p w:rsidR="008D3931" w:rsidRDefault="008D3931">
      <w:pPr>
        <w:rPr>
          <w:rFonts w:ascii="Trebuchet MS" w:hAnsi="Trebuchet MS"/>
          <w:b/>
          <w:bCs/>
        </w:rPr>
      </w:pPr>
      <w:r>
        <w:rPr>
          <w:rFonts w:ascii="Trebuchet MS" w:hAnsi="Trebuchet MS"/>
          <w:b/>
          <w:bCs/>
        </w:rPr>
        <w:br w:type="page"/>
      </w:r>
    </w:p>
    <w:p w:rsidR="008D3931" w:rsidRPr="004D27E2" w:rsidRDefault="008D3931" w:rsidP="008D3931">
      <w:pPr>
        <w:rPr>
          <w:rFonts w:ascii="Trebuchet MS" w:hAnsi="Trebuchet MS"/>
          <w:b/>
          <w:bCs/>
          <w:color w:val="C45911" w:themeColor="accent2" w:themeShade="BF"/>
          <w:lang w:val="fr-FR"/>
        </w:rPr>
      </w:pPr>
      <w:r w:rsidRPr="008D3931">
        <w:rPr>
          <w:rFonts w:ascii="Trebuchet MS" w:eastAsiaTheme="minorEastAsia" w:hAnsi="Trebuchet MS" w:cs="Times New Roman"/>
          <w:b/>
          <w:bCs/>
          <w:color w:val="C00000"/>
          <w:sz w:val="28"/>
          <w:szCs w:val="28"/>
          <w:lang w:val="fr-FR"/>
        </w:rPr>
        <w:t>ANNEXE</w:t>
      </w:r>
      <w:r>
        <w:rPr>
          <w:rFonts w:ascii="Trebuchet MS" w:eastAsiaTheme="minorEastAsia" w:hAnsi="Trebuchet MS" w:cs="Times New Roman"/>
          <w:b/>
          <w:bCs/>
          <w:color w:val="C00000"/>
          <w:sz w:val="28"/>
          <w:szCs w:val="28"/>
          <w:lang w:val="fr-FR"/>
        </w:rPr>
        <w:t xml:space="preserve"> : </w:t>
      </w:r>
      <w:r w:rsidRPr="008D3931">
        <w:rPr>
          <w:rFonts w:ascii="Trebuchet MS" w:eastAsiaTheme="minorEastAsia" w:hAnsi="Trebuchet MS" w:cs="Times New Roman"/>
          <w:b/>
          <w:bCs/>
          <w:color w:val="C00000"/>
          <w:sz w:val="28"/>
          <w:szCs w:val="28"/>
          <w:lang w:val="fr-FR"/>
        </w:rPr>
        <w:t xml:space="preserve"> OUTILS DE PLANIFICATION ET DE GESTION DU RHS DISPONIBLES POUR LE RENFORCEMENT DES CAPACITÉS</w:t>
      </w:r>
    </w:p>
    <w:p w:rsidR="008D3931" w:rsidRPr="004D27E2" w:rsidRDefault="008D3931" w:rsidP="008D3931">
      <w:pPr>
        <w:rPr>
          <w:rFonts w:ascii="Trebuchet MS" w:hAnsi="Trebuchet MS"/>
          <w:b/>
          <w:bCs/>
          <w:lang w:val="fr-FR"/>
        </w:rPr>
      </w:pPr>
    </w:p>
    <w:tbl>
      <w:tblPr>
        <w:tblStyle w:val="TableGrid"/>
        <w:tblW w:w="9493" w:type="dxa"/>
        <w:tblLayout w:type="fixed"/>
        <w:tblLook w:val="04A0" w:firstRow="1" w:lastRow="0" w:firstColumn="1" w:lastColumn="0" w:noHBand="0" w:noVBand="1"/>
      </w:tblPr>
      <w:tblGrid>
        <w:gridCol w:w="2830"/>
        <w:gridCol w:w="6663"/>
      </w:tblGrid>
      <w:tr w:rsidR="008D3931" w:rsidRPr="001343E2" w:rsidTr="00CA368E">
        <w:trPr>
          <w:trHeight w:val="519"/>
          <w:tblHeader/>
        </w:trPr>
        <w:tc>
          <w:tcPr>
            <w:tcW w:w="2830" w:type="dxa"/>
            <w:shd w:val="clear" w:color="auto" w:fill="EDEDED" w:themeFill="accent3" w:themeFillTint="33"/>
          </w:tcPr>
          <w:p w:rsidR="008D3931" w:rsidRPr="0026477D" w:rsidRDefault="008D3931" w:rsidP="00CA368E">
            <w:pPr>
              <w:rPr>
                <w:rFonts w:ascii="Trebuchet MS" w:hAnsi="Trebuchet MS"/>
                <w:b/>
                <w:bCs/>
                <w:color w:val="833C0B" w:themeColor="accent2" w:themeShade="80"/>
              </w:rPr>
            </w:pPr>
            <w:proofErr w:type="spellStart"/>
            <w:r>
              <w:rPr>
                <w:rFonts w:ascii="Trebuchet MS" w:hAnsi="Trebuchet MS"/>
                <w:b/>
                <w:bCs/>
                <w:color w:val="833C0B" w:themeColor="accent2" w:themeShade="80"/>
              </w:rPr>
              <w:t>Outils</w:t>
            </w:r>
            <w:proofErr w:type="spellEnd"/>
            <w:r>
              <w:rPr>
                <w:rFonts w:ascii="Trebuchet MS" w:hAnsi="Trebuchet MS"/>
                <w:b/>
                <w:bCs/>
                <w:color w:val="833C0B" w:themeColor="accent2" w:themeShade="80"/>
              </w:rPr>
              <w:t xml:space="preserve"> et</w:t>
            </w:r>
            <w:r w:rsidRPr="0026477D">
              <w:rPr>
                <w:rFonts w:ascii="Trebuchet MS" w:hAnsi="Trebuchet MS"/>
                <w:b/>
                <w:bCs/>
                <w:color w:val="833C0B" w:themeColor="accent2" w:themeShade="80"/>
              </w:rPr>
              <w:t xml:space="preserve"> guides</w:t>
            </w:r>
          </w:p>
        </w:tc>
        <w:tc>
          <w:tcPr>
            <w:tcW w:w="6663" w:type="dxa"/>
            <w:shd w:val="clear" w:color="auto" w:fill="FBE4D5" w:themeFill="accent2" w:themeFillTint="33"/>
          </w:tcPr>
          <w:p w:rsidR="008D3931" w:rsidRPr="008166CF" w:rsidRDefault="008D3931" w:rsidP="00CA368E">
            <w:pPr>
              <w:rPr>
                <w:rFonts w:ascii="Trebuchet MS" w:hAnsi="Trebuchet MS"/>
                <w:b/>
                <w:bCs/>
                <w:color w:val="833C0B" w:themeColor="accent2" w:themeShade="80"/>
                <w:lang w:val="fr-FR"/>
              </w:rPr>
            </w:pPr>
            <w:r w:rsidRPr="008166CF">
              <w:rPr>
                <w:rFonts w:ascii="Trebuchet MS" w:hAnsi="Trebuchet MS"/>
                <w:b/>
                <w:bCs/>
                <w:color w:val="833C0B" w:themeColor="accent2" w:themeShade="80"/>
                <w:lang w:val="fr-FR"/>
              </w:rPr>
              <w:t>Description et lien de téléchargement</w:t>
            </w:r>
          </w:p>
        </w:tc>
      </w:tr>
      <w:tr w:rsidR="008D3931" w:rsidRPr="00DB5F62" w:rsidTr="00CA368E">
        <w:tc>
          <w:tcPr>
            <w:tcW w:w="2830" w:type="dxa"/>
            <w:shd w:val="clear" w:color="auto" w:fill="EDEDED" w:themeFill="accent3" w:themeFillTint="33"/>
          </w:tcPr>
          <w:p w:rsidR="008D3931" w:rsidRPr="00BD4599" w:rsidRDefault="008D3931" w:rsidP="00CA368E">
            <w:pPr>
              <w:rPr>
                <w:rFonts w:ascii="Trebuchet MS" w:hAnsi="Trebuchet MS"/>
                <w:b/>
                <w:bCs/>
              </w:rPr>
            </w:pPr>
            <w:r>
              <w:rPr>
                <w:rFonts w:ascii="Trebuchet MS" w:hAnsi="Trebuchet MS"/>
                <w:b/>
                <w:bCs/>
              </w:rPr>
              <w:t xml:space="preserve">1. </w:t>
            </w:r>
            <w:r w:rsidRPr="00BD4599">
              <w:rPr>
                <w:rFonts w:ascii="Trebuchet MS" w:hAnsi="Trebuchet MS"/>
                <w:b/>
                <w:bCs/>
              </w:rPr>
              <w:t xml:space="preserve">Manuel de </w:t>
            </w:r>
            <w:proofErr w:type="spellStart"/>
            <w:r w:rsidRPr="00BD4599">
              <w:rPr>
                <w:rFonts w:ascii="Trebuchet MS" w:hAnsi="Trebuchet MS"/>
                <w:b/>
                <w:bCs/>
              </w:rPr>
              <w:t>l'utilisateur</w:t>
            </w:r>
            <w:proofErr w:type="spellEnd"/>
            <w:r w:rsidRPr="00BD4599">
              <w:rPr>
                <w:rFonts w:ascii="Trebuchet MS" w:hAnsi="Trebuchet MS"/>
                <w:b/>
                <w:bCs/>
              </w:rPr>
              <w:t xml:space="preserve"> de </w:t>
            </w:r>
            <w:proofErr w:type="spellStart"/>
            <w:r w:rsidRPr="00BD4599">
              <w:rPr>
                <w:rFonts w:ascii="Trebuchet MS" w:hAnsi="Trebuchet MS"/>
                <w:b/>
                <w:bCs/>
              </w:rPr>
              <w:t>l'outil</w:t>
            </w:r>
            <w:proofErr w:type="spellEnd"/>
            <w:r w:rsidRPr="00BD4599">
              <w:rPr>
                <w:rFonts w:ascii="Trebuchet MS" w:hAnsi="Trebuchet MS"/>
                <w:b/>
                <w:bCs/>
              </w:rPr>
              <w:t xml:space="preserve"> WISN (Workload Indicators for Staffing Need Tool). </w:t>
            </w:r>
          </w:p>
          <w:p w:rsidR="008D3931" w:rsidRPr="008166CF" w:rsidRDefault="008D3931" w:rsidP="00CA368E">
            <w:pPr>
              <w:pStyle w:val="ListParagraph"/>
              <w:rPr>
                <w:rFonts w:ascii="Trebuchet MS" w:hAnsi="Trebuchet MS"/>
                <w:b/>
                <w:bCs/>
                <w:lang w:val="fr-FR"/>
              </w:rPr>
            </w:pPr>
          </w:p>
        </w:tc>
        <w:tc>
          <w:tcPr>
            <w:tcW w:w="6663" w:type="dxa"/>
            <w:shd w:val="clear" w:color="auto" w:fill="FBE4D5" w:themeFill="accent2" w:themeFillTint="33"/>
          </w:tcPr>
          <w:p w:rsidR="008D3931" w:rsidRPr="00DB5F62" w:rsidRDefault="008D3931" w:rsidP="00CA368E">
            <w:pPr>
              <w:jc w:val="both"/>
              <w:rPr>
                <w:rFonts w:ascii="Trebuchet MS" w:hAnsi="Trebuchet MS"/>
                <w:sz w:val="20"/>
                <w:szCs w:val="20"/>
                <w:lang w:val="fr-FR"/>
              </w:rPr>
            </w:pPr>
            <w:r w:rsidRPr="00DB5F62">
              <w:rPr>
                <w:rFonts w:ascii="Trebuchet MS" w:hAnsi="Trebuchet MS"/>
                <w:sz w:val="20"/>
                <w:szCs w:val="20"/>
                <w:lang w:val="fr-FR"/>
              </w:rPr>
              <w:t xml:space="preserve">La méthode WISN est un outil de gestion des ressources humaines qui détermine combien d'agents de santé d'un type particulier sont nécessaires pour faire face à la charge de travail d'un établissement de santé donné ; elle évalue la pression de la charge de travail des agents de santé de cet établissement. La méthode WISN tient compte des différences dans les services fournis et dans la complexité des soins dans les différents établissements. Le calcul des besoins en personnel est basé sur les mêmes normes médicales dans tous les établissements similaires. </w:t>
            </w:r>
            <w:r>
              <w:rPr>
                <w:rFonts w:ascii="Trebuchet MS" w:hAnsi="Trebuchet MS"/>
                <w:sz w:val="20"/>
                <w:szCs w:val="20"/>
                <w:lang w:val="fr-FR"/>
              </w:rPr>
              <w:t>l</w:t>
            </w:r>
            <w:r w:rsidRPr="00DB5F62">
              <w:rPr>
                <w:rFonts w:ascii="Trebuchet MS" w:hAnsi="Trebuchet MS"/>
                <w:sz w:val="20"/>
                <w:szCs w:val="20"/>
                <w:lang w:val="fr-FR"/>
              </w:rPr>
              <w:t>a méthode WISN utilise les statistiques disponibles sur les</w:t>
            </w:r>
            <w:r>
              <w:rPr>
                <w:rFonts w:ascii="Trebuchet MS" w:hAnsi="Trebuchet MS"/>
                <w:sz w:val="20"/>
                <w:szCs w:val="20"/>
                <w:lang w:val="fr-FR"/>
              </w:rPr>
              <w:t xml:space="preserve"> S</w:t>
            </w:r>
            <w:r w:rsidRPr="00DB5F62">
              <w:rPr>
                <w:rFonts w:ascii="Trebuchet MS" w:hAnsi="Trebuchet MS"/>
                <w:sz w:val="20"/>
                <w:szCs w:val="20"/>
                <w:lang w:val="fr-FR"/>
              </w:rPr>
              <w:t>ervices.</w:t>
            </w:r>
            <w:r>
              <w:rPr>
                <w:rFonts w:ascii="Trebuchet MS" w:hAnsi="Trebuchet MS"/>
                <w:sz w:val="20"/>
                <w:szCs w:val="20"/>
                <w:lang w:val="fr-FR"/>
              </w:rPr>
              <w:t xml:space="preserve"> </w:t>
            </w:r>
            <w:hyperlink r:id="rId8" w:history="1">
              <w:r w:rsidRPr="00DB5F62">
                <w:rPr>
                  <w:rStyle w:val="Hyperlink"/>
                  <w:rFonts w:ascii="Trebuchet MS" w:hAnsi="Trebuchet MS"/>
                  <w:sz w:val="20"/>
                  <w:szCs w:val="20"/>
                  <w:lang w:val="fr-FR"/>
                </w:rPr>
                <w:t>https://www.who.int/hrh/resources/WISN_Eng_UsersManual.pdf</w:t>
              </w:r>
            </w:hyperlink>
          </w:p>
          <w:p w:rsidR="008D3931" w:rsidRPr="00DB5F62" w:rsidRDefault="008D3931" w:rsidP="00CA368E">
            <w:pPr>
              <w:jc w:val="both"/>
              <w:rPr>
                <w:rFonts w:ascii="Trebuchet MS" w:hAnsi="Trebuchet MS"/>
                <w:sz w:val="20"/>
                <w:szCs w:val="20"/>
                <w:lang w:val="fr-FR"/>
              </w:rPr>
            </w:pPr>
          </w:p>
        </w:tc>
      </w:tr>
      <w:tr w:rsidR="008D3931" w:rsidRPr="001343E2" w:rsidTr="00CA368E">
        <w:tc>
          <w:tcPr>
            <w:tcW w:w="2830" w:type="dxa"/>
            <w:shd w:val="clear" w:color="auto" w:fill="EDEDED" w:themeFill="accent3" w:themeFillTint="33"/>
          </w:tcPr>
          <w:p w:rsidR="008D3931" w:rsidRPr="008166CF" w:rsidRDefault="008D3931" w:rsidP="00CA368E">
            <w:pPr>
              <w:rPr>
                <w:rFonts w:ascii="Trebuchet MS" w:hAnsi="Trebuchet MS"/>
                <w:b/>
                <w:bCs/>
                <w:lang w:val="fr-FR"/>
              </w:rPr>
            </w:pPr>
            <w:r w:rsidRPr="008166CF">
              <w:rPr>
                <w:rFonts w:ascii="Trebuchet MS" w:hAnsi="Trebuchet MS"/>
                <w:b/>
                <w:bCs/>
                <w:lang w:val="fr-FR"/>
              </w:rPr>
              <w:t>2.</w:t>
            </w:r>
            <w:r w:rsidRPr="008166CF">
              <w:rPr>
                <w:rFonts w:ascii="Trebuchet MS" w:hAnsi="Trebuchet MS"/>
                <w:b/>
                <w:bCs/>
                <w:lang w:val="fr-FR"/>
              </w:rPr>
              <w:tab/>
              <w:t xml:space="preserve">Guide de l'analyse du marché du travail dans le secteur de la santé (HLMA) </w:t>
            </w:r>
          </w:p>
        </w:tc>
        <w:tc>
          <w:tcPr>
            <w:tcW w:w="6663" w:type="dxa"/>
            <w:shd w:val="clear" w:color="auto" w:fill="FBE4D5" w:themeFill="accent2" w:themeFillTint="33"/>
          </w:tcPr>
          <w:p w:rsidR="008D3931" w:rsidRPr="00DB5F62" w:rsidRDefault="008D3931" w:rsidP="00CA368E">
            <w:pPr>
              <w:jc w:val="both"/>
              <w:rPr>
                <w:rFonts w:ascii="Trebuchet MS" w:hAnsi="Trebuchet MS"/>
                <w:sz w:val="20"/>
                <w:szCs w:val="20"/>
                <w:lang w:val="fr-FR"/>
              </w:rPr>
            </w:pPr>
            <w:r w:rsidRPr="00DB5F62">
              <w:rPr>
                <w:rFonts w:ascii="Trebuchet MS" w:hAnsi="Trebuchet MS"/>
                <w:sz w:val="20"/>
                <w:szCs w:val="20"/>
                <w:lang w:val="fr-FR"/>
              </w:rPr>
              <w:t>Ce guide a pour but de faciliter la mise en œuvre d'approches standardisées de l'AM</w:t>
            </w:r>
            <w:r>
              <w:rPr>
                <w:rFonts w:ascii="Trebuchet MS" w:hAnsi="Trebuchet MS"/>
                <w:sz w:val="20"/>
                <w:szCs w:val="20"/>
                <w:lang w:val="fr-FR"/>
              </w:rPr>
              <w:t>S</w:t>
            </w:r>
            <w:r w:rsidRPr="00DB5F62">
              <w:rPr>
                <w:rFonts w:ascii="Trebuchet MS" w:hAnsi="Trebuchet MS"/>
                <w:sz w:val="20"/>
                <w:szCs w:val="20"/>
                <w:lang w:val="fr-FR"/>
              </w:rPr>
              <w:t xml:space="preserve">. L'analyse du marché de l'emploi dans le secteur de la santé est essentielle pour mieux comprendre les forces à l'origine des pénuries et des excédents de personnel de santé, de l'éventail des compétences et des déséquilibres géographiques, ainsi que des performances sous-optimales, et pour élaborer des politiques efficaces afin de résoudre ces problèmes. Une étude </w:t>
            </w:r>
            <w:r>
              <w:rPr>
                <w:rFonts w:ascii="Trebuchet MS" w:hAnsi="Trebuchet MS"/>
                <w:sz w:val="20"/>
                <w:szCs w:val="20"/>
                <w:lang w:val="fr-FR"/>
              </w:rPr>
              <w:t>AMS</w:t>
            </w:r>
            <w:r w:rsidRPr="00DB5F62">
              <w:rPr>
                <w:rFonts w:ascii="Trebuchet MS" w:hAnsi="Trebuchet MS"/>
                <w:sz w:val="20"/>
                <w:szCs w:val="20"/>
                <w:lang w:val="fr-FR"/>
              </w:rPr>
              <w:t xml:space="preserve"> peut sensibiliser les responsables politiques et les décideurs à la manière dont le marché du travail de la santé de leur pays évolue et aux raisons de cette évolution.</w:t>
            </w:r>
          </w:p>
        </w:tc>
      </w:tr>
      <w:tr w:rsidR="008D3931" w:rsidRPr="001343E2" w:rsidTr="00CA368E">
        <w:tc>
          <w:tcPr>
            <w:tcW w:w="2830" w:type="dxa"/>
            <w:shd w:val="clear" w:color="auto" w:fill="EDEDED" w:themeFill="accent3" w:themeFillTint="33"/>
          </w:tcPr>
          <w:p w:rsidR="008D3931" w:rsidRPr="008166CF" w:rsidRDefault="008D3931" w:rsidP="00CA368E">
            <w:pPr>
              <w:rPr>
                <w:rFonts w:ascii="Trebuchet MS" w:hAnsi="Trebuchet MS"/>
                <w:b/>
                <w:bCs/>
                <w:color w:val="44546A" w:themeColor="text2"/>
                <w:lang w:val="fr-FR"/>
              </w:rPr>
            </w:pPr>
            <w:r>
              <w:rPr>
                <w:rFonts w:ascii="Trebuchet MS" w:hAnsi="Trebuchet MS"/>
                <w:b/>
                <w:bCs/>
                <w:lang w:val="fr-FR"/>
              </w:rPr>
              <w:t xml:space="preserve">3. </w:t>
            </w:r>
            <w:r w:rsidRPr="008166CF">
              <w:rPr>
                <w:rFonts w:ascii="Trebuchet MS" w:hAnsi="Trebuchet MS"/>
                <w:b/>
                <w:bCs/>
                <w:lang w:val="fr-FR"/>
              </w:rPr>
              <w:t>Outil de planification et de projection des RHS (HRHPPT)</w:t>
            </w:r>
          </w:p>
        </w:tc>
        <w:tc>
          <w:tcPr>
            <w:tcW w:w="6663" w:type="dxa"/>
            <w:shd w:val="clear" w:color="auto" w:fill="FBE4D5" w:themeFill="accent2" w:themeFillTint="33"/>
          </w:tcPr>
          <w:p w:rsidR="008D3931" w:rsidRPr="00DB5F62" w:rsidRDefault="008D3931" w:rsidP="00CA368E">
            <w:pPr>
              <w:jc w:val="both"/>
              <w:rPr>
                <w:rFonts w:ascii="Trebuchet MS" w:hAnsi="Trebuchet MS"/>
                <w:sz w:val="20"/>
                <w:szCs w:val="20"/>
                <w:lang w:val="fr-FR"/>
              </w:rPr>
            </w:pPr>
            <w:r w:rsidRPr="00DB5F62">
              <w:rPr>
                <w:rFonts w:ascii="Trebuchet MS" w:hAnsi="Trebuchet MS"/>
                <w:sz w:val="20"/>
                <w:szCs w:val="20"/>
                <w:lang w:val="fr-FR"/>
              </w:rPr>
              <w:t>La formulation de politiques et de stratégies nationales en matière de ressources humaines pour la santé (RHS) nécessite une planification fondée sur des données probantes pour rationaliser les décisions. L'outil de planification et de projection des RHS aide à rationaliser les options politiques sur la base d'une image financièrement réalisable de l'avenir, dans laquelle l'offre attendue de RHS correspond aux besoins en personnel dans le cadre des plans généraux de services de santé. Le processus de simulation est le principal outil d'évaluation de l'impact potentiel de divers changements sur les paramètres futurs des RHS. L'outil fournit des modèles de personnel de santé servant de base à l'établissement de projections axées sur différents aspects de la dynamique des RHS, notamment les projections des besoins, les projections de l'offre, la charge de travail et les activités professionnelles, ainsi que le développement et le mouvement du personnel.</w:t>
            </w:r>
          </w:p>
        </w:tc>
      </w:tr>
      <w:tr w:rsidR="008D3931" w:rsidRPr="001343E2" w:rsidTr="00CA368E">
        <w:tc>
          <w:tcPr>
            <w:tcW w:w="2830" w:type="dxa"/>
            <w:shd w:val="clear" w:color="auto" w:fill="EDEDED" w:themeFill="accent3" w:themeFillTint="33"/>
          </w:tcPr>
          <w:p w:rsidR="008D3931" w:rsidRPr="00C2708B" w:rsidRDefault="008D3931" w:rsidP="00CA368E">
            <w:pPr>
              <w:rPr>
                <w:rFonts w:ascii="Trebuchet MS" w:hAnsi="Trebuchet MS"/>
                <w:b/>
                <w:bCs/>
                <w:color w:val="44546A" w:themeColor="text2"/>
                <w:lang w:val="fr-FR"/>
              </w:rPr>
            </w:pPr>
            <w:r>
              <w:rPr>
                <w:rFonts w:ascii="Trebuchet MS" w:hAnsi="Trebuchet MS"/>
                <w:b/>
                <w:bCs/>
                <w:color w:val="44546A" w:themeColor="text2"/>
                <w:lang w:val="fr-FR"/>
              </w:rPr>
              <w:t xml:space="preserve">4. </w:t>
            </w:r>
            <w:r w:rsidRPr="00C2708B">
              <w:rPr>
                <w:rFonts w:ascii="Trebuchet MS" w:hAnsi="Trebuchet MS"/>
                <w:b/>
                <w:bCs/>
                <w:color w:val="44546A" w:themeColor="text2"/>
                <w:lang w:val="fr-FR"/>
              </w:rPr>
              <w:t>Directives de l'OMS sur la politique de santé et de soutien aux systèmes pour optimiser les programmes des agents de santé communautaires</w:t>
            </w:r>
          </w:p>
        </w:tc>
        <w:tc>
          <w:tcPr>
            <w:tcW w:w="6663" w:type="dxa"/>
            <w:shd w:val="clear" w:color="auto" w:fill="FBE4D5" w:themeFill="accent2" w:themeFillTint="33"/>
          </w:tcPr>
          <w:p w:rsidR="008D3931" w:rsidRDefault="008D3931" w:rsidP="00CA368E">
            <w:pPr>
              <w:jc w:val="both"/>
              <w:rPr>
                <w:rFonts w:ascii="Trebuchet MS" w:hAnsi="Trebuchet MS"/>
                <w:sz w:val="20"/>
                <w:szCs w:val="20"/>
                <w:lang w:val="fr-FR"/>
              </w:rPr>
            </w:pPr>
            <w:r w:rsidRPr="00DB5F62">
              <w:rPr>
                <w:rFonts w:ascii="Trebuchet MS" w:hAnsi="Trebuchet MS"/>
                <w:sz w:val="20"/>
                <w:szCs w:val="20"/>
                <w:lang w:val="fr-FR"/>
              </w:rPr>
              <w:t xml:space="preserve">L'optimisation des programmes d'agents de santé communautaires (ASC) nécessite des politiques fondées sur des </w:t>
            </w:r>
            <w:r>
              <w:rPr>
                <w:rFonts w:ascii="Trebuchet MS" w:hAnsi="Trebuchet MS"/>
                <w:sz w:val="20"/>
                <w:szCs w:val="20"/>
                <w:lang w:val="fr-FR"/>
              </w:rPr>
              <w:t xml:space="preserve">données </w:t>
            </w:r>
            <w:proofErr w:type="spellStart"/>
            <w:r>
              <w:rPr>
                <w:rFonts w:ascii="Trebuchet MS" w:hAnsi="Trebuchet MS"/>
                <w:sz w:val="20"/>
                <w:szCs w:val="20"/>
                <w:lang w:val="fr-FR"/>
              </w:rPr>
              <w:t>probantes</w:t>
            </w:r>
            <w:r w:rsidRPr="00DB5F62">
              <w:rPr>
                <w:rFonts w:ascii="Trebuchet MS" w:hAnsi="Trebuchet MS"/>
                <w:sz w:val="20"/>
                <w:szCs w:val="20"/>
                <w:lang w:val="fr-FR"/>
              </w:rPr>
              <w:t>s</w:t>
            </w:r>
            <w:proofErr w:type="spellEnd"/>
            <w:r w:rsidRPr="00DB5F62">
              <w:rPr>
                <w:rFonts w:ascii="Trebuchet MS" w:hAnsi="Trebuchet MS"/>
                <w:sz w:val="20"/>
                <w:szCs w:val="20"/>
                <w:lang w:val="fr-FR"/>
              </w:rPr>
              <w:t xml:space="preserve"> concernant leur formation, leur déploiement et leur gestion. Ces lignes directrices visent à informer les planificateurs, les décideurs et les gestionnaires des efforts déployés pour améliorer les programmes des ASC dans le cadre d'une approche intégrée visant à renforcer les soins de santé primaires et les systèmes de santé.</w:t>
            </w:r>
          </w:p>
          <w:p w:rsidR="008D3931" w:rsidRPr="00DB5F62" w:rsidRDefault="00A84E16" w:rsidP="00CA368E">
            <w:pPr>
              <w:jc w:val="both"/>
              <w:rPr>
                <w:rFonts w:ascii="Trebuchet MS" w:hAnsi="Trebuchet MS"/>
                <w:sz w:val="20"/>
                <w:szCs w:val="20"/>
                <w:lang w:val="fr-FR"/>
              </w:rPr>
            </w:pPr>
            <w:hyperlink r:id="rId9" w:history="1">
              <w:r w:rsidR="008D3931" w:rsidRPr="00DB5F62">
                <w:rPr>
                  <w:rStyle w:val="Hyperlink"/>
                  <w:rFonts w:ascii="Trebuchet MS" w:hAnsi="Trebuchet MS"/>
                  <w:sz w:val="20"/>
                  <w:szCs w:val="20"/>
                  <w:lang w:val="fr-FR"/>
                </w:rPr>
                <w:t>https://www.who.int/publications/i/item/9789241550369</w:t>
              </w:r>
            </w:hyperlink>
          </w:p>
          <w:p w:rsidR="008D3931" w:rsidRPr="00DB5F62" w:rsidRDefault="008D3931" w:rsidP="00CA368E">
            <w:pPr>
              <w:jc w:val="both"/>
              <w:rPr>
                <w:rFonts w:ascii="Trebuchet MS" w:hAnsi="Trebuchet MS"/>
                <w:sz w:val="20"/>
                <w:szCs w:val="20"/>
                <w:lang w:val="fr-FR"/>
              </w:rPr>
            </w:pPr>
          </w:p>
        </w:tc>
      </w:tr>
      <w:tr w:rsidR="008D3931" w:rsidRPr="001343E2" w:rsidTr="00CA368E">
        <w:tc>
          <w:tcPr>
            <w:tcW w:w="2830" w:type="dxa"/>
            <w:shd w:val="clear" w:color="auto" w:fill="EDEDED" w:themeFill="accent3" w:themeFillTint="33"/>
          </w:tcPr>
          <w:p w:rsidR="008D3931" w:rsidRPr="00C2708B" w:rsidRDefault="008D3931" w:rsidP="00CA368E">
            <w:pPr>
              <w:rPr>
                <w:rFonts w:ascii="Trebuchet MS" w:hAnsi="Trebuchet MS"/>
                <w:b/>
                <w:bCs/>
                <w:color w:val="44546A" w:themeColor="text2"/>
                <w:lang w:val="fr-FR"/>
              </w:rPr>
            </w:pPr>
            <w:r>
              <w:rPr>
                <w:rFonts w:ascii="Trebuchet MS" w:hAnsi="Trebuchet MS"/>
                <w:b/>
                <w:bCs/>
                <w:color w:val="44546A" w:themeColor="text2"/>
                <w:lang w:val="fr-FR"/>
              </w:rPr>
              <w:t xml:space="preserve">5. </w:t>
            </w:r>
            <w:r w:rsidRPr="00C2708B">
              <w:rPr>
                <w:rFonts w:ascii="Trebuchet MS" w:hAnsi="Trebuchet MS"/>
                <w:b/>
                <w:bCs/>
                <w:color w:val="44546A" w:themeColor="text2"/>
                <w:lang w:val="fr-FR"/>
              </w:rPr>
              <w:t>Directive de l'OMS sur le développement, l'attraction, le recrutement et la rétention des personnels de santé</w:t>
            </w:r>
          </w:p>
        </w:tc>
        <w:tc>
          <w:tcPr>
            <w:tcW w:w="6663" w:type="dxa"/>
            <w:shd w:val="clear" w:color="auto" w:fill="FBE4D5" w:themeFill="accent2" w:themeFillTint="33"/>
          </w:tcPr>
          <w:p w:rsidR="008D3931" w:rsidRDefault="008D3931" w:rsidP="00CA368E">
            <w:pPr>
              <w:jc w:val="both"/>
              <w:rPr>
                <w:rFonts w:ascii="Trebuchet MS" w:hAnsi="Trebuchet MS"/>
                <w:sz w:val="20"/>
                <w:szCs w:val="20"/>
                <w:lang w:val="fr-FR"/>
              </w:rPr>
            </w:pPr>
            <w:r w:rsidRPr="00DB5F62">
              <w:rPr>
                <w:rFonts w:ascii="Trebuchet MS" w:hAnsi="Trebuchet MS"/>
                <w:sz w:val="20"/>
                <w:szCs w:val="20"/>
                <w:lang w:val="fr-FR"/>
              </w:rPr>
              <w:t>Cette ligne directrice présente une voie à suivre pour inverser la pénurie actuelle et prévue de travailleurs de la santé dans les zones rurales et éloignées en protégeant le personnel de santé rural existant, ce qui facilitera son maintien en poste, et en investissant dans le développement et la formation d'équipes de santé multidisciplinaires adaptées aux besoins, ainsi que dans l'attraction et le recrutement de travailleurs de la santé. Ne laisser personne, c'est faire en sorte que des professionnels de la santé soient disponibles dans les zones rurales et reculées</w:t>
            </w:r>
            <w:r>
              <w:rPr>
                <w:rFonts w:ascii="Trebuchet MS" w:hAnsi="Trebuchet MS"/>
                <w:sz w:val="20"/>
                <w:szCs w:val="20"/>
                <w:lang w:val="fr-FR"/>
              </w:rPr>
              <w:t xml:space="preserve"> pour s’occuper des personnes ayant besoin de soin de santé</w:t>
            </w:r>
            <w:r w:rsidRPr="00DB5F62">
              <w:rPr>
                <w:rFonts w:ascii="Trebuchet MS" w:hAnsi="Trebuchet MS"/>
                <w:sz w:val="20"/>
                <w:szCs w:val="20"/>
                <w:lang w:val="fr-FR"/>
              </w:rPr>
              <w:t>.</w:t>
            </w:r>
          </w:p>
          <w:p w:rsidR="008D3931" w:rsidRPr="00DB5F62" w:rsidRDefault="008D3931" w:rsidP="00CA368E">
            <w:pPr>
              <w:jc w:val="both"/>
              <w:rPr>
                <w:rFonts w:ascii="Trebuchet MS" w:hAnsi="Trebuchet MS"/>
                <w:sz w:val="20"/>
                <w:szCs w:val="20"/>
                <w:lang w:val="fr-FR"/>
              </w:rPr>
            </w:pPr>
            <w:r>
              <w:rPr>
                <w:rFonts w:ascii="Trebuchet MS" w:hAnsi="Trebuchet MS"/>
                <w:sz w:val="20"/>
                <w:szCs w:val="20"/>
                <w:lang w:val="fr-FR"/>
              </w:rPr>
              <w:t xml:space="preserve"> </w:t>
            </w:r>
            <w:hyperlink r:id="rId10" w:history="1">
              <w:r w:rsidRPr="00DB5F62">
                <w:rPr>
                  <w:rStyle w:val="Hyperlink"/>
                  <w:rFonts w:ascii="Trebuchet MS" w:hAnsi="Trebuchet MS"/>
                  <w:sz w:val="20"/>
                  <w:szCs w:val="20"/>
                  <w:lang w:val="fr-FR"/>
                </w:rPr>
                <w:t>https://apps.who.int/iris/rest/bitstreams/1344850/retrieve</w:t>
              </w:r>
            </w:hyperlink>
          </w:p>
          <w:p w:rsidR="008D3931" w:rsidRPr="00DB5F62" w:rsidRDefault="008D3931" w:rsidP="00CA368E">
            <w:pPr>
              <w:jc w:val="both"/>
              <w:rPr>
                <w:rFonts w:ascii="Trebuchet MS" w:hAnsi="Trebuchet MS"/>
                <w:sz w:val="20"/>
                <w:szCs w:val="20"/>
                <w:lang w:val="fr-FR"/>
              </w:rPr>
            </w:pPr>
          </w:p>
        </w:tc>
      </w:tr>
      <w:tr w:rsidR="008D3931" w:rsidRPr="001343E2" w:rsidTr="00CA368E">
        <w:tc>
          <w:tcPr>
            <w:tcW w:w="2830" w:type="dxa"/>
            <w:shd w:val="clear" w:color="auto" w:fill="EDEDED" w:themeFill="accent3" w:themeFillTint="33"/>
          </w:tcPr>
          <w:p w:rsidR="008D3931" w:rsidRPr="00C2708B" w:rsidRDefault="008D3931" w:rsidP="00CA368E">
            <w:pPr>
              <w:rPr>
                <w:rFonts w:ascii="Trebuchet MS" w:hAnsi="Trebuchet MS"/>
                <w:b/>
                <w:bCs/>
                <w:color w:val="44546A" w:themeColor="text2"/>
                <w:lang w:val="fr-FR"/>
              </w:rPr>
            </w:pPr>
            <w:r>
              <w:rPr>
                <w:rFonts w:ascii="Trebuchet MS" w:hAnsi="Trebuchet MS"/>
                <w:b/>
                <w:bCs/>
                <w:color w:val="44546A" w:themeColor="text2"/>
                <w:lang w:val="fr-FR"/>
              </w:rPr>
              <w:t xml:space="preserve">6. </w:t>
            </w:r>
            <w:r w:rsidRPr="00C2708B">
              <w:rPr>
                <w:rFonts w:ascii="Trebuchet MS" w:hAnsi="Trebuchet MS"/>
                <w:b/>
                <w:bCs/>
                <w:color w:val="44546A" w:themeColor="text2"/>
                <w:lang w:val="fr-FR"/>
              </w:rPr>
              <w:t>COVID-19 : Directives opérationnelles pour le maintien des services de santé essentiels pendant une épidémie</w:t>
            </w:r>
          </w:p>
        </w:tc>
        <w:tc>
          <w:tcPr>
            <w:tcW w:w="6663" w:type="dxa"/>
            <w:shd w:val="clear" w:color="auto" w:fill="FBE4D5" w:themeFill="accent2" w:themeFillTint="33"/>
          </w:tcPr>
          <w:p w:rsidR="008D3931" w:rsidRPr="00DB5F62" w:rsidRDefault="008D3931" w:rsidP="00CA368E">
            <w:pPr>
              <w:jc w:val="both"/>
              <w:rPr>
                <w:rFonts w:ascii="Trebuchet MS" w:hAnsi="Trebuchet MS"/>
                <w:sz w:val="20"/>
                <w:szCs w:val="20"/>
                <w:lang w:val="fr-FR"/>
              </w:rPr>
            </w:pPr>
            <w:r w:rsidRPr="00DB5F62">
              <w:rPr>
                <w:rFonts w:ascii="Trebuchet MS" w:hAnsi="Trebuchet MS"/>
                <w:sz w:val="20"/>
                <w:szCs w:val="20"/>
                <w:lang w:val="fr-FR"/>
              </w:rPr>
              <w:t>Ce document développe le contenu des directives de planification opérationnelle pour soutenir la préparation et la réponse des pays</w:t>
            </w:r>
            <w:r>
              <w:rPr>
                <w:rFonts w:ascii="Trebuchet MS" w:hAnsi="Trebuchet MS"/>
                <w:sz w:val="20"/>
                <w:szCs w:val="20"/>
                <w:lang w:val="fr-FR"/>
              </w:rPr>
              <w:t xml:space="preserve"> aux épidémies</w:t>
            </w:r>
            <w:r w:rsidRPr="00DB5F62">
              <w:rPr>
                <w:rFonts w:ascii="Trebuchet MS" w:hAnsi="Trebuchet MS"/>
                <w:sz w:val="20"/>
                <w:szCs w:val="20"/>
                <w:lang w:val="fr-FR"/>
              </w:rPr>
              <w:t>. Il fournit des conseils sur un ensemble d'actions immédiates ciblées que les pays devraient envisager aux niveaux national, régional et local pour réorganiser et maintenir l'accès à des services de santé essentiels de qualité pour tous.</w:t>
            </w:r>
          </w:p>
        </w:tc>
      </w:tr>
      <w:tr w:rsidR="008D3931" w:rsidRPr="001343E2" w:rsidTr="00CA368E">
        <w:tc>
          <w:tcPr>
            <w:tcW w:w="2830" w:type="dxa"/>
            <w:shd w:val="clear" w:color="auto" w:fill="EDEDED" w:themeFill="accent3" w:themeFillTint="33"/>
          </w:tcPr>
          <w:p w:rsidR="008D3931" w:rsidRPr="00BD4599" w:rsidRDefault="008D3931" w:rsidP="00CA368E">
            <w:pPr>
              <w:rPr>
                <w:rFonts w:ascii="Trebuchet MS" w:hAnsi="Trebuchet MS"/>
                <w:b/>
                <w:bCs/>
                <w:color w:val="44546A" w:themeColor="text2"/>
                <w:lang w:val="fr-FR"/>
              </w:rPr>
            </w:pPr>
            <w:r w:rsidRPr="00BD4599">
              <w:rPr>
                <w:rFonts w:ascii="Trebuchet MS" w:hAnsi="Trebuchet MS"/>
                <w:b/>
                <w:bCs/>
                <w:color w:val="44546A" w:themeColor="text2"/>
                <w:lang w:val="fr-FR"/>
              </w:rPr>
              <w:t>7. Guide régional sur la détermination des normes et standards de dotation en personnel dans la région africaine</w:t>
            </w:r>
          </w:p>
        </w:tc>
        <w:tc>
          <w:tcPr>
            <w:tcW w:w="6663" w:type="dxa"/>
            <w:shd w:val="clear" w:color="auto" w:fill="FBE4D5" w:themeFill="accent2" w:themeFillTint="33"/>
          </w:tcPr>
          <w:p w:rsidR="008D3931" w:rsidRPr="00F4210D" w:rsidRDefault="008D3931" w:rsidP="00CA368E">
            <w:pPr>
              <w:jc w:val="both"/>
              <w:rPr>
                <w:rFonts w:ascii="Trebuchet MS" w:hAnsi="Trebuchet MS"/>
                <w:sz w:val="20"/>
                <w:szCs w:val="20"/>
                <w:lang w:val="fr-FR"/>
              </w:rPr>
            </w:pPr>
            <w:r w:rsidRPr="00F4210D">
              <w:rPr>
                <w:rFonts w:ascii="Trebuchet MS" w:hAnsi="Trebuchet MS"/>
                <w:sz w:val="20"/>
                <w:szCs w:val="20"/>
                <w:lang w:val="fr-FR"/>
              </w:rPr>
              <w:t>Ce guide a été élaboré en raison de la nécessité de disposer d'un éventail de compétences adéquat pour les agents de santé dans les établissements de santé des pays de la Région africaine. Il a été élaboré sur la base des expériences et des enseignements tirés de l'élaboration de normes de dotation en personnel dans la Région africaine. Il fournit aux États membres et aux partenaires des cadres flexibles, adaptables et faciles à utiliser pour guider la détermination des normes de dotation en personnel de santé pour les établissements de santé.</w:t>
            </w:r>
          </w:p>
        </w:tc>
      </w:tr>
      <w:tr w:rsidR="008D3931" w:rsidRPr="001343E2" w:rsidTr="00CA368E">
        <w:tc>
          <w:tcPr>
            <w:tcW w:w="2830" w:type="dxa"/>
            <w:shd w:val="clear" w:color="auto" w:fill="EDEDED" w:themeFill="accent3" w:themeFillTint="33"/>
          </w:tcPr>
          <w:p w:rsidR="008D3931" w:rsidRPr="00BD4599" w:rsidRDefault="008D3931" w:rsidP="00CA368E">
            <w:pPr>
              <w:rPr>
                <w:rFonts w:ascii="Trebuchet MS" w:hAnsi="Trebuchet MS"/>
                <w:b/>
                <w:bCs/>
                <w:color w:val="44546A" w:themeColor="text2"/>
                <w:lang w:val="fr-FR"/>
              </w:rPr>
            </w:pPr>
            <w:r w:rsidRPr="00BD4599">
              <w:rPr>
                <w:rFonts w:ascii="Trebuchet MS" w:hAnsi="Trebuchet MS"/>
                <w:b/>
                <w:bCs/>
                <w:color w:val="44546A" w:themeColor="text2"/>
                <w:lang w:val="fr-FR"/>
              </w:rPr>
              <w:t>8. Seuils de densité du personnel de santé pour soutenir la réalisation de la couverture sanitaire universelle dans la région africaine</w:t>
            </w:r>
          </w:p>
        </w:tc>
        <w:tc>
          <w:tcPr>
            <w:tcW w:w="6663" w:type="dxa"/>
            <w:shd w:val="clear" w:color="auto" w:fill="FBE4D5" w:themeFill="accent2" w:themeFillTint="33"/>
          </w:tcPr>
          <w:p w:rsidR="008D3931" w:rsidRPr="00F4210D" w:rsidRDefault="008D3931" w:rsidP="00CA368E">
            <w:pPr>
              <w:rPr>
                <w:rFonts w:ascii="Trebuchet MS" w:hAnsi="Trebuchet MS"/>
                <w:sz w:val="20"/>
                <w:szCs w:val="20"/>
                <w:lang w:val="fr-FR"/>
              </w:rPr>
            </w:pPr>
            <w:r w:rsidRPr="00F4210D">
              <w:rPr>
                <w:rFonts w:ascii="Trebuchet MS" w:hAnsi="Trebuchet MS"/>
                <w:sz w:val="20"/>
                <w:szCs w:val="20"/>
                <w:lang w:val="fr-FR"/>
              </w:rPr>
              <w:t xml:space="preserve">Ce document technique est le produit d'une analyse exploratoire menée par l'Unité des personnels de santé de l'OMS/AFRO afin d'obtenir un seuil de densité des personnels de santé pour </w:t>
            </w:r>
            <w:r>
              <w:rPr>
                <w:rFonts w:ascii="Trebuchet MS" w:hAnsi="Trebuchet MS"/>
                <w:sz w:val="20"/>
                <w:szCs w:val="20"/>
                <w:lang w:val="fr-FR"/>
              </w:rPr>
              <w:t>11 catégories de personnels de santé</w:t>
            </w:r>
            <w:r w:rsidRPr="00F4210D">
              <w:rPr>
                <w:rFonts w:ascii="Trebuchet MS" w:hAnsi="Trebuchet MS"/>
                <w:sz w:val="20"/>
                <w:szCs w:val="20"/>
                <w:lang w:val="fr-FR"/>
              </w:rPr>
              <w:t xml:space="preserve"> dans la Région africaine. Les résultats complètent les </w:t>
            </w:r>
            <w:r>
              <w:rPr>
                <w:rFonts w:ascii="Trebuchet MS" w:hAnsi="Trebuchet MS"/>
                <w:sz w:val="20"/>
                <w:szCs w:val="20"/>
                <w:lang w:val="fr-FR"/>
              </w:rPr>
              <w:t xml:space="preserve">seuils de densités de RHS </w:t>
            </w:r>
            <w:r w:rsidRPr="00F4210D">
              <w:rPr>
                <w:rFonts w:ascii="Trebuchet MS" w:hAnsi="Trebuchet MS"/>
                <w:sz w:val="20"/>
                <w:szCs w:val="20"/>
                <w:lang w:val="fr-FR"/>
              </w:rPr>
              <w:t xml:space="preserve">de l'OMS et démontrent </w:t>
            </w:r>
            <w:r>
              <w:rPr>
                <w:rFonts w:ascii="Trebuchet MS" w:hAnsi="Trebuchet MS"/>
                <w:sz w:val="20"/>
                <w:szCs w:val="20"/>
                <w:lang w:val="fr-FR"/>
              </w:rPr>
              <w:t xml:space="preserve">prend en compte </w:t>
            </w:r>
            <w:r w:rsidRPr="00F4210D">
              <w:rPr>
                <w:rFonts w:ascii="Trebuchet MS" w:hAnsi="Trebuchet MS"/>
                <w:sz w:val="20"/>
                <w:szCs w:val="20"/>
                <w:lang w:val="fr-FR"/>
              </w:rPr>
              <w:t>la contribution d'autres ca</w:t>
            </w:r>
            <w:r>
              <w:rPr>
                <w:rFonts w:ascii="Trebuchet MS" w:hAnsi="Trebuchet MS"/>
                <w:sz w:val="20"/>
                <w:szCs w:val="20"/>
                <w:lang w:val="fr-FR"/>
              </w:rPr>
              <w:t>tégories de personnel</w:t>
            </w:r>
            <w:r w:rsidRPr="00F4210D">
              <w:rPr>
                <w:rFonts w:ascii="Trebuchet MS" w:hAnsi="Trebuchet MS"/>
                <w:sz w:val="20"/>
                <w:szCs w:val="20"/>
                <w:lang w:val="fr-FR"/>
              </w:rPr>
              <w:t xml:space="preserve"> (outre les médecins, les infirmiers et les sages-femmes)</w:t>
            </w:r>
            <w:r>
              <w:rPr>
                <w:rFonts w:ascii="Trebuchet MS" w:hAnsi="Trebuchet MS"/>
                <w:sz w:val="20"/>
                <w:szCs w:val="20"/>
                <w:lang w:val="fr-FR"/>
              </w:rPr>
              <w:t xml:space="preserve"> dans le e de</w:t>
            </w:r>
            <w:r w:rsidRPr="00F4210D">
              <w:rPr>
                <w:rFonts w:ascii="Trebuchet MS" w:hAnsi="Trebuchet MS"/>
                <w:sz w:val="20"/>
                <w:szCs w:val="20"/>
                <w:lang w:val="fr-FR"/>
              </w:rPr>
              <w:t xml:space="preserve"> la réalisation progressive de la couverture sanitaire universelle. Le seuil estimé tient compte de tous les agents de santé nécessaires à tous les niveaux de prestation de services et dans tous les secteurs.</w:t>
            </w:r>
          </w:p>
        </w:tc>
      </w:tr>
      <w:tr w:rsidR="008D3931" w:rsidRPr="001343E2" w:rsidTr="00CA368E">
        <w:tc>
          <w:tcPr>
            <w:tcW w:w="2830" w:type="dxa"/>
            <w:shd w:val="clear" w:color="auto" w:fill="EDEDED" w:themeFill="accent3" w:themeFillTint="33"/>
          </w:tcPr>
          <w:p w:rsidR="008D3931" w:rsidRPr="00BD4599" w:rsidRDefault="008D3931" w:rsidP="00CA368E">
            <w:pPr>
              <w:rPr>
                <w:rFonts w:ascii="Trebuchet MS" w:hAnsi="Trebuchet MS"/>
                <w:b/>
                <w:bCs/>
                <w:color w:val="44546A" w:themeColor="text2"/>
                <w:lang w:val="fr-FR"/>
              </w:rPr>
            </w:pPr>
            <w:r w:rsidRPr="00BD4599">
              <w:rPr>
                <w:rFonts w:ascii="Trebuchet MS" w:hAnsi="Trebuchet MS"/>
                <w:b/>
                <w:bCs/>
                <w:color w:val="44546A" w:themeColor="text2"/>
                <w:lang w:val="fr-FR"/>
              </w:rPr>
              <w:t>9. Politique et gestion du personnel de santé dans le contexte de la réponse à la pandémie de COVID-19 : orientations provisoires, décembre 2020.</w:t>
            </w:r>
          </w:p>
        </w:tc>
        <w:tc>
          <w:tcPr>
            <w:tcW w:w="6663" w:type="dxa"/>
            <w:shd w:val="clear" w:color="auto" w:fill="FBE4D5" w:themeFill="accent2" w:themeFillTint="33"/>
          </w:tcPr>
          <w:p w:rsidR="008D3931" w:rsidRDefault="008D3931" w:rsidP="00CA368E">
            <w:pPr>
              <w:rPr>
                <w:rFonts w:ascii="Trebuchet MS" w:hAnsi="Trebuchet MS"/>
                <w:sz w:val="20"/>
                <w:szCs w:val="20"/>
                <w:lang w:val="fr-FR"/>
              </w:rPr>
            </w:pPr>
            <w:r w:rsidRPr="00F4210D">
              <w:rPr>
                <w:rFonts w:ascii="Trebuchet MS" w:hAnsi="Trebuchet MS"/>
                <w:sz w:val="20"/>
                <w:szCs w:val="20"/>
                <w:lang w:val="fr-FR"/>
              </w:rPr>
              <w:t>Ce guide consolide les directives COVID-19 relatives aux ressources humaines à l'intention des responsables de la santé et des décideurs aux niveaux national, infranational et des établissements, afin de concevoir, gérer et préserver les effectifs nécessaires pour gérer la pandémie COVID-19 et maintenir les services de santé essentiels. Le guide identifie des recommandations aux niveaux de la gestion, de l'organisation et du système. Il regroupe en un seul document de référence</w:t>
            </w:r>
            <w:r>
              <w:rPr>
                <w:rFonts w:ascii="Trebuchet MS" w:hAnsi="Trebuchet MS"/>
                <w:sz w:val="20"/>
                <w:szCs w:val="20"/>
                <w:lang w:val="fr-FR"/>
              </w:rPr>
              <w:t>,</w:t>
            </w:r>
            <w:r w:rsidRPr="00F4210D">
              <w:rPr>
                <w:rFonts w:ascii="Trebuchet MS" w:hAnsi="Trebuchet MS"/>
                <w:sz w:val="20"/>
                <w:szCs w:val="20"/>
                <w:lang w:val="fr-FR"/>
              </w:rPr>
              <w:t xml:space="preserve"> les premiers éléments d'appréciation de la pandémie et les options de politique du personnel de santé figurant dans les directives publiées par l'Organisation mondiale de la santé (OMS) sur l</w:t>
            </w:r>
            <w:r>
              <w:rPr>
                <w:rFonts w:ascii="Trebuchet MS" w:hAnsi="Trebuchet MS"/>
                <w:sz w:val="20"/>
                <w:szCs w:val="20"/>
                <w:lang w:val="fr-FR"/>
              </w:rPr>
              <w:t>a</w:t>
            </w:r>
            <w:r w:rsidRPr="00F4210D">
              <w:rPr>
                <w:rFonts w:ascii="Trebuchet MS" w:hAnsi="Trebuchet MS"/>
                <w:sz w:val="20"/>
                <w:szCs w:val="20"/>
                <w:lang w:val="fr-FR"/>
              </w:rPr>
              <w:t xml:space="preserve"> COVID-19.</w:t>
            </w:r>
          </w:p>
          <w:p w:rsidR="008D3931" w:rsidRPr="00F4210D" w:rsidRDefault="00A84E16" w:rsidP="00CA368E">
            <w:pPr>
              <w:rPr>
                <w:rFonts w:ascii="Trebuchet MS" w:hAnsi="Trebuchet MS"/>
                <w:sz w:val="20"/>
                <w:szCs w:val="20"/>
                <w:lang w:val="fr-FR"/>
              </w:rPr>
            </w:pPr>
            <w:hyperlink r:id="rId11" w:history="1">
              <w:r w:rsidR="008D3931" w:rsidRPr="004C1341">
                <w:rPr>
                  <w:rStyle w:val="Hyperlink"/>
                  <w:rFonts w:ascii="Trebuchet MS" w:hAnsi="Trebuchet MS"/>
                  <w:sz w:val="20"/>
                  <w:szCs w:val="20"/>
                  <w:lang w:val="fr-FR"/>
                </w:rPr>
                <w:t>https://apps.who.int/iris/handle/10665/337333</w:t>
              </w:r>
            </w:hyperlink>
            <w:r w:rsidR="008D3931" w:rsidRPr="00F4210D">
              <w:rPr>
                <w:rFonts w:ascii="Trebuchet MS" w:hAnsi="Trebuchet MS"/>
                <w:sz w:val="20"/>
                <w:szCs w:val="20"/>
                <w:lang w:val="fr-FR"/>
              </w:rPr>
              <w:t>.</w:t>
            </w:r>
          </w:p>
          <w:p w:rsidR="008D3931" w:rsidRPr="00F4210D" w:rsidRDefault="008D3931" w:rsidP="00CA368E">
            <w:pPr>
              <w:rPr>
                <w:rFonts w:ascii="Trebuchet MS" w:hAnsi="Trebuchet MS"/>
                <w:sz w:val="20"/>
                <w:szCs w:val="20"/>
                <w:lang w:val="fr-FR"/>
              </w:rPr>
            </w:pPr>
          </w:p>
        </w:tc>
      </w:tr>
      <w:tr w:rsidR="008D3931" w:rsidRPr="001343E2" w:rsidTr="00CA368E">
        <w:tc>
          <w:tcPr>
            <w:tcW w:w="2830" w:type="dxa"/>
            <w:shd w:val="clear" w:color="auto" w:fill="EDEDED" w:themeFill="accent3" w:themeFillTint="33"/>
          </w:tcPr>
          <w:p w:rsidR="008D3931" w:rsidRPr="00BD4599" w:rsidRDefault="008D3931" w:rsidP="00CA368E">
            <w:pPr>
              <w:pStyle w:val="ListParagraph"/>
              <w:ind w:left="316"/>
              <w:rPr>
                <w:rFonts w:ascii="Trebuchet MS" w:hAnsi="Trebuchet MS"/>
                <w:b/>
                <w:bCs/>
                <w:color w:val="44546A" w:themeColor="text2"/>
                <w:lang w:val="fr-FR"/>
              </w:rPr>
            </w:pPr>
            <w:r w:rsidRPr="00BD4599">
              <w:rPr>
                <w:rFonts w:ascii="Trebuchet MS" w:hAnsi="Trebuchet MS"/>
                <w:b/>
                <w:bCs/>
                <w:color w:val="44546A" w:themeColor="text2"/>
                <w:lang w:val="fr-FR"/>
              </w:rPr>
              <w:t xml:space="preserve">10. Comptes nationaux des personnels de santé : </w:t>
            </w:r>
            <w:r>
              <w:rPr>
                <w:rFonts w:ascii="Trebuchet MS" w:hAnsi="Trebuchet MS"/>
                <w:b/>
                <w:bCs/>
                <w:color w:val="44546A" w:themeColor="text2"/>
                <w:lang w:val="fr-FR"/>
              </w:rPr>
              <w:t xml:space="preserve">le </w:t>
            </w:r>
            <w:r w:rsidRPr="00BD4599">
              <w:rPr>
                <w:rFonts w:ascii="Trebuchet MS" w:hAnsi="Trebuchet MS"/>
                <w:b/>
                <w:bCs/>
                <w:color w:val="44546A" w:themeColor="text2"/>
                <w:lang w:val="fr-FR"/>
              </w:rPr>
              <w:t xml:space="preserve">manuel  </w:t>
            </w:r>
          </w:p>
        </w:tc>
        <w:tc>
          <w:tcPr>
            <w:tcW w:w="6663" w:type="dxa"/>
            <w:shd w:val="clear" w:color="auto" w:fill="FBE4D5" w:themeFill="accent2" w:themeFillTint="33"/>
          </w:tcPr>
          <w:p w:rsidR="008D3931" w:rsidRPr="00F4210D" w:rsidRDefault="008D3931" w:rsidP="00CA368E">
            <w:pPr>
              <w:jc w:val="both"/>
              <w:rPr>
                <w:rFonts w:ascii="Trebuchet MS" w:hAnsi="Trebuchet MS"/>
                <w:sz w:val="20"/>
                <w:szCs w:val="20"/>
                <w:lang w:val="fr-FR"/>
              </w:rPr>
            </w:pPr>
            <w:r w:rsidRPr="00F4210D">
              <w:rPr>
                <w:rFonts w:ascii="Trebuchet MS" w:hAnsi="Trebuchet MS"/>
                <w:sz w:val="20"/>
                <w:szCs w:val="20"/>
                <w:lang w:val="fr-FR"/>
              </w:rPr>
              <w:t>Les comptes nationaux du personnel de santé contiennent un ensemble de 70 indicateurs de base, répartis sur 10 modules. L'objectif d</w:t>
            </w:r>
            <w:r>
              <w:rPr>
                <w:rFonts w:ascii="Trebuchet MS" w:hAnsi="Trebuchet MS"/>
                <w:sz w:val="20"/>
                <w:szCs w:val="20"/>
                <w:lang w:val="fr-FR"/>
              </w:rPr>
              <w:t>es CNPS</w:t>
            </w:r>
            <w:r w:rsidRPr="00F4210D">
              <w:rPr>
                <w:rFonts w:ascii="Trebuchet MS" w:hAnsi="Trebuchet MS"/>
                <w:sz w:val="20"/>
                <w:szCs w:val="20"/>
                <w:lang w:val="fr-FR"/>
              </w:rPr>
              <w:t xml:space="preserve"> est de faciliter la normalisation d'un système d'information sur le personnel de santé afin d'améliorer la qualité des données, ainsi que de soutenir le suivi des performances des politiques de RHS en vue de la couverture sanitaire universelle (CSU). La mise en œuvre de</w:t>
            </w:r>
            <w:r>
              <w:rPr>
                <w:rFonts w:ascii="Trebuchet MS" w:hAnsi="Trebuchet MS"/>
                <w:sz w:val="20"/>
                <w:szCs w:val="20"/>
                <w:lang w:val="fr-FR"/>
              </w:rPr>
              <w:t xml:space="preserve">s CNPS </w:t>
            </w:r>
            <w:r w:rsidRPr="00F4210D">
              <w:rPr>
                <w:rFonts w:ascii="Trebuchet MS" w:hAnsi="Trebuchet MS"/>
                <w:sz w:val="20"/>
                <w:szCs w:val="20"/>
                <w:lang w:val="fr-FR"/>
              </w:rPr>
              <w:t xml:space="preserve">est soutenue par un manuel, un guide de mise en œuvre et une plateforme </w:t>
            </w:r>
            <w:r>
              <w:rPr>
                <w:rFonts w:ascii="Trebuchet MS" w:hAnsi="Trebuchet MS"/>
                <w:sz w:val="20"/>
                <w:szCs w:val="20"/>
                <w:lang w:val="fr-FR"/>
              </w:rPr>
              <w:t>en ligne</w:t>
            </w:r>
            <w:r w:rsidRPr="00F4210D">
              <w:rPr>
                <w:rFonts w:ascii="Trebuchet MS" w:hAnsi="Trebuchet MS"/>
                <w:sz w:val="20"/>
                <w:szCs w:val="20"/>
                <w:lang w:val="fr-FR"/>
              </w:rPr>
              <w:t xml:space="preserve"> de mesure et de responsabilité globale. Le manuel fournit une définition des indicateurs, des types de données à collecter et des sources de données. La mise en œuvre d</w:t>
            </w:r>
            <w:r>
              <w:rPr>
                <w:rFonts w:ascii="Trebuchet MS" w:hAnsi="Trebuchet MS"/>
                <w:sz w:val="20"/>
                <w:szCs w:val="20"/>
                <w:lang w:val="fr-FR"/>
              </w:rPr>
              <w:t>es CNPS</w:t>
            </w:r>
            <w:r w:rsidRPr="00F4210D">
              <w:rPr>
                <w:rFonts w:ascii="Trebuchet MS" w:hAnsi="Trebuchet MS"/>
                <w:sz w:val="20"/>
                <w:szCs w:val="20"/>
                <w:lang w:val="fr-FR"/>
              </w:rPr>
              <w:t xml:space="preserve"> est progressive et dépend des capacités du pays en termes de disponibilité des données et de maturité des systèmes d'information existant au sein du ministère de la santé et au-delà.</w:t>
            </w:r>
          </w:p>
          <w:p w:rsidR="008D3931" w:rsidRPr="008D3931" w:rsidRDefault="00A84E16" w:rsidP="00CA368E">
            <w:pPr>
              <w:jc w:val="both"/>
              <w:rPr>
                <w:rStyle w:val="Hyperlink"/>
                <w:rFonts w:ascii="Trebuchet MS" w:hAnsi="Trebuchet MS"/>
                <w:sz w:val="20"/>
                <w:szCs w:val="20"/>
                <w:lang w:val="fr-FR"/>
              </w:rPr>
            </w:pPr>
            <w:hyperlink r:id="rId12" w:history="1">
              <w:r w:rsidR="008D3931" w:rsidRPr="008D3931">
                <w:rPr>
                  <w:rStyle w:val="Hyperlink"/>
                  <w:rFonts w:ascii="Trebuchet MS" w:hAnsi="Trebuchet MS"/>
                  <w:sz w:val="20"/>
                  <w:szCs w:val="20"/>
                  <w:lang w:val="fr-FR"/>
                </w:rPr>
                <w:t>https://apps.who.int/iris/handle/10665/259360</w:t>
              </w:r>
            </w:hyperlink>
          </w:p>
          <w:p w:rsidR="008D3931" w:rsidRPr="008D3931" w:rsidRDefault="008D3931" w:rsidP="00CA368E">
            <w:pPr>
              <w:jc w:val="both"/>
              <w:rPr>
                <w:rFonts w:ascii="Trebuchet MS" w:hAnsi="Trebuchet MS"/>
                <w:sz w:val="20"/>
                <w:szCs w:val="20"/>
                <w:lang w:val="fr-FR"/>
              </w:rPr>
            </w:pPr>
          </w:p>
        </w:tc>
      </w:tr>
      <w:tr w:rsidR="008D3931" w:rsidRPr="009771AB" w:rsidTr="00CA368E">
        <w:tc>
          <w:tcPr>
            <w:tcW w:w="2830" w:type="dxa"/>
            <w:shd w:val="clear" w:color="auto" w:fill="EDEDED" w:themeFill="accent3" w:themeFillTint="33"/>
          </w:tcPr>
          <w:p w:rsidR="008D3931" w:rsidRPr="00BD4599" w:rsidRDefault="008D3931" w:rsidP="00CA368E">
            <w:pPr>
              <w:rPr>
                <w:rFonts w:ascii="Trebuchet MS" w:hAnsi="Trebuchet MS"/>
                <w:color w:val="44546A" w:themeColor="text2"/>
                <w:lang w:val="fr-FR"/>
              </w:rPr>
            </w:pPr>
            <w:r w:rsidRPr="00BD4599">
              <w:rPr>
                <w:rFonts w:ascii="Trebuchet MS" w:hAnsi="Trebuchet MS"/>
                <w:b/>
                <w:bCs/>
                <w:color w:val="44546A" w:themeColor="text2"/>
                <w:lang w:val="fr-FR"/>
              </w:rPr>
              <w:t xml:space="preserve">11. Stratégie mondiale en matière de ressources humaines pour la santé : </w:t>
            </w:r>
            <w:r>
              <w:rPr>
                <w:rFonts w:ascii="Trebuchet MS" w:hAnsi="Trebuchet MS"/>
                <w:b/>
                <w:bCs/>
                <w:color w:val="44546A" w:themeColor="text2"/>
                <w:lang w:val="fr-FR"/>
              </w:rPr>
              <w:t>Personnel</w:t>
            </w:r>
            <w:r w:rsidRPr="00BD4599">
              <w:rPr>
                <w:rFonts w:ascii="Trebuchet MS" w:hAnsi="Trebuchet MS"/>
                <w:b/>
                <w:bCs/>
                <w:color w:val="44546A" w:themeColor="text2"/>
                <w:lang w:val="fr-FR"/>
              </w:rPr>
              <w:t xml:space="preserve"> 2030</w:t>
            </w:r>
            <w:r w:rsidRPr="00C2708B">
              <w:rPr>
                <w:rFonts w:ascii="Tahoma" w:hAnsi="Tahoma" w:cs="Tahoma"/>
                <w:b/>
                <w:bCs/>
                <w:color w:val="44546A" w:themeColor="text2"/>
              </w:rPr>
              <w:t>﻿</w:t>
            </w:r>
            <w:r w:rsidRPr="00BD4599">
              <w:rPr>
                <w:rFonts w:ascii="Trebuchet MS" w:hAnsi="Trebuchet MS"/>
                <w:b/>
                <w:bCs/>
                <w:color w:val="44546A" w:themeColor="text2"/>
                <w:lang w:val="fr-FR"/>
              </w:rPr>
              <w:t xml:space="preserve"> </w:t>
            </w:r>
          </w:p>
        </w:tc>
        <w:tc>
          <w:tcPr>
            <w:tcW w:w="6663" w:type="dxa"/>
            <w:shd w:val="clear" w:color="auto" w:fill="FBE4D5" w:themeFill="accent2" w:themeFillTint="33"/>
          </w:tcPr>
          <w:p w:rsidR="008D3931" w:rsidRDefault="008D3931" w:rsidP="00CA368E">
            <w:pPr>
              <w:jc w:val="both"/>
              <w:rPr>
                <w:rFonts w:ascii="Trebuchet MS" w:hAnsi="Trebuchet MS"/>
                <w:sz w:val="20"/>
                <w:szCs w:val="20"/>
              </w:rPr>
            </w:pPr>
            <w:r w:rsidRPr="00F4210D">
              <w:rPr>
                <w:rFonts w:ascii="Trebuchet MS" w:hAnsi="Trebuchet MS"/>
                <w:sz w:val="20"/>
                <w:szCs w:val="20"/>
                <w:lang w:val="fr-FR"/>
              </w:rPr>
              <w:t xml:space="preserve">La stratégie mondiale en matière de ressources humaines pour la santé aborde, de manière intégrée, tous les aspects allant de la planification à l'éducation, en passant par la gestion, la fidélisation, les incitations et les liens avec le personnel des services sociaux. Elle éclaire l'action multisectorielle, en s'appuyant sur les nouvelles données et les meilleures pratiques. </w:t>
            </w:r>
            <w:proofErr w:type="spellStart"/>
            <w:r w:rsidRPr="00F4210D">
              <w:rPr>
                <w:rFonts w:ascii="Trebuchet MS" w:hAnsi="Trebuchet MS"/>
                <w:sz w:val="20"/>
                <w:szCs w:val="20"/>
              </w:rPr>
              <w:t>Télécharger</w:t>
            </w:r>
            <w:proofErr w:type="spellEnd"/>
            <w:r w:rsidRPr="00F4210D">
              <w:rPr>
                <w:rFonts w:ascii="Trebuchet MS" w:hAnsi="Trebuchet MS"/>
                <w:sz w:val="20"/>
                <w:szCs w:val="20"/>
              </w:rPr>
              <w:t xml:space="preserve"> </w:t>
            </w:r>
            <w:proofErr w:type="spellStart"/>
            <w:r w:rsidRPr="00F4210D">
              <w:rPr>
                <w:rFonts w:ascii="Trebuchet MS" w:hAnsi="Trebuchet MS"/>
                <w:sz w:val="20"/>
                <w:szCs w:val="20"/>
              </w:rPr>
              <w:t>une</w:t>
            </w:r>
            <w:proofErr w:type="spellEnd"/>
            <w:r w:rsidRPr="00F4210D">
              <w:rPr>
                <w:rFonts w:ascii="Trebuchet MS" w:hAnsi="Trebuchet MS"/>
                <w:sz w:val="20"/>
                <w:szCs w:val="20"/>
              </w:rPr>
              <w:t xml:space="preserve"> </w:t>
            </w:r>
            <w:proofErr w:type="spellStart"/>
            <w:r w:rsidRPr="00F4210D">
              <w:rPr>
                <w:rFonts w:ascii="Trebuchet MS" w:hAnsi="Trebuchet MS"/>
                <w:sz w:val="20"/>
                <w:szCs w:val="20"/>
              </w:rPr>
              <w:t>copie</w:t>
            </w:r>
            <w:proofErr w:type="spellEnd"/>
            <w:r w:rsidRPr="00F4210D">
              <w:rPr>
                <w:rFonts w:ascii="Trebuchet MS" w:hAnsi="Trebuchet MS"/>
                <w:sz w:val="20"/>
                <w:szCs w:val="20"/>
              </w:rPr>
              <w:t xml:space="preserve"> :</w:t>
            </w:r>
          </w:p>
          <w:p w:rsidR="008D3931" w:rsidRPr="009771AB" w:rsidRDefault="008D3931" w:rsidP="00CA368E">
            <w:pPr>
              <w:jc w:val="both"/>
              <w:rPr>
                <w:rFonts w:ascii="Trebuchet MS" w:hAnsi="Trebuchet MS"/>
                <w:sz w:val="20"/>
                <w:szCs w:val="20"/>
              </w:rPr>
            </w:pPr>
            <w:r w:rsidRPr="00303A4D">
              <w:rPr>
                <w:rFonts w:ascii="Trebuchet MS" w:hAnsi="Trebuchet MS"/>
                <w:sz w:val="20"/>
                <w:szCs w:val="20"/>
              </w:rPr>
              <w:t xml:space="preserve"> </w:t>
            </w:r>
            <w:hyperlink r:id="rId13" w:history="1">
              <w:r w:rsidRPr="009771AB">
                <w:rPr>
                  <w:rStyle w:val="Hyperlink"/>
                  <w:rFonts w:ascii="Trebuchet MS" w:hAnsi="Trebuchet MS"/>
                  <w:b/>
                  <w:bCs/>
                  <w:sz w:val="20"/>
                  <w:szCs w:val="20"/>
                </w:rPr>
                <w:t>Global strategy on human resources for health: workforce 2030</w:t>
              </w:r>
            </w:hyperlink>
            <w:r w:rsidRPr="009771AB">
              <w:rPr>
                <w:rFonts w:ascii="Trebuchet MS" w:hAnsi="Trebuchet MS"/>
                <w:b/>
                <w:bCs/>
                <w:sz w:val="20"/>
                <w:szCs w:val="20"/>
              </w:rPr>
              <w:t xml:space="preserve"> </w:t>
            </w:r>
            <w:r w:rsidRPr="009771AB">
              <w:rPr>
                <w:rFonts w:ascii="Tahoma" w:hAnsi="Tahoma" w:cs="Tahoma"/>
                <w:b/>
                <w:bCs/>
                <w:sz w:val="20"/>
                <w:szCs w:val="20"/>
              </w:rPr>
              <w:t>﻿</w:t>
            </w:r>
            <w:r w:rsidRPr="009771AB">
              <w:rPr>
                <w:rFonts w:ascii="Trebuchet MS" w:hAnsi="Trebuchet MS"/>
                <w:b/>
                <w:bCs/>
                <w:sz w:val="20"/>
                <w:szCs w:val="20"/>
              </w:rPr>
              <w:t xml:space="preserve"> </w:t>
            </w:r>
          </w:p>
        </w:tc>
      </w:tr>
      <w:tr w:rsidR="008D3931" w:rsidRPr="009771AB" w:rsidTr="00CA368E">
        <w:tc>
          <w:tcPr>
            <w:tcW w:w="2830" w:type="dxa"/>
            <w:shd w:val="clear" w:color="auto" w:fill="EDEDED" w:themeFill="accent3" w:themeFillTint="33"/>
          </w:tcPr>
          <w:p w:rsidR="008D3931" w:rsidRPr="00BD4599" w:rsidRDefault="008D3931" w:rsidP="00CA368E">
            <w:pPr>
              <w:pStyle w:val="ListParagraph"/>
              <w:ind w:left="316"/>
              <w:rPr>
                <w:rFonts w:ascii="Trebuchet MS" w:hAnsi="Trebuchet MS"/>
                <w:b/>
                <w:bCs/>
                <w:color w:val="44546A" w:themeColor="text2"/>
                <w:lang w:val="fr-FR"/>
              </w:rPr>
            </w:pPr>
            <w:r w:rsidRPr="00BD4599">
              <w:rPr>
                <w:rFonts w:ascii="Tahoma" w:hAnsi="Tahoma" w:cs="Tahoma"/>
                <w:b/>
                <w:bCs/>
                <w:color w:val="44546A" w:themeColor="text2"/>
                <w:lang w:val="fr-FR"/>
              </w:rPr>
              <w:t xml:space="preserve">12. </w:t>
            </w:r>
            <w:r w:rsidRPr="00BD4599">
              <w:rPr>
                <w:rFonts w:ascii="Trebuchet MS" w:hAnsi="Trebuchet MS"/>
                <w:b/>
                <w:bCs/>
                <w:color w:val="44546A" w:themeColor="text2"/>
                <w:lang w:val="fr-FR"/>
              </w:rPr>
              <w:t>Réglementation du personnel de santé dans la région du Pacifique occidental</w:t>
            </w:r>
          </w:p>
        </w:tc>
        <w:tc>
          <w:tcPr>
            <w:tcW w:w="6663" w:type="dxa"/>
            <w:shd w:val="clear" w:color="auto" w:fill="FBE4D5" w:themeFill="accent2" w:themeFillTint="33"/>
          </w:tcPr>
          <w:p w:rsidR="008D3931" w:rsidRDefault="008D3931" w:rsidP="00CA368E">
            <w:pPr>
              <w:jc w:val="both"/>
              <w:rPr>
                <w:rFonts w:ascii="Tahoma" w:hAnsi="Tahoma" w:cs="Tahoma"/>
                <w:sz w:val="20"/>
                <w:szCs w:val="20"/>
              </w:rPr>
            </w:pPr>
            <w:r w:rsidRPr="009771AB">
              <w:rPr>
                <w:rFonts w:ascii="Tahoma" w:hAnsi="Tahoma" w:cs="Tahoma"/>
                <w:sz w:val="20"/>
                <w:szCs w:val="20"/>
              </w:rPr>
              <w:t>﻿</w:t>
            </w:r>
            <w:r w:rsidRPr="008166CF">
              <w:rPr>
                <w:rFonts w:ascii="Tahoma" w:hAnsi="Tahoma" w:cs="Tahoma"/>
                <w:sz w:val="20"/>
                <w:szCs w:val="20"/>
                <w:lang w:val="fr-FR"/>
              </w:rPr>
              <w:t xml:space="preserve">Avec la politique fiscale et monétaire, la réglementation joue un rôle essentiel dans le façonnement du bien-être des économies et de la société, et constitue l'un des principaux leviers d'influence des gouvernements. Les gouvernements réglementent les services et systèmes de santé afin d'améliorer la qualité des services et des résultats en matière de santé, de garantir l'équité et l'accès, de protéger le public, de promouvoir la cohésion sociale et d'accroître l'efficacité économique. </w:t>
            </w:r>
            <w:r w:rsidRPr="008166CF">
              <w:rPr>
                <w:rFonts w:ascii="Tahoma" w:hAnsi="Tahoma" w:cs="Tahoma"/>
                <w:sz w:val="20"/>
                <w:szCs w:val="20"/>
              </w:rPr>
              <w:t xml:space="preserve">Lien pour </w:t>
            </w:r>
            <w:proofErr w:type="spellStart"/>
            <w:r w:rsidRPr="008166CF">
              <w:rPr>
                <w:rFonts w:ascii="Tahoma" w:hAnsi="Tahoma" w:cs="Tahoma"/>
                <w:sz w:val="20"/>
                <w:szCs w:val="20"/>
              </w:rPr>
              <w:t>télécharger</w:t>
            </w:r>
            <w:proofErr w:type="spellEnd"/>
            <w:r w:rsidRPr="008166CF">
              <w:rPr>
                <w:rFonts w:ascii="Tahoma" w:hAnsi="Tahoma" w:cs="Tahoma"/>
                <w:sz w:val="20"/>
                <w:szCs w:val="20"/>
              </w:rPr>
              <w:t xml:space="preserve"> </w:t>
            </w:r>
            <w:proofErr w:type="spellStart"/>
            <w:r w:rsidRPr="008166CF">
              <w:rPr>
                <w:rFonts w:ascii="Tahoma" w:hAnsi="Tahoma" w:cs="Tahoma"/>
                <w:sz w:val="20"/>
                <w:szCs w:val="20"/>
              </w:rPr>
              <w:t>une</w:t>
            </w:r>
            <w:proofErr w:type="spellEnd"/>
            <w:r w:rsidRPr="008166CF">
              <w:rPr>
                <w:rFonts w:ascii="Tahoma" w:hAnsi="Tahoma" w:cs="Tahoma"/>
                <w:sz w:val="20"/>
                <w:szCs w:val="20"/>
              </w:rPr>
              <w:t xml:space="preserve"> </w:t>
            </w:r>
            <w:proofErr w:type="spellStart"/>
            <w:r w:rsidRPr="008166CF">
              <w:rPr>
                <w:rFonts w:ascii="Tahoma" w:hAnsi="Tahoma" w:cs="Tahoma"/>
                <w:sz w:val="20"/>
                <w:szCs w:val="20"/>
              </w:rPr>
              <w:t>copie</w:t>
            </w:r>
            <w:proofErr w:type="spellEnd"/>
          </w:p>
          <w:p w:rsidR="008D3931" w:rsidRPr="009771AB" w:rsidRDefault="00A84E16" w:rsidP="00CA368E">
            <w:pPr>
              <w:rPr>
                <w:rFonts w:ascii="Trebuchet MS" w:hAnsi="Trebuchet MS"/>
                <w:sz w:val="20"/>
                <w:szCs w:val="20"/>
              </w:rPr>
            </w:pPr>
            <w:hyperlink r:id="rId14" w:history="1">
              <w:r w:rsidR="008D3931" w:rsidRPr="009771AB">
                <w:rPr>
                  <w:rStyle w:val="Hyperlink"/>
                  <w:rFonts w:ascii="Trebuchet MS" w:hAnsi="Trebuchet MS"/>
                  <w:b/>
                  <w:bCs/>
                  <w:sz w:val="20"/>
                  <w:szCs w:val="20"/>
                </w:rPr>
                <w:t>Health workforce regulation in the Western Pacific Region</w:t>
              </w:r>
            </w:hyperlink>
          </w:p>
        </w:tc>
      </w:tr>
      <w:tr w:rsidR="008D3931" w:rsidRPr="009771AB" w:rsidTr="00CA368E">
        <w:tc>
          <w:tcPr>
            <w:tcW w:w="2830" w:type="dxa"/>
            <w:shd w:val="clear" w:color="auto" w:fill="EDEDED" w:themeFill="accent3" w:themeFillTint="33"/>
          </w:tcPr>
          <w:p w:rsidR="008D3931" w:rsidRPr="009771AB" w:rsidRDefault="008D3931" w:rsidP="00CA368E">
            <w:pPr>
              <w:pStyle w:val="ListParagraph"/>
              <w:numPr>
                <w:ilvl w:val="0"/>
                <w:numId w:val="19"/>
              </w:numPr>
              <w:ind w:left="316"/>
              <w:rPr>
                <w:rFonts w:ascii="Trebuchet MS" w:hAnsi="Trebuchet MS"/>
                <w:b/>
                <w:bCs/>
                <w:color w:val="44546A" w:themeColor="text2"/>
              </w:rPr>
            </w:pPr>
            <w:r w:rsidRPr="009771AB">
              <w:rPr>
                <w:rFonts w:ascii="Trebuchet MS" w:hAnsi="Trebuchet MS"/>
                <w:b/>
                <w:bCs/>
                <w:color w:val="44546A" w:themeColor="text2"/>
              </w:rPr>
              <w:t>Digital education for building health workforce capacity</w:t>
            </w:r>
          </w:p>
        </w:tc>
        <w:tc>
          <w:tcPr>
            <w:tcW w:w="6663" w:type="dxa"/>
            <w:shd w:val="clear" w:color="auto" w:fill="FBE4D5" w:themeFill="accent2" w:themeFillTint="33"/>
          </w:tcPr>
          <w:p w:rsidR="008D3931" w:rsidRPr="009771AB" w:rsidRDefault="008D3931" w:rsidP="00CA368E">
            <w:pPr>
              <w:rPr>
                <w:rFonts w:ascii="Trebuchet MS" w:hAnsi="Trebuchet MS"/>
                <w:sz w:val="20"/>
                <w:szCs w:val="20"/>
              </w:rPr>
            </w:pPr>
            <w:r w:rsidRPr="008166CF">
              <w:rPr>
                <w:rFonts w:ascii="Trebuchet MS" w:hAnsi="Trebuchet MS"/>
                <w:sz w:val="20"/>
                <w:szCs w:val="20"/>
                <w:lang w:val="fr-FR"/>
              </w:rPr>
              <w:t>Les technologies numériques sont rapidement intégrées dans un large éventail de domaines de la santé. Ce nouveau domaine a le potentiel d'améliorer considérablement les résultats des soins de santé et, plus largement, l'équité en matière de santé dans le monde. Cependant, sa mise en œuvre efficace et son utilisation responsable sont subordonnées à la constitution d'un personnel de santé doté d'un niveau suffisant de connaissances et de compétences pour naviguer efficacement dans les transformations numériques de la santé.</w:t>
            </w:r>
            <w:hyperlink r:id="rId15" w:history="1">
              <w:r w:rsidRPr="009771AB">
                <w:rPr>
                  <w:rStyle w:val="Hyperlink"/>
                  <w:rFonts w:ascii="Trebuchet MS" w:hAnsi="Trebuchet MS"/>
                  <w:b/>
                  <w:bCs/>
                  <w:sz w:val="20"/>
                  <w:szCs w:val="20"/>
                </w:rPr>
                <w:t>Digital education for building health workforce capacity</w:t>
              </w:r>
            </w:hyperlink>
          </w:p>
        </w:tc>
      </w:tr>
      <w:tr w:rsidR="008D3931" w:rsidRPr="009771AB" w:rsidTr="00CA368E">
        <w:tc>
          <w:tcPr>
            <w:tcW w:w="2830" w:type="dxa"/>
            <w:shd w:val="clear" w:color="auto" w:fill="EDEDED" w:themeFill="accent3" w:themeFillTint="33"/>
          </w:tcPr>
          <w:p w:rsidR="008D3931" w:rsidRPr="002E439C" w:rsidRDefault="008D3931" w:rsidP="00CA368E">
            <w:pPr>
              <w:pStyle w:val="ListParagraph"/>
              <w:numPr>
                <w:ilvl w:val="0"/>
                <w:numId w:val="19"/>
              </w:numPr>
              <w:ind w:left="316"/>
              <w:rPr>
                <w:rFonts w:ascii="Trebuchet MS" w:hAnsi="Trebuchet MS"/>
                <w:b/>
                <w:bCs/>
                <w:color w:val="44546A" w:themeColor="text2"/>
              </w:rPr>
            </w:pPr>
            <w:r w:rsidRPr="009771AB">
              <w:rPr>
                <w:rFonts w:ascii="Trebuchet MS" w:hAnsi="Trebuchet MS"/>
                <w:b/>
                <w:bCs/>
                <w:color w:val="44546A" w:themeColor="text2"/>
              </w:rPr>
              <w:t>Operational guidance: health workforce and security</w:t>
            </w:r>
          </w:p>
        </w:tc>
        <w:tc>
          <w:tcPr>
            <w:tcW w:w="6663" w:type="dxa"/>
            <w:shd w:val="clear" w:color="auto" w:fill="FBE4D5" w:themeFill="accent2" w:themeFillTint="33"/>
          </w:tcPr>
          <w:p w:rsidR="008D3931" w:rsidRPr="008166CF" w:rsidRDefault="008D3931" w:rsidP="00CA368E">
            <w:pPr>
              <w:jc w:val="both"/>
              <w:rPr>
                <w:rFonts w:ascii="Trebuchet MS" w:hAnsi="Trebuchet MS"/>
                <w:sz w:val="20"/>
                <w:szCs w:val="20"/>
                <w:lang w:val="fr-FR"/>
              </w:rPr>
            </w:pPr>
            <w:r w:rsidRPr="008166CF">
              <w:rPr>
                <w:rFonts w:ascii="Trebuchet MS" w:hAnsi="Trebuchet MS"/>
                <w:sz w:val="20"/>
                <w:szCs w:val="20"/>
                <w:lang w:val="fr-FR"/>
              </w:rPr>
              <w:t xml:space="preserve">Ce document fait partie d'une série de modules d'orientation opérationnelle élaborés pour aider les États membres de l'OMS dans la Région européenne à préparer et à mettre en œuvre la vaccination </w:t>
            </w:r>
            <w:r>
              <w:rPr>
                <w:rFonts w:ascii="Trebuchet MS" w:hAnsi="Trebuchet MS"/>
                <w:sz w:val="20"/>
                <w:szCs w:val="20"/>
                <w:lang w:val="fr-FR"/>
              </w:rPr>
              <w:t>contre la</w:t>
            </w:r>
            <w:r w:rsidRPr="008166CF">
              <w:rPr>
                <w:rFonts w:ascii="Trebuchet MS" w:hAnsi="Trebuchet MS"/>
                <w:sz w:val="20"/>
                <w:szCs w:val="20"/>
                <w:lang w:val="fr-FR"/>
              </w:rPr>
              <w:t xml:space="preserve"> COVID-19. Ces modules ont été élaborés par un groupe de travail convoqué par le Bureau régional de l'OMS pour l'Europe et composé d'experts de l'OMS, d'agences partenaires, d'universitaires, d'États membres et d'autres parties prenantes..</w:t>
            </w:r>
          </w:p>
          <w:p w:rsidR="008D3931" w:rsidRPr="009771AB" w:rsidRDefault="008D3931" w:rsidP="00CA368E">
            <w:pPr>
              <w:jc w:val="both"/>
              <w:rPr>
                <w:rFonts w:ascii="Trebuchet MS" w:hAnsi="Trebuchet MS"/>
                <w:sz w:val="20"/>
                <w:szCs w:val="20"/>
              </w:rPr>
            </w:pPr>
            <w:r w:rsidRPr="008166CF">
              <w:rPr>
                <w:rFonts w:ascii="Trebuchet MS" w:hAnsi="Trebuchet MS"/>
                <w:sz w:val="20"/>
                <w:szCs w:val="20"/>
                <w:lang w:val="fr-FR"/>
              </w:rPr>
              <w:t xml:space="preserve"> </w:t>
            </w:r>
            <w:hyperlink r:id="rId16" w:history="1">
              <w:r w:rsidRPr="009771AB">
                <w:rPr>
                  <w:rStyle w:val="Hyperlink"/>
                  <w:rFonts w:ascii="Trebuchet MS" w:hAnsi="Trebuchet MS"/>
                  <w:b/>
                  <w:bCs/>
                  <w:sz w:val="20"/>
                  <w:szCs w:val="20"/>
                </w:rPr>
                <w:t>Operational guidance: health workforce and security</w:t>
              </w:r>
            </w:hyperlink>
            <w:r w:rsidRPr="009771AB">
              <w:rPr>
                <w:rFonts w:ascii="Trebuchet MS" w:hAnsi="Trebuchet MS"/>
                <w:b/>
                <w:bCs/>
                <w:sz w:val="20"/>
                <w:szCs w:val="20"/>
              </w:rPr>
              <w:t xml:space="preserve"> </w:t>
            </w:r>
          </w:p>
        </w:tc>
      </w:tr>
    </w:tbl>
    <w:p w:rsidR="008D3931" w:rsidRPr="002F51CC" w:rsidRDefault="008D3931" w:rsidP="008D3931">
      <w:pPr>
        <w:rPr>
          <w:rFonts w:ascii="Trebuchet MS" w:hAnsi="Trebuchet MS"/>
        </w:rPr>
      </w:pPr>
    </w:p>
    <w:p w:rsidR="008D3931" w:rsidRDefault="008D3931" w:rsidP="008D3931">
      <w:pPr>
        <w:rPr>
          <w:rFonts w:ascii="Trebuchet MS" w:hAnsi="Trebuchet MS"/>
          <w:b/>
          <w:bCs/>
        </w:rPr>
      </w:pPr>
      <w:r>
        <w:rPr>
          <w:rFonts w:ascii="Trebuchet MS" w:hAnsi="Trebuchet MS"/>
          <w:b/>
          <w:bCs/>
        </w:rPr>
        <w:br w:type="page"/>
      </w:r>
    </w:p>
    <w:p w:rsidR="000C48FD" w:rsidRDefault="000C48FD" w:rsidP="000C48FD">
      <w:pPr>
        <w:rPr>
          <w:rFonts w:ascii="Trebuchet MS" w:hAnsi="Trebuchet MS"/>
          <w:b/>
          <w:bCs/>
        </w:rPr>
      </w:pPr>
    </w:p>
    <w:p w:rsidR="000C48FD" w:rsidRDefault="000C48FD" w:rsidP="000C48FD">
      <w:pPr>
        <w:rPr>
          <w:rFonts w:ascii="Trebuchet MS" w:hAnsi="Trebuchet MS"/>
          <w:b/>
          <w:bCs/>
        </w:rPr>
      </w:pPr>
      <w:r>
        <w:rPr>
          <w:rFonts w:ascii="Trebuchet MS" w:hAnsi="Trebuchet MS"/>
          <w:b/>
          <w:bCs/>
        </w:rPr>
        <w:br w:type="page"/>
      </w:r>
    </w:p>
    <w:p w:rsidR="000C48FD" w:rsidRPr="00A51C60" w:rsidRDefault="008D3931" w:rsidP="008D3931">
      <w:pPr>
        <w:rPr>
          <w:rFonts w:ascii="Trebuchet MS" w:hAnsi="Trebuchet MS"/>
          <w:b/>
          <w:bCs/>
          <w:color w:val="833C0B" w:themeColor="accent2" w:themeShade="80"/>
          <w:lang w:val="fr-FR"/>
        </w:rPr>
      </w:pPr>
      <w:r>
        <w:rPr>
          <w:rFonts w:ascii="Trebuchet MS" w:eastAsiaTheme="minorEastAsia" w:hAnsi="Trebuchet MS" w:cs="Times New Roman"/>
          <w:b/>
          <w:bCs/>
          <w:color w:val="C00000"/>
          <w:sz w:val="28"/>
          <w:szCs w:val="28"/>
          <w:lang w:val="fr-FR"/>
        </w:rPr>
        <w:t xml:space="preserve">9. </w:t>
      </w:r>
      <w:r w:rsidR="00BD4599" w:rsidRPr="008D3931">
        <w:rPr>
          <w:rFonts w:ascii="Trebuchet MS" w:eastAsiaTheme="minorEastAsia" w:hAnsi="Trebuchet MS" w:cs="Times New Roman"/>
          <w:b/>
          <w:bCs/>
          <w:color w:val="C00000"/>
          <w:sz w:val="28"/>
          <w:szCs w:val="28"/>
          <w:lang w:val="fr-FR"/>
        </w:rPr>
        <w:t xml:space="preserve">GUIDE D’IDENTIFICATION D’ACTIVITES </w:t>
      </w:r>
      <w:r w:rsidR="00A51C60" w:rsidRPr="008D3931">
        <w:rPr>
          <w:rFonts w:ascii="Trebuchet MS" w:eastAsiaTheme="minorEastAsia" w:hAnsi="Trebuchet MS" w:cs="Times New Roman"/>
          <w:b/>
          <w:bCs/>
          <w:color w:val="C00000"/>
          <w:sz w:val="28"/>
          <w:szCs w:val="28"/>
          <w:lang w:val="fr-FR"/>
        </w:rPr>
        <w:t>DE RHS PAR LE BUREAU PAYS DE L'OMS</w:t>
      </w:r>
      <w:r w:rsidR="000C48FD" w:rsidRPr="008D3931">
        <w:rPr>
          <w:rFonts w:ascii="Trebuchet MS" w:eastAsiaTheme="minorEastAsia" w:hAnsi="Trebuchet MS" w:cs="Times New Roman"/>
          <w:b/>
          <w:bCs/>
          <w:color w:val="C00000"/>
          <w:sz w:val="28"/>
          <w:szCs w:val="28"/>
          <w:lang w:val="fr-FR"/>
        </w:rPr>
        <w:t xml:space="preserve"> </w:t>
      </w:r>
      <w:r w:rsidR="00BD4599" w:rsidRPr="00A51C60">
        <w:rPr>
          <w:rFonts w:ascii="Trebuchet MS" w:hAnsi="Trebuchet MS"/>
          <w:b/>
          <w:bCs/>
          <w:color w:val="833C0B" w:themeColor="accent2" w:themeShade="80"/>
          <w:lang w:val="fr-FR"/>
        </w:rPr>
        <w:t>(output 1.15)</w:t>
      </w:r>
    </w:p>
    <w:p w:rsidR="000C48FD" w:rsidRPr="00BE4162" w:rsidRDefault="00BE4162" w:rsidP="000C48FD">
      <w:pPr>
        <w:rPr>
          <w:rFonts w:ascii="Trebuchet MS" w:hAnsi="Trebuchet MS"/>
          <w:b/>
          <w:bCs/>
          <w:lang w:val="fr-FR"/>
        </w:rPr>
      </w:pPr>
      <w:r w:rsidRPr="00BE4162">
        <w:rPr>
          <w:rFonts w:ascii="Trebuchet MS" w:hAnsi="Trebuchet MS"/>
          <w:b/>
          <w:bCs/>
          <w:lang w:val="fr-FR"/>
        </w:rPr>
        <w:t>NOM DU PAYS : ………………………………………………………………</w:t>
      </w:r>
    </w:p>
    <w:p w:rsidR="00BE4162" w:rsidRDefault="00BE4162" w:rsidP="000C48FD">
      <w:pPr>
        <w:rPr>
          <w:rFonts w:ascii="Trebuchet MS" w:hAnsi="Trebuchet MS"/>
          <w:b/>
          <w:bCs/>
        </w:rPr>
      </w:pPr>
      <w:r w:rsidRPr="00BE4162">
        <w:rPr>
          <w:rFonts w:ascii="Trebuchet MS" w:hAnsi="Trebuchet MS"/>
          <w:b/>
          <w:bCs/>
          <w:lang w:val="fr-FR"/>
        </w:rPr>
        <w:t>NO</w:t>
      </w:r>
      <w:r>
        <w:rPr>
          <w:rFonts w:ascii="Trebuchet MS" w:hAnsi="Trebuchet MS"/>
          <w:b/>
          <w:bCs/>
          <w:lang w:val="fr-FR"/>
        </w:rPr>
        <w:t xml:space="preserve">M </w:t>
      </w:r>
      <w:r w:rsidRPr="00BE4162">
        <w:rPr>
          <w:rFonts w:ascii="Trebuchet MS" w:hAnsi="Trebuchet MS"/>
          <w:b/>
          <w:bCs/>
          <w:lang w:val="fr-FR"/>
        </w:rPr>
        <w:t xml:space="preserve">Point focal : …………………………………………………………………………… </w:t>
      </w:r>
      <w:r>
        <w:rPr>
          <w:rFonts w:ascii="Trebuchet MS" w:hAnsi="Trebuchet MS"/>
          <w:b/>
          <w:bCs/>
        </w:rPr>
        <w:t>Date: ………/…………/2021</w:t>
      </w:r>
    </w:p>
    <w:tbl>
      <w:tblPr>
        <w:tblStyle w:val="TableGrid"/>
        <w:tblW w:w="10060" w:type="dxa"/>
        <w:tblInd w:w="-572" w:type="dxa"/>
        <w:tblLook w:val="04A0" w:firstRow="1" w:lastRow="0" w:firstColumn="1" w:lastColumn="0" w:noHBand="0" w:noVBand="1"/>
      </w:tblPr>
      <w:tblGrid>
        <w:gridCol w:w="2819"/>
        <w:gridCol w:w="3305"/>
        <w:gridCol w:w="1292"/>
        <w:gridCol w:w="1403"/>
        <w:gridCol w:w="1241"/>
      </w:tblGrid>
      <w:tr w:rsidR="00BD4599" w:rsidRPr="001343E2" w:rsidTr="00BD4599">
        <w:trPr>
          <w:tblHeader/>
        </w:trPr>
        <w:tc>
          <w:tcPr>
            <w:tcW w:w="2819" w:type="dxa"/>
            <w:shd w:val="clear" w:color="auto" w:fill="D5DCE4" w:themeFill="text2" w:themeFillTint="33"/>
            <w:vAlign w:val="center"/>
          </w:tcPr>
          <w:p w:rsidR="000C48FD" w:rsidRPr="00C83349" w:rsidRDefault="000C48FD" w:rsidP="000C48FD">
            <w:pPr>
              <w:rPr>
                <w:rFonts w:cstheme="minorHAnsi"/>
                <w:b/>
                <w:bCs/>
                <w:color w:val="833C0B" w:themeColor="accent2" w:themeShade="80"/>
                <w:sz w:val="20"/>
                <w:szCs w:val="20"/>
              </w:rPr>
            </w:pPr>
            <w:r w:rsidRPr="00C83349">
              <w:rPr>
                <w:rFonts w:ascii="Trebuchet MS" w:hAnsi="Trebuchet MS"/>
                <w:b/>
                <w:bCs/>
                <w:color w:val="833C0B" w:themeColor="accent2" w:themeShade="80"/>
              </w:rPr>
              <w:t xml:space="preserve"> </w:t>
            </w:r>
            <w:proofErr w:type="spellStart"/>
            <w:r w:rsidR="00A51C60">
              <w:rPr>
                <w:rFonts w:ascii="Trebuchet MS" w:hAnsi="Trebuchet MS"/>
                <w:b/>
                <w:bCs/>
                <w:color w:val="833C0B" w:themeColor="accent2" w:themeShade="80"/>
              </w:rPr>
              <w:t>Domaines</w:t>
            </w:r>
            <w:proofErr w:type="spellEnd"/>
            <w:r w:rsidR="00A51C60">
              <w:rPr>
                <w:rFonts w:ascii="Trebuchet MS" w:hAnsi="Trebuchet MS"/>
                <w:b/>
                <w:bCs/>
                <w:color w:val="833C0B" w:themeColor="accent2" w:themeShade="80"/>
              </w:rPr>
              <w:t xml:space="preserve"> </w:t>
            </w:r>
            <w:proofErr w:type="spellStart"/>
            <w:r w:rsidR="00A51C60">
              <w:rPr>
                <w:rFonts w:ascii="Trebuchet MS" w:hAnsi="Trebuchet MS"/>
                <w:b/>
                <w:bCs/>
                <w:color w:val="833C0B" w:themeColor="accent2" w:themeShade="80"/>
              </w:rPr>
              <w:t>d’intérêts</w:t>
            </w:r>
            <w:proofErr w:type="spellEnd"/>
          </w:p>
        </w:tc>
        <w:tc>
          <w:tcPr>
            <w:tcW w:w="3305" w:type="dxa"/>
            <w:shd w:val="clear" w:color="auto" w:fill="D5DCE4" w:themeFill="text2" w:themeFillTint="33"/>
          </w:tcPr>
          <w:p w:rsidR="000C48FD" w:rsidRPr="00A51C60" w:rsidRDefault="000C48FD" w:rsidP="000C48FD">
            <w:pPr>
              <w:rPr>
                <w:rFonts w:ascii="Trebuchet MS" w:hAnsi="Trebuchet MS"/>
                <w:b/>
                <w:bCs/>
                <w:color w:val="833C0B" w:themeColor="accent2" w:themeShade="80"/>
                <w:lang w:val="fr-FR"/>
              </w:rPr>
            </w:pPr>
            <w:r w:rsidRPr="00A51C60">
              <w:rPr>
                <w:rFonts w:ascii="Trebuchet MS" w:hAnsi="Trebuchet MS"/>
                <w:b/>
                <w:bCs/>
                <w:color w:val="833C0B" w:themeColor="accent2" w:themeShade="80"/>
                <w:lang w:val="fr-FR"/>
              </w:rPr>
              <w:t>Sp</w:t>
            </w:r>
            <w:r w:rsidR="00A51C60">
              <w:rPr>
                <w:rFonts w:ascii="Trebuchet MS" w:hAnsi="Trebuchet MS"/>
                <w:b/>
                <w:bCs/>
                <w:color w:val="833C0B" w:themeColor="accent2" w:themeShade="80"/>
                <w:lang w:val="fr-FR"/>
              </w:rPr>
              <w:t>é</w:t>
            </w:r>
            <w:r w:rsidRPr="00A51C60">
              <w:rPr>
                <w:rFonts w:ascii="Trebuchet MS" w:hAnsi="Trebuchet MS"/>
                <w:b/>
                <w:bCs/>
                <w:color w:val="833C0B" w:themeColor="accent2" w:themeShade="80"/>
                <w:lang w:val="fr-FR"/>
              </w:rPr>
              <w:t>cif</w:t>
            </w:r>
            <w:r w:rsidR="00A51C60" w:rsidRPr="00A51C60">
              <w:rPr>
                <w:rFonts w:ascii="Trebuchet MS" w:hAnsi="Trebuchet MS"/>
                <w:b/>
                <w:bCs/>
                <w:color w:val="833C0B" w:themeColor="accent2" w:themeShade="80"/>
                <w:lang w:val="fr-FR"/>
              </w:rPr>
              <w:t>ier les activités potentielles à plani</w:t>
            </w:r>
            <w:r w:rsidR="00A51C60">
              <w:rPr>
                <w:rFonts w:ascii="Trebuchet MS" w:hAnsi="Trebuchet MS"/>
                <w:b/>
                <w:bCs/>
                <w:color w:val="833C0B" w:themeColor="accent2" w:themeShade="80"/>
                <w:lang w:val="fr-FR"/>
              </w:rPr>
              <w:t>fier pour le biennium</w:t>
            </w:r>
            <w:r w:rsidRPr="00A51C60">
              <w:rPr>
                <w:rFonts w:ascii="Trebuchet MS" w:hAnsi="Trebuchet MS"/>
                <w:b/>
                <w:bCs/>
                <w:color w:val="833C0B" w:themeColor="accent2" w:themeShade="80"/>
                <w:lang w:val="fr-FR"/>
              </w:rPr>
              <w:t xml:space="preserve"> </w:t>
            </w:r>
          </w:p>
        </w:tc>
        <w:tc>
          <w:tcPr>
            <w:tcW w:w="1292" w:type="dxa"/>
            <w:shd w:val="clear" w:color="auto" w:fill="D5DCE4" w:themeFill="text2" w:themeFillTint="33"/>
          </w:tcPr>
          <w:p w:rsidR="000C48FD" w:rsidRPr="00C83349" w:rsidRDefault="00A51C60" w:rsidP="000C48FD">
            <w:pPr>
              <w:rPr>
                <w:rFonts w:ascii="Trebuchet MS" w:hAnsi="Trebuchet MS"/>
                <w:b/>
                <w:bCs/>
                <w:color w:val="833C0B" w:themeColor="accent2" w:themeShade="80"/>
              </w:rPr>
            </w:pPr>
            <w:r>
              <w:rPr>
                <w:rFonts w:ascii="Trebuchet MS" w:hAnsi="Trebuchet MS"/>
                <w:b/>
                <w:bCs/>
                <w:color w:val="833C0B" w:themeColor="accent2" w:themeShade="80"/>
                <w:lang w:val="fr-FR"/>
              </w:rPr>
              <w:t>Coût estimative</w:t>
            </w:r>
            <w:r>
              <w:rPr>
                <w:rFonts w:ascii="Trebuchet MS" w:hAnsi="Trebuchet MS"/>
                <w:b/>
                <w:bCs/>
                <w:color w:val="833C0B" w:themeColor="accent2" w:themeShade="80"/>
              </w:rPr>
              <w:t xml:space="preserve"> </w:t>
            </w:r>
            <w:proofErr w:type="spellStart"/>
            <w:r>
              <w:rPr>
                <w:rFonts w:ascii="Trebuchet MS" w:hAnsi="Trebuchet MS"/>
                <w:b/>
                <w:bCs/>
                <w:color w:val="833C0B" w:themeColor="accent2" w:themeShade="80"/>
              </w:rPr>
              <w:t>en</w:t>
            </w:r>
            <w:proofErr w:type="spellEnd"/>
            <w:r w:rsidR="000C48FD" w:rsidRPr="00C83349">
              <w:rPr>
                <w:rFonts w:ascii="Trebuchet MS" w:hAnsi="Trebuchet MS"/>
                <w:b/>
                <w:bCs/>
                <w:color w:val="833C0B" w:themeColor="accent2" w:themeShade="80"/>
              </w:rPr>
              <w:t xml:space="preserve"> USD</w:t>
            </w:r>
          </w:p>
        </w:tc>
        <w:tc>
          <w:tcPr>
            <w:tcW w:w="1403" w:type="dxa"/>
            <w:shd w:val="clear" w:color="auto" w:fill="D5DCE4" w:themeFill="text2" w:themeFillTint="33"/>
          </w:tcPr>
          <w:p w:rsidR="000C48FD" w:rsidRPr="00A51C60" w:rsidRDefault="00A51C60" w:rsidP="000C48FD">
            <w:pPr>
              <w:rPr>
                <w:rFonts w:ascii="Trebuchet MS" w:hAnsi="Trebuchet MS"/>
                <w:b/>
                <w:bCs/>
                <w:color w:val="833C0B" w:themeColor="accent2" w:themeShade="80"/>
                <w:lang w:val="fr-FR"/>
              </w:rPr>
            </w:pPr>
            <w:r w:rsidRPr="00A51C60">
              <w:rPr>
                <w:rFonts w:ascii="Trebuchet MS" w:hAnsi="Trebuchet MS"/>
                <w:b/>
                <w:bCs/>
                <w:color w:val="833C0B" w:themeColor="accent2" w:themeShade="80"/>
                <w:lang w:val="fr-FR"/>
              </w:rPr>
              <w:t xml:space="preserve">Appui </w:t>
            </w:r>
            <w:r w:rsidR="000C48FD" w:rsidRPr="00A51C60">
              <w:rPr>
                <w:rFonts w:ascii="Trebuchet MS" w:hAnsi="Trebuchet MS"/>
                <w:b/>
                <w:bCs/>
                <w:color w:val="833C0B" w:themeColor="accent2" w:themeShade="80"/>
                <w:lang w:val="fr-FR"/>
              </w:rPr>
              <w:t>Techni</w:t>
            </w:r>
            <w:r w:rsidR="00BD4599">
              <w:rPr>
                <w:rFonts w:ascii="Trebuchet MS" w:hAnsi="Trebuchet MS"/>
                <w:b/>
                <w:bCs/>
                <w:color w:val="833C0B" w:themeColor="accent2" w:themeShade="80"/>
                <w:lang w:val="fr-FR"/>
              </w:rPr>
              <w:t>que</w:t>
            </w:r>
            <w:r w:rsidRPr="00A51C60">
              <w:rPr>
                <w:rFonts w:ascii="Trebuchet MS" w:hAnsi="Trebuchet MS"/>
                <w:b/>
                <w:bCs/>
                <w:color w:val="833C0B" w:themeColor="accent2" w:themeShade="80"/>
                <w:lang w:val="fr-FR"/>
              </w:rPr>
              <w:t xml:space="preserve"> de </w:t>
            </w:r>
            <w:r w:rsidR="000C48FD" w:rsidRPr="00A51C60">
              <w:rPr>
                <w:rFonts w:ascii="Trebuchet MS" w:hAnsi="Trebuchet MS"/>
                <w:b/>
                <w:bCs/>
                <w:color w:val="833C0B" w:themeColor="accent2" w:themeShade="80"/>
                <w:lang w:val="fr-FR"/>
              </w:rPr>
              <w:t>AFRO (</w:t>
            </w:r>
            <w:r>
              <w:rPr>
                <w:rFonts w:ascii="Trebuchet MS" w:hAnsi="Trebuchet MS"/>
                <w:b/>
                <w:bCs/>
                <w:color w:val="833C0B" w:themeColor="accent2" w:themeShade="80"/>
                <w:lang w:val="fr-FR"/>
              </w:rPr>
              <w:t>Oui</w:t>
            </w:r>
            <w:r w:rsidR="000C48FD" w:rsidRPr="00A51C60">
              <w:rPr>
                <w:rFonts w:ascii="Trebuchet MS" w:hAnsi="Trebuchet MS"/>
                <w:b/>
                <w:bCs/>
                <w:color w:val="833C0B" w:themeColor="accent2" w:themeShade="80"/>
                <w:lang w:val="fr-FR"/>
              </w:rPr>
              <w:t>/No</w:t>
            </w:r>
            <w:r>
              <w:rPr>
                <w:rFonts w:ascii="Trebuchet MS" w:hAnsi="Trebuchet MS"/>
                <w:b/>
                <w:bCs/>
                <w:color w:val="833C0B" w:themeColor="accent2" w:themeShade="80"/>
                <w:lang w:val="fr-FR"/>
              </w:rPr>
              <w:t>n</w:t>
            </w:r>
            <w:r w:rsidR="000C48FD" w:rsidRPr="00A51C60">
              <w:rPr>
                <w:rFonts w:ascii="Trebuchet MS" w:hAnsi="Trebuchet MS"/>
                <w:b/>
                <w:bCs/>
                <w:color w:val="833C0B" w:themeColor="accent2" w:themeShade="80"/>
                <w:lang w:val="fr-FR"/>
              </w:rPr>
              <w:t>)</w:t>
            </w:r>
          </w:p>
        </w:tc>
        <w:tc>
          <w:tcPr>
            <w:tcW w:w="1241" w:type="dxa"/>
            <w:shd w:val="clear" w:color="auto" w:fill="D5DCE4" w:themeFill="text2" w:themeFillTint="33"/>
          </w:tcPr>
          <w:p w:rsidR="000C48FD" w:rsidRPr="00A51C60" w:rsidRDefault="00A51C60" w:rsidP="00A51C60">
            <w:pPr>
              <w:rPr>
                <w:rFonts w:ascii="Trebuchet MS" w:hAnsi="Trebuchet MS"/>
                <w:b/>
                <w:bCs/>
                <w:color w:val="833C0B" w:themeColor="accent2" w:themeShade="80"/>
                <w:lang w:val="fr-FR"/>
              </w:rPr>
            </w:pPr>
            <w:r>
              <w:rPr>
                <w:rFonts w:ascii="Trebuchet MS" w:hAnsi="Trebuchet MS"/>
                <w:b/>
                <w:bCs/>
                <w:color w:val="833C0B" w:themeColor="accent2" w:themeShade="80"/>
                <w:lang w:val="fr-FR"/>
              </w:rPr>
              <w:t>Appui f</w:t>
            </w:r>
            <w:r w:rsidR="000C48FD" w:rsidRPr="00A51C60">
              <w:rPr>
                <w:rFonts w:ascii="Trebuchet MS" w:hAnsi="Trebuchet MS"/>
                <w:b/>
                <w:bCs/>
                <w:color w:val="833C0B" w:themeColor="accent2" w:themeShade="80"/>
                <w:lang w:val="fr-FR"/>
              </w:rPr>
              <w:t>inanci</w:t>
            </w:r>
            <w:r>
              <w:rPr>
                <w:rFonts w:ascii="Trebuchet MS" w:hAnsi="Trebuchet MS"/>
                <w:b/>
                <w:bCs/>
                <w:color w:val="833C0B" w:themeColor="accent2" w:themeShade="80"/>
                <w:lang w:val="fr-FR"/>
              </w:rPr>
              <w:t>er</w:t>
            </w:r>
            <w:r w:rsidRPr="00A51C60">
              <w:rPr>
                <w:rFonts w:ascii="Trebuchet MS" w:hAnsi="Trebuchet MS"/>
                <w:b/>
                <w:bCs/>
                <w:color w:val="833C0B" w:themeColor="accent2" w:themeShade="80"/>
                <w:lang w:val="fr-FR"/>
              </w:rPr>
              <w:t xml:space="preserve"> requis (Oui</w:t>
            </w:r>
            <w:r w:rsidR="000C48FD" w:rsidRPr="00A51C60">
              <w:rPr>
                <w:rFonts w:ascii="Trebuchet MS" w:hAnsi="Trebuchet MS"/>
                <w:b/>
                <w:bCs/>
                <w:color w:val="833C0B" w:themeColor="accent2" w:themeShade="80"/>
                <w:lang w:val="fr-FR"/>
              </w:rPr>
              <w:t>/No</w:t>
            </w:r>
            <w:r w:rsidRPr="00A51C60">
              <w:rPr>
                <w:rFonts w:ascii="Trebuchet MS" w:hAnsi="Trebuchet MS"/>
                <w:b/>
                <w:bCs/>
                <w:color w:val="833C0B" w:themeColor="accent2" w:themeShade="80"/>
                <w:lang w:val="fr-FR"/>
              </w:rPr>
              <w:t>n</w:t>
            </w:r>
            <w:r w:rsidR="000C48FD" w:rsidRPr="00A51C60">
              <w:rPr>
                <w:rFonts w:ascii="Trebuchet MS" w:hAnsi="Trebuchet MS"/>
                <w:b/>
                <w:bCs/>
                <w:color w:val="833C0B" w:themeColor="accent2" w:themeShade="80"/>
                <w:lang w:val="fr-FR"/>
              </w:rPr>
              <w:t>)</w:t>
            </w:r>
          </w:p>
        </w:tc>
      </w:tr>
      <w:tr w:rsidR="00BD4599" w:rsidTr="00BD4599">
        <w:tc>
          <w:tcPr>
            <w:tcW w:w="2819" w:type="dxa"/>
            <w:vAlign w:val="center"/>
          </w:tcPr>
          <w:p w:rsidR="00A51C60" w:rsidRPr="00A51C60" w:rsidRDefault="00A51C60" w:rsidP="00A51C60">
            <w:pPr>
              <w:rPr>
                <w:rFonts w:ascii="Trebuchet MS" w:hAnsi="Trebuchet MS"/>
                <w:b/>
                <w:bCs/>
                <w:color w:val="833C0B" w:themeColor="accent2" w:themeShade="80"/>
                <w:sz w:val="20"/>
                <w:szCs w:val="20"/>
                <w:lang w:val="fr-FR"/>
              </w:rPr>
            </w:pPr>
            <w:r>
              <w:rPr>
                <w:rFonts w:ascii="Trebuchet MS" w:hAnsi="Trebuchet MS"/>
                <w:b/>
                <w:bCs/>
                <w:color w:val="833C0B" w:themeColor="accent2" w:themeShade="80"/>
                <w:sz w:val="20"/>
                <w:szCs w:val="20"/>
                <w:lang w:val="fr-FR"/>
              </w:rPr>
              <w:t xml:space="preserve">1. </w:t>
            </w:r>
            <w:r w:rsidRPr="00A51C60">
              <w:rPr>
                <w:rFonts w:ascii="Trebuchet MS" w:hAnsi="Trebuchet MS"/>
                <w:b/>
                <w:bCs/>
                <w:color w:val="833C0B" w:themeColor="accent2" w:themeShade="80"/>
                <w:sz w:val="20"/>
                <w:szCs w:val="20"/>
                <w:lang w:val="fr-FR"/>
              </w:rPr>
              <w:t>Développer des stratégies transformatrices pour augmenter la quantité et la qualité des travailleurs de la santé, y compris le développement et les révisions des programmes d'éducation basés sur les compétences</w:t>
            </w:r>
          </w:p>
        </w:tc>
        <w:tc>
          <w:tcPr>
            <w:tcW w:w="3305" w:type="dxa"/>
          </w:tcPr>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1.</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2.</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3.</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4.</w:t>
            </w:r>
          </w:p>
        </w:tc>
        <w:tc>
          <w:tcPr>
            <w:tcW w:w="1292" w:type="dxa"/>
          </w:tcPr>
          <w:p w:rsidR="00A51C60" w:rsidRDefault="00A51C60" w:rsidP="00A51C60">
            <w:pPr>
              <w:rPr>
                <w:rFonts w:ascii="Trebuchet MS" w:hAnsi="Trebuchet MS"/>
                <w:b/>
                <w:bCs/>
              </w:rPr>
            </w:pPr>
          </w:p>
        </w:tc>
        <w:tc>
          <w:tcPr>
            <w:tcW w:w="1403" w:type="dxa"/>
          </w:tcPr>
          <w:p w:rsidR="00A51C60" w:rsidRDefault="00A51C60" w:rsidP="00A51C60">
            <w:pPr>
              <w:rPr>
                <w:rFonts w:ascii="Trebuchet MS" w:hAnsi="Trebuchet MS"/>
                <w:b/>
                <w:bCs/>
              </w:rPr>
            </w:pPr>
          </w:p>
        </w:tc>
        <w:tc>
          <w:tcPr>
            <w:tcW w:w="1241" w:type="dxa"/>
          </w:tcPr>
          <w:p w:rsidR="00A51C60" w:rsidRDefault="00A51C60" w:rsidP="00A51C60">
            <w:pPr>
              <w:rPr>
                <w:rFonts w:ascii="Trebuchet MS" w:hAnsi="Trebuchet MS"/>
                <w:b/>
                <w:bCs/>
              </w:rPr>
            </w:pPr>
          </w:p>
        </w:tc>
      </w:tr>
      <w:tr w:rsidR="00BD4599" w:rsidTr="00BD4599">
        <w:tc>
          <w:tcPr>
            <w:tcW w:w="2819" w:type="dxa"/>
            <w:vAlign w:val="center"/>
          </w:tcPr>
          <w:p w:rsidR="00A51C60" w:rsidRPr="00A51C60" w:rsidRDefault="00A51C60" w:rsidP="00A51C60">
            <w:pPr>
              <w:rPr>
                <w:rFonts w:ascii="Trebuchet MS" w:hAnsi="Trebuchet MS"/>
                <w:b/>
                <w:bCs/>
                <w:color w:val="833C0B" w:themeColor="accent2" w:themeShade="80"/>
                <w:sz w:val="20"/>
                <w:szCs w:val="20"/>
                <w:lang w:val="fr-FR"/>
              </w:rPr>
            </w:pPr>
            <w:r w:rsidRPr="00A51C60">
              <w:rPr>
                <w:rFonts w:ascii="Trebuchet MS" w:hAnsi="Trebuchet MS"/>
                <w:b/>
                <w:bCs/>
                <w:color w:val="833C0B" w:themeColor="accent2" w:themeShade="80"/>
                <w:sz w:val="20"/>
                <w:szCs w:val="20"/>
                <w:lang w:val="fr-FR"/>
              </w:rPr>
              <w:t>2. Renforcer la capacité de planification pour développer ou améliorer les politique et les stratégies en matière de RHS qui quantifient les besoins, la demande et l'offre de personnel de santé.</w:t>
            </w:r>
          </w:p>
          <w:p w:rsidR="00A51C60" w:rsidRPr="00A51C60" w:rsidRDefault="00A51C60" w:rsidP="00A51C60">
            <w:pPr>
              <w:ind w:left="-44"/>
              <w:rPr>
                <w:rFonts w:ascii="Trebuchet MS" w:hAnsi="Trebuchet MS"/>
                <w:b/>
                <w:bCs/>
                <w:color w:val="833C0B" w:themeColor="accent2" w:themeShade="80"/>
                <w:sz w:val="20"/>
                <w:szCs w:val="20"/>
                <w:lang w:val="fr-FR"/>
              </w:rPr>
            </w:pPr>
          </w:p>
        </w:tc>
        <w:tc>
          <w:tcPr>
            <w:tcW w:w="3305" w:type="dxa"/>
          </w:tcPr>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1.</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2.</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3.</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4.</w:t>
            </w:r>
          </w:p>
        </w:tc>
        <w:tc>
          <w:tcPr>
            <w:tcW w:w="1292" w:type="dxa"/>
          </w:tcPr>
          <w:p w:rsidR="00A51C60" w:rsidRDefault="00A51C60" w:rsidP="00A51C60">
            <w:pPr>
              <w:rPr>
                <w:rFonts w:ascii="Trebuchet MS" w:hAnsi="Trebuchet MS"/>
                <w:b/>
                <w:bCs/>
              </w:rPr>
            </w:pPr>
          </w:p>
        </w:tc>
        <w:tc>
          <w:tcPr>
            <w:tcW w:w="1403" w:type="dxa"/>
          </w:tcPr>
          <w:p w:rsidR="00A51C60" w:rsidRDefault="00A51C60" w:rsidP="00A51C60">
            <w:pPr>
              <w:rPr>
                <w:rFonts w:ascii="Trebuchet MS" w:hAnsi="Trebuchet MS"/>
                <w:b/>
                <w:bCs/>
              </w:rPr>
            </w:pPr>
          </w:p>
        </w:tc>
        <w:tc>
          <w:tcPr>
            <w:tcW w:w="1241" w:type="dxa"/>
          </w:tcPr>
          <w:p w:rsidR="00A51C60" w:rsidRDefault="00A51C60" w:rsidP="00A51C60">
            <w:pPr>
              <w:rPr>
                <w:rFonts w:ascii="Trebuchet MS" w:hAnsi="Trebuchet MS"/>
                <w:b/>
                <w:bCs/>
              </w:rPr>
            </w:pPr>
          </w:p>
        </w:tc>
      </w:tr>
      <w:tr w:rsidR="00BD4599" w:rsidTr="00BD4599">
        <w:tc>
          <w:tcPr>
            <w:tcW w:w="2819" w:type="dxa"/>
            <w:vAlign w:val="center"/>
          </w:tcPr>
          <w:p w:rsidR="00A51C60" w:rsidRPr="00A51C60" w:rsidRDefault="00A51C60" w:rsidP="00A51C60">
            <w:pPr>
              <w:rPr>
                <w:rFonts w:ascii="Trebuchet MS" w:hAnsi="Trebuchet MS"/>
                <w:b/>
                <w:bCs/>
                <w:color w:val="833C0B" w:themeColor="accent2" w:themeShade="80"/>
                <w:sz w:val="20"/>
                <w:szCs w:val="20"/>
                <w:lang w:val="fr-FR"/>
              </w:rPr>
            </w:pPr>
            <w:r w:rsidRPr="00A51C60">
              <w:rPr>
                <w:rFonts w:ascii="Trebuchet MS" w:hAnsi="Trebuchet MS"/>
                <w:b/>
                <w:bCs/>
                <w:color w:val="833C0B" w:themeColor="accent2" w:themeShade="80"/>
                <w:sz w:val="20"/>
                <w:szCs w:val="20"/>
                <w:lang w:val="fr-FR"/>
              </w:rPr>
              <w:t>3. Établir des plans d'investissement pour les RHS en tant que composante essentielle du financement de la santé et de l'investissement en faveur de la CSU et des ODD.</w:t>
            </w:r>
          </w:p>
        </w:tc>
        <w:tc>
          <w:tcPr>
            <w:tcW w:w="3305" w:type="dxa"/>
          </w:tcPr>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1.</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2.</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3.</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4.</w:t>
            </w:r>
          </w:p>
        </w:tc>
        <w:tc>
          <w:tcPr>
            <w:tcW w:w="1292" w:type="dxa"/>
          </w:tcPr>
          <w:p w:rsidR="00A51C60" w:rsidRDefault="00A51C60" w:rsidP="00A51C60">
            <w:pPr>
              <w:rPr>
                <w:rFonts w:ascii="Trebuchet MS" w:hAnsi="Trebuchet MS"/>
                <w:b/>
                <w:bCs/>
              </w:rPr>
            </w:pPr>
          </w:p>
        </w:tc>
        <w:tc>
          <w:tcPr>
            <w:tcW w:w="1403" w:type="dxa"/>
          </w:tcPr>
          <w:p w:rsidR="00A51C60" w:rsidRDefault="00A51C60" w:rsidP="00A51C60">
            <w:pPr>
              <w:rPr>
                <w:rFonts w:ascii="Trebuchet MS" w:hAnsi="Trebuchet MS"/>
                <w:b/>
                <w:bCs/>
              </w:rPr>
            </w:pPr>
          </w:p>
        </w:tc>
        <w:tc>
          <w:tcPr>
            <w:tcW w:w="1241" w:type="dxa"/>
          </w:tcPr>
          <w:p w:rsidR="00A51C60" w:rsidRDefault="00A51C60" w:rsidP="00A51C60">
            <w:pPr>
              <w:rPr>
                <w:rFonts w:ascii="Trebuchet MS" w:hAnsi="Trebuchet MS"/>
                <w:b/>
                <w:bCs/>
              </w:rPr>
            </w:pPr>
          </w:p>
        </w:tc>
      </w:tr>
      <w:tr w:rsidR="00BD4599" w:rsidTr="00BD4599">
        <w:tc>
          <w:tcPr>
            <w:tcW w:w="2819" w:type="dxa"/>
            <w:vAlign w:val="center"/>
          </w:tcPr>
          <w:p w:rsidR="00A51C60" w:rsidRPr="00A51C60" w:rsidRDefault="00A51C60" w:rsidP="00A51C60">
            <w:pPr>
              <w:rPr>
                <w:rFonts w:ascii="Trebuchet MS" w:hAnsi="Trebuchet MS"/>
                <w:b/>
                <w:bCs/>
                <w:color w:val="833C0B" w:themeColor="accent2" w:themeShade="80"/>
                <w:sz w:val="20"/>
                <w:szCs w:val="20"/>
                <w:lang w:val="fr-FR"/>
              </w:rPr>
            </w:pPr>
            <w:r w:rsidRPr="00A51C60">
              <w:rPr>
                <w:rFonts w:ascii="Trebuchet MS" w:hAnsi="Trebuchet MS"/>
                <w:b/>
                <w:bCs/>
                <w:color w:val="833C0B" w:themeColor="accent2" w:themeShade="80"/>
                <w:sz w:val="20"/>
                <w:szCs w:val="20"/>
                <w:lang w:val="fr-FR"/>
              </w:rPr>
              <w:t>4. Mettre à l'échelle et/ou améliorer l'efficacité des programmes de santé communautaire (ASC).</w:t>
            </w:r>
          </w:p>
          <w:p w:rsidR="00A51C60" w:rsidRPr="00A51C60" w:rsidRDefault="00A51C60" w:rsidP="00A51C60">
            <w:pPr>
              <w:rPr>
                <w:rFonts w:ascii="Trebuchet MS" w:hAnsi="Trebuchet MS"/>
                <w:b/>
                <w:bCs/>
                <w:color w:val="833C0B" w:themeColor="accent2" w:themeShade="80"/>
                <w:sz w:val="20"/>
                <w:szCs w:val="20"/>
                <w:lang w:val="fr-FR"/>
              </w:rPr>
            </w:pPr>
          </w:p>
        </w:tc>
        <w:tc>
          <w:tcPr>
            <w:tcW w:w="3305" w:type="dxa"/>
          </w:tcPr>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1.</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2.</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3.</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4.</w:t>
            </w:r>
          </w:p>
        </w:tc>
        <w:tc>
          <w:tcPr>
            <w:tcW w:w="1292" w:type="dxa"/>
          </w:tcPr>
          <w:p w:rsidR="00A51C60" w:rsidRDefault="00A51C60" w:rsidP="00A51C60">
            <w:pPr>
              <w:rPr>
                <w:rFonts w:ascii="Trebuchet MS" w:hAnsi="Trebuchet MS"/>
                <w:b/>
                <w:bCs/>
              </w:rPr>
            </w:pPr>
          </w:p>
        </w:tc>
        <w:tc>
          <w:tcPr>
            <w:tcW w:w="1403" w:type="dxa"/>
          </w:tcPr>
          <w:p w:rsidR="00A51C60" w:rsidRDefault="00A51C60" w:rsidP="00A51C60">
            <w:pPr>
              <w:rPr>
                <w:rFonts w:ascii="Trebuchet MS" w:hAnsi="Trebuchet MS"/>
                <w:b/>
                <w:bCs/>
              </w:rPr>
            </w:pPr>
          </w:p>
        </w:tc>
        <w:tc>
          <w:tcPr>
            <w:tcW w:w="1241" w:type="dxa"/>
          </w:tcPr>
          <w:p w:rsidR="00A51C60" w:rsidRDefault="00A51C60" w:rsidP="00A51C60">
            <w:pPr>
              <w:rPr>
                <w:rFonts w:ascii="Trebuchet MS" w:hAnsi="Trebuchet MS"/>
                <w:b/>
                <w:bCs/>
              </w:rPr>
            </w:pPr>
          </w:p>
        </w:tc>
      </w:tr>
      <w:tr w:rsidR="00BD4599" w:rsidTr="00BD4599">
        <w:tc>
          <w:tcPr>
            <w:tcW w:w="2819" w:type="dxa"/>
            <w:vAlign w:val="center"/>
          </w:tcPr>
          <w:p w:rsidR="00A51C60" w:rsidRPr="00A51C60" w:rsidRDefault="00A51C60" w:rsidP="00A51C60">
            <w:pPr>
              <w:rPr>
                <w:rFonts w:ascii="Trebuchet MS" w:hAnsi="Trebuchet MS"/>
                <w:b/>
                <w:bCs/>
                <w:color w:val="833C0B" w:themeColor="accent2" w:themeShade="80"/>
                <w:sz w:val="20"/>
                <w:szCs w:val="20"/>
                <w:lang w:val="fr-FR"/>
              </w:rPr>
            </w:pPr>
            <w:r w:rsidRPr="00A51C60">
              <w:rPr>
                <w:rFonts w:ascii="Trebuchet MS" w:hAnsi="Trebuchet MS"/>
                <w:b/>
                <w:bCs/>
                <w:color w:val="833C0B" w:themeColor="accent2" w:themeShade="80"/>
                <w:sz w:val="20"/>
                <w:szCs w:val="20"/>
                <w:lang w:val="fr-FR"/>
              </w:rPr>
              <w:t>5. Optimiser la rétention, la distribution équitable et la performance des travailleurs de la santé.</w:t>
            </w:r>
          </w:p>
        </w:tc>
        <w:tc>
          <w:tcPr>
            <w:tcW w:w="3305" w:type="dxa"/>
          </w:tcPr>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1.</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2.</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3.</w:t>
            </w:r>
          </w:p>
          <w:p w:rsidR="00A51C60" w:rsidRPr="00303A4D" w:rsidRDefault="00A51C60" w:rsidP="00A51C60">
            <w:pPr>
              <w:rPr>
                <w:rFonts w:ascii="Trebuchet MS" w:hAnsi="Trebuchet MS"/>
                <w:b/>
                <w:bCs/>
                <w:sz w:val="20"/>
                <w:szCs w:val="20"/>
              </w:rPr>
            </w:pPr>
          </w:p>
          <w:p w:rsidR="00A51C60" w:rsidRPr="00303A4D" w:rsidRDefault="00A51C60" w:rsidP="00A51C60">
            <w:pPr>
              <w:rPr>
                <w:rFonts w:ascii="Trebuchet MS" w:hAnsi="Trebuchet MS"/>
                <w:b/>
                <w:bCs/>
                <w:sz w:val="20"/>
                <w:szCs w:val="20"/>
              </w:rPr>
            </w:pPr>
            <w:r w:rsidRPr="00303A4D">
              <w:rPr>
                <w:rFonts w:ascii="Trebuchet MS" w:hAnsi="Trebuchet MS"/>
                <w:b/>
                <w:bCs/>
                <w:sz w:val="20"/>
                <w:szCs w:val="20"/>
              </w:rPr>
              <w:t>4.</w:t>
            </w:r>
          </w:p>
        </w:tc>
        <w:tc>
          <w:tcPr>
            <w:tcW w:w="1292" w:type="dxa"/>
          </w:tcPr>
          <w:p w:rsidR="00A51C60" w:rsidRDefault="00A51C60" w:rsidP="00A51C60">
            <w:pPr>
              <w:rPr>
                <w:rFonts w:ascii="Trebuchet MS" w:hAnsi="Trebuchet MS"/>
                <w:b/>
                <w:bCs/>
              </w:rPr>
            </w:pPr>
          </w:p>
        </w:tc>
        <w:tc>
          <w:tcPr>
            <w:tcW w:w="1403" w:type="dxa"/>
          </w:tcPr>
          <w:p w:rsidR="00A51C60" w:rsidRDefault="00A51C60" w:rsidP="00A51C60">
            <w:pPr>
              <w:rPr>
                <w:rFonts w:ascii="Trebuchet MS" w:hAnsi="Trebuchet MS"/>
                <w:b/>
                <w:bCs/>
              </w:rPr>
            </w:pPr>
          </w:p>
        </w:tc>
        <w:tc>
          <w:tcPr>
            <w:tcW w:w="1241" w:type="dxa"/>
          </w:tcPr>
          <w:p w:rsidR="00A51C60" w:rsidRDefault="00A51C60" w:rsidP="00A51C60">
            <w:pPr>
              <w:rPr>
                <w:rFonts w:ascii="Trebuchet MS" w:hAnsi="Trebuchet MS"/>
                <w:b/>
                <w:bCs/>
              </w:rPr>
            </w:pPr>
          </w:p>
        </w:tc>
      </w:tr>
      <w:tr w:rsidR="00BD4599" w:rsidRPr="00C83349" w:rsidTr="00BD4599">
        <w:tc>
          <w:tcPr>
            <w:tcW w:w="2819" w:type="dxa"/>
            <w:vAlign w:val="center"/>
          </w:tcPr>
          <w:p w:rsidR="00A51C60" w:rsidRPr="00A51C60" w:rsidRDefault="00A51C60" w:rsidP="00A51C60">
            <w:pPr>
              <w:rPr>
                <w:rFonts w:ascii="Trebuchet MS" w:hAnsi="Trebuchet MS"/>
                <w:b/>
                <w:bCs/>
                <w:color w:val="833C0B" w:themeColor="accent2" w:themeShade="80"/>
                <w:sz w:val="20"/>
                <w:szCs w:val="20"/>
                <w:lang w:val="fr-FR"/>
              </w:rPr>
            </w:pPr>
            <w:r w:rsidRPr="00A51C60">
              <w:rPr>
                <w:rFonts w:ascii="Trebuchet MS" w:hAnsi="Trebuchet MS"/>
                <w:b/>
                <w:bCs/>
                <w:color w:val="833C0B" w:themeColor="accent2" w:themeShade="80"/>
                <w:sz w:val="20"/>
                <w:szCs w:val="20"/>
                <w:lang w:val="fr-FR"/>
              </w:rPr>
              <w:t>6.</w:t>
            </w:r>
            <w:r w:rsidRPr="00A51C60">
              <w:rPr>
                <w:rFonts w:ascii="Trebuchet MS" w:hAnsi="Trebuchet MS"/>
                <w:b/>
                <w:bCs/>
                <w:color w:val="833C0B" w:themeColor="accent2" w:themeShade="80"/>
                <w:sz w:val="20"/>
                <w:szCs w:val="20"/>
                <w:lang w:val="fr-FR"/>
              </w:rPr>
              <w:tab/>
              <w:t xml:space="preserve">Renforcer les capacités de gestion des urgences et des risques de catastrophes pour la protection des RHS, y compris l'intégration de la planification et de la gestion des RHS dans la préparation et les réponses aux urgences </w:t>
            </w:r>
          </w:p>
        </w:tc>
        <w:tc>
          <w:tcPr>
            <w:tcW w:w="3305" w:type="dxa"/>
          </w:tcPr>
          <w:p w:rsidR="00A51C60" w:rsidRPr="00303A4D" w:rsidRDefault="00A51C60" w:rsidP="00A51C60">
            <w:pPr>
              <w:rPr>
                <w:rFonts w:cstheme="minorHAnsi"/>
                <w:b/>
                <w:bCs/>
                <w:sz w:val="20"/>
                <w:szCs w:val="20"/>
              </w:rPr>
            </w:pPr>
            <w:r w:rsidRPr="00303A4D">
              <w:rPr>
                <w:rFonts w:cstheme="minorHAnsi"/>
                <w:b/>
                <w:bCs/>
                <w:sz w:val="20"/>
                <w:szCs w:val="20"/>
              </w:rPr>
              <w:t>1.</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2.</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3.</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4.</w:t>
            </w:r>
          </w:p>
        </w:tc>
        <w:tc>
          <w:tcPr>
            <w:tcW w:w="1292" w:type="dxa"/>
          </w:tcPr>
          <w:p w:rsidR="00A51C60" w:rsidRPr="00C83349" w:rsidRDefault="00A51C60" w:rsidP="00A51C60">
            <w:pPr>
              <w:rPr>
                <w:rFonts w:cstheme="minorHAnsi"/>
                <w:b/>
                <w:bCs/>
              </w:rPr>
            </w:pPr>
          </w:p>
        </w:tc>
        <w:tc>
          <w:tcPr>
            <w:tcW w:w="1403" w:type="dxa"/>
          </w:tcPr>
          <w:p w:rsidR="00A51C60" w:rsidRPr="00C83349" w:rsidRDefault="00A51C60" w:rsidP="00A51C60">
            <w:pPr>
              <w:rPr>
                <w:rFonts w:cstheme="minorHAnsi"/>
                <w:b/>
                <w:bCs/>
              </w:rPr>
            </w:pPr>
          </w:p>
        </w:tc>
        <w:tc>
          <w:tcPr>
            <w:tcW w:w="1241" w:type="dxa"/>
          </w:tcPr>
          <w:p w:rsidR="00A51C60" w:rsidRPr="00C83349" w:rsidRDefault="00A51C60" w:rsidP="00A51C60">
            <w:pPr>
              <w:rPr>
                <w:rFonts w:cstheme="minorHAnsi"/>
                <w:b/>
                <w:bCs/>
              </w:rPr>
            </w:pPr>
          </w:p>
        </w:tc>
      </w:tr>
      <w:tr w:rsidR="00BD4599" w:rsidRPr="00C83349" w:rsidTr="00BD4599">
        <w:tc>
          <w:tcPr>
            <w:tcW w:w="2819" w:type="dxa"/>
            <w:vAlign w:val="center"/>
          </w:tcPr>
          <w:p w:rsidR="00A51C60" w:rsidRPr="00A51C60" w:rsidRDefault="00A51C60" w:rsidP="00A51C60">
            <w:pPr>
              <w:rPr>
                <w:rFonts w:ascii="Trebuchet MS" w:hAnsi="Trebuchet MS"/>
                <w:b/>
                <w:bCs/>
                <w:color w:val="833C0B" w:themeColor="accent2" w:themeShade="80"/>
                <w:sz w:val="20"/>
                <w:szCs w:val="20"/>
                <w:lang w:val="fr-FR"/>
              </w:rPr>
            </w:pPr>
            <w:r w:rsidRPr="00A51C60">
              <w:rPr>
                <w:rFonts w:ascii="Trebuchet MS" w:hAnsi="Trebuchet MS"/>
                <w:b/>
                <w:bCs/>
                <w:color w:val="833C0B" w:themeColor="accent2" w:themeShade="80"/>
                <w:sz w:val="20"/>
                <w:szCs w:val="20"/>
                <w:lang w:val="fr-FR"/>
              </w:rPr>
              <w:t>7.</w:t>
            </w:r>
            <w:r w:rsidR="00BD4599">
              <w:rPr>
                <w:rFonts w:ascii="Trebuchet MS" w:hAnsi="Trebuchet MS"/>
                <w:b/>
                <w:bCs/>
                <w:color w:val="833C0B" w:themeColor="accent2" w:themeShade="80"/>
                <w:sz w:val="20"/>
                <w:szCs w:val="20"/>
                <w:lang w:val="fr-FR"/>
              </w:rPr>
              <w:t xml:space="preserve"> </w:t>
            </w:r>
            <w:r w:rsidRPr="00A51C60">
              <w:rPr>
                <w:rFonts w:ascii="Trebuchet MS" w:hAnsi="Trebuchet MS"/>
                <w:b/>
                <w:bCs/>
                <w:color w:val="833C0B" w:themeColor="accent2" w:themeShade="80"/>
                <w:sz w:val="20"/>
                <w:szCs w:val="20"/>
                <w:lang w:val="fr-FR"/>
              </w:rPr>
              <w:t>Mettre en place de registres nationaux du personnel de santé et apporter une  assistance technique pour l'élaboration de comptes nationaux du personnel de santé, des observatoires nationaux de personnel de santé, y compris des profils nationaux du personnel de santé</w:t>
            </w:r>
          </w:p>
        </w:tc>
        <w:tc>
          <w:tcPr>
            <w:tcW w:w="3305" w:type="dxa"/>
          </w:tcPr>
          <w:p w:rsidR="00A51C60" w:rsidRPr="00303A4D" w:rsidRDefault="00A51C60" w:rsidP="00A51C60">
            <w:pPr>
              <w:rPr>
                <w:rFonts w:cstheme="minorHAnsi"/>
                <w:b/>
                <w:bCs/>
                <w:sz w:val="20"/>
                <w:szCs w:val="20"/>
              </w:rPr>
            </w:pPr>
            <w:r w:rsidRPr="00303A4D">
              <w:rPr>
                <w:rFonts w:cstheme="minorHAnsi"/>
                <w:b/>
                <w:bCs/>
                <w:sz w:val="20"/>
                <w:szCs w:val="20"/>
              </w:rPr>
              <w:t>1.</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2.</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3.</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4.</w:t>
            </w:r>
          </w:p>
        </w:tc>
        <w:tc>
          <w:tcPr>
            <w:tcW w:w="1292" w:type="dxa"/>
          </w:tcPr>
          <w:p w:rsidR="00A51C60" w:rsidRPr="00C83349" w:rsidRDefault="00A51C60" w:rsidP="00A51C60">
            <w:pPr>
              <w:rPr>
                <w:rFonts w:cstheme="minorHAnsi"/>
                <w:b/>
                <w:bCs/>
              </w:rPr>
            </w:pPr>
          </w:p>
        </w:tc>
        <w:tc>
          <w:tcPr>
            <w:tcW w:w="1403" w:type="dxa"/>
          </w:tcPr>
          <w:p w:rsidR="00A51C60" w:rsidRPr="00C83349" w:rsidRDefault="00A51C60" w:rsidP="00A51C60">
            <w:pPr>
              <w:rPr>
                <w:rFonts w:cstheme="minorHAnsi"/>
                <w:b/>
                <w:bCs/>
              </w:rPr>
            </w:pPr>
          </w:p>
        </w:tc>
        <w:tc>
          <w:tcPr>
            <w:tcW w:w="1241" w:type="dxa"/>
          </w:tcPr>
          <w:p w:rsidR="00A51C60" w:rsidRPr="00C83349" w:rsidRDefault="00A51C60" w:rsidP="00A51C60">
            <w:pPr>
              <w:rPr>
                <w:rFonts w:cstheme="minorHAnsi"/>
                <w:b/>
                <w:bCs/>
              </w:rPr>
            </w:pPr>
          </w:p>
        </w:tc>
      </w:tr>
      <w:tr w:rsidR="00BD4599" w:rsidRPr="00C83349" w:rsidTr="00BD4599">
        <w:tc>
          <w:tcPr>
            <w:tcW w:w="2819" w:type="dxa"/>
            <w:vAlign w:val="center"/>
          </w:tcPr>
          <w:p w:rsidR="00A51C60" w:rsidRPr="00A51C60" w:rsidRDefault="00A51C60" w:rsidP="00A51C60">
            <w:pPr>
              <w:rPr>
                <w:rFonts w:ascii="Trebuchet MS" w:hAnsi="Trebuchet MS"/>
                <w:b/>
                <w:bCs/>
                <w:color w:val="833C0B" w:themeColor="accent2" w:themeShade="80"/>
                <w:sz w:val="20"/>
                <w:szCs w:val="20"/>
                <w:lang w:val="fr-FR"/>
              </w:rPr>
            </w:pPr>
            <w:r w:rsidRPr="00A51C60">
              <w:rPr>
                <w:rFonts w:ascii="Trebuchet MS" w:hAnsi="Trebuchet MS"/>
                <w:b/>
                <w:bCs/>
                <w:color w:val="833C0B" w:themeColor="accent2" w:themeShade="80"/>
                <w:sz w:val="20"/>
                <w:szCs w:val="20"/>
                <w:lang w:val="fr-FR"/>
              </w:rPr>
              <w:t>8. Renforcer les systèmes d'information sur les RHS et développer les capacités nécessaires à leur gestion.</w:t>
            </w:r>
          </w:p>
          <w:p w:rsidR="00A51C60" w:rsidRPr="00A51C60" w:rsidRDefault="00A51C60" w:rsidP="00A51C60">
            <w:pPr>
              <w:pStyle w:val="ListParagraph"/>
              <w:rPr>
                <w:rFonts w:ascii="Trebuchet MS" w:hAnsi="Trebuchet MS"/>
                <w:b/>
                <w:bCs/>
                <w:color w:val="833C0B" w:themeColor="accent2" w:themeShade="80"/>
                <w:sz w:val="20"/>
                <w:szCs w:val="20"/>
                <w:lang w:val="fr-FR"/>
              </w:rPr>
            </w:pPr>
          </w:p>
        </w:tc>
        <w:tc>
          <w:tcPr>
            <w:tcW w:w="3305" w:type="dxa"/>
          </w:tcPr>
          <w:p w:rsidR="00A51C60" w:rsidRPr="00303A4D" w:rsidRDefault="00A51C60" w:rsidP="00A51C60">
            <w:pPr>
              <w:rPr>
                <w:rFonts w:cstheme="minorHAnsi"/>
                <w:b/>
                <w:bCs/>
                <w:sz w:val="20"/>
                <w:szCs w:val="20"/>
              </w:rPr>
            </w:pPr>
            <w:r w:rsidRPr="00303A4D">
              <w:rPr>
                <w:rFonts w:cstheme="minorHAnsi"/>
                <w:b/>
                <w:bCs/>
                <w:sz w:val="20"/>
                <w:szCs w:val="20"/>
              </w:rPr>
              <w:t>1.</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2.</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3.</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4.</w:t>
            </w:r>
          </w:p>
        </w:tc>
        <w:tc>
          <w:tcPr>
            <w:tcW w:w="1292" w:type="dxa"/>
          </w:tcPr>
          <w:p w:rsidR="00A51C60" w:rsidRPr="00C83349" w:rsidRDefault="00A51C60" w:rsidP="00A51C60">
            <w:pPr>
              <w:rPr>
                <w:rFonts w:cstheme="minorHAnsi"/>
                <w:b/>
                <w:bCs/>
              </w:rPr>
            </w:pPr>
          </w:p>
        </w:tc>
        <w:tc>
          <w:tcPr>
            <w:tcW w:w="1403" w:type="dxa"/>
          </w:tcPr>
          <w:p w:rsidR="00A51C60" w:rsidRPr="00C83349" w:rsidRDefault="00A51C60" w:rsidP="00A51C60">
            <w:pPr>
              <w:rPr>
                <w:rFonts w:cstheme="minorHAnsi"/>
                <w:b/>
                <w:bCs/>
              </w:rPr>
            </w:pPr>
          </w:p>
        </w:tc>
        <w:tc>
          <w:tcPr>
            <w:tcW w:w="1241" w:type="dxa"/>
          </w:tcPr>
          <w:p w:rsidR="00A51C60" w:rsidRPr="00C83349" w:rsidRDefault="00A51C60" w:rsidP="00A51C60">
            <w:pPr>
              <w:rPr>
                <w:rFonts w:cstheme="minorHAnsi"/>
                <w:b/>
                <w:bCs/>
              </w:rPr>
            </w:pPr>
          </w:p>
        </w:tc>
      </w:tr>
      <w:tr w:rsidR="00BD4599" w:rsidRPr="00C83349" w:rsidTr="00BD4599">
        <w:tc>
          <w:tcPr>
            <w:tcW w:w="2819" w:type="dxa"/>
            <w:vAlign w:val="center"/>
          </w:tcPr>
          <w:p w:rsidR="00A51C60" w:rsidRPr="00A51C60" w:rsidRDefault="00A51C60" w:rsidP="00A51C60">
            <w:pPr>
              <w:rPr>
                <w:rFonts w:ascii="Trebuchet MS" w:hAnsi="Trebuchet MS"/>
                <w:b/>
                <w:bCs/>
                <w:color w:val="833C0B" w:themeColor="accent2" w:themeShade="80"/>
                <w:sz w:val="20"/>
                <w:szCs w:val="20"/>
                <w:lang w:val="fr-FR"/>
              </w:rPr>
            </w:pPr>
            <w:r w:rsidRPr="00A51C60">
              <w:rPr>
                <w:rFonts w:ascii="Trebuchet MS" w:hAnsi="Trebuchet MS"/>
                <w:b/>
                <w:bCs/>
                <w:color w:val="833C0B" w:themeColor="accent2" w:themeShade="80"/>
                <w:sz w:val="20"/>
                <w:szCs w:val="20"/>
                <w:lang w:val="fr-FR"/>
              </w:rPr>
              <w:t>9. Documenter l'impact de COVID-19 sur les RHS pour en tirer des leçons.</w:t>
            </w:r>
          </w:p>
        </w:tc>
        <w:tc>
          <w:tcPr>
            <w:tcW w:w="3305" w:type="dxa"/>
          </w:tcPr>
          <w:p w:rsidR="00A51C60" w:rsidRPr="00303A4D" w:rsidRDefault="00A51C60" w:rsidP="00A51C60">
            <w:pPr>
              <w:rPr>
                <w:rFonts w:cstheme="minorHAnsi"/>
                <w:b/>
                <w:bCs/>
                <w:sz w:val="20"/>
                <w:szCs w:val="20"/>
              </w:rPr>
            </w:pPr>
            <w:r w:rsidRPr="00303A4D">
              <w:rPr>
                <w:rFonts w:cstheme="minorHAnsi"/>
                <w:b/>
                <w:bCs/>
                <w:sz w:val="20"/>
                <w:szCs w:val="20"/>
              </w:rPr>
              <w:t>1.</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2.</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3.</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4.</w:t>
            </w:r>
          </w:p>
        </w:tc>
        <w:tc>
          <w:tcPr>
            <w:tcW w:w="1292" w:type="dxa"/>
          </w:tcPr>
          <w:p w:rsidR="00A51C60" w:rsidRPr="00C83349" w:rsidRDefault="00A51C60" w:rsidP="00A51C60">
            <w:pPr>
              <w:rPr>
                <w:rFonts w:cstheme="minorHAnsi"/>
                <w:b/>
                <w:bCs/>
              </w:rPr>
            </w:pPr>
          </w:p>
        </w:tc>
        <w:tc>
          <w:tcPr>
            <w:tcW w:w="1403" w:type="dxa"/>
          </w:tcPr>
          <w:p w:rsidR="00A51C60" w:rsidRPr="00C83349" w:rsidRDefault="00A51C60" w:rsidP="00A51C60">
            <w:pPr>
              <w:rPr>
                <w:rFonts w:cstheme="minorHAnsi"/>
                <w:b/>
                <w:bCs/>
              </w:rPr>
            </w:pPr>
          </w:p>
        </w:tc>
        <w:tc>
          <w:tcPr>
            <w:tcW w:w="1241" w:type="dxa"/>
          </w:tcPr>
          <w:p w:rsidR="00A51C60" w:rsidRPr="00C83349" w:rsidRDefault="00A51C60" w:rsidP="00A51C60">
            <w:pPr>
              <w:rPr>
                <w:rFonts w:cstheme="minorHAnsi"/>
                <w:b/>
                <w:bCs/>
              </w:rPr>
            </w:pPr>
          </w:p>
        </w:tc>
      </w:tr>
      <w:tr w:rsidR="00BD4599" w:rsidRPr="00C83349" w:rsidTr="00BD4599">
        <w:tc>
          <w:tcPr>
            <w:tcW w:w="2819" w:type="dxa"/>
            <w:vAlign w:val="center"/>
          </w:tcPr>
          <w:p w:rsidR="00A51C60" w:rsidRPr="00A51C60" w:rsidRDefault="00A51C60" w:rsidP="00A51C60">
            <w:pPr>
              <w:rPr>
                <w:rFonts w:ascii="Trebuchet MS" w:hAnsi="Trebuchet MS"/>
                <w:b/>
                <w:bCs/>
                <w:color w:val="833C0B" w:themeColor="accent2" w:themeShade="80"/>
                <w:sz w:val="20"/>
                <w:szCs w:val="20"/>
                <w:lang w:val="fr-FR"/>
              </w:rPr>
            </w:pPr>
            <w:r w:rsidRPr="00A51C60">
              <w:rPr>
                <w:rFonts w:ascii="Trebuchet MS" w:hAnsi="Trebuchet MS"/>
                <w:b/>
                <w:bCs/>
                <w:color w:val="833C0B" w:themeColor="accent2" w:themeShade="80"/>
                <w:sz w:val="20"/>
                <w:szCs w:val="20"/>
                <w:lang w:val="fr-FR"/>
              </w:rPr>
              <w:t>10. Développement d'outils et de guides régionaux pour aider les pays à analyser et à mettre en œuvre des initiatives dans les priorités identifiées.</w:t>
            </w:r>
          </w:p>
        </w:tc>
        <w:tc>
          <w:tcPr>
            <w:tcW w:w="3305" w:type="dxa"/>
          </w:tcPr>
          <w:p w:rsidR="00A51C60" w:rsidRPr="00303A4D" w:rsidRDefault="00A51C60" w:rsidP="00A51C60">
            <w:pPr>
              <w:rPr>
                <w:rFonts w:cstheme="minorHAnsi"/>
                <w:b/>
                <w:bCs/>
                <w:sz w:val="20"/>
                <w:szCs w:val="20"/>
              </w:rPr>
            </w:pPr>
            <w:r w:rsidRPr="00303A4D">
              <w:rPr>
                <w:rFonts w:cstheme="minorHAnsi"/>
                <w:b/>
                <w:bCs/>
                <w:sz w:val="20"/>
                <w:szCs w:val="20"/>
              </w:rPr>
              <w:t>1.</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2.</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3.</w:t>
            </w:r>
          </w:p>
          <w:p w:rsidR="00A51C60" w:rsidRPr="00303A4D" w:rsidRDefault="00A51C60" w:rsidP="00A51C60">
            <w:pPr>
              <w:rPr>
                <w:rFonts w:cstheme="minorHAnsi"/>
                <w:b/>
                <w:bCs/>
                <w:sz w:val="20"/>
                <w:szCs w:val="20"/>
              </w:rPr>
            </w:pPr>
          </w:p>
          <w:p w:rsidR="00A51C60" w:rsidRPr="00303A4D" w:rsidRDefault="00A51C60" w:rsidP="00A51C60">
            <w:pPr>
              <w:rPr>
                <w:rFonts w:cstheme="minorHAnsi"/>
                <w:b/>
                <w:bCs/>
                <w:sz w:val="20"/>
                <w:szCs w:val="20"/>
              </w:rPr>
            </w:pPr>
            <w:r w:rsidRPr="00303A4D">
              <w:rPr>
                <w:rFonts w:cstheme="minorHAnsi"/>
                <w:b/>
                <w:bCs/>
                <w:sz w:val="20"/>
                <w:szCs w:val="20"/>
              </w:rPr>
              <w:t>4.</w:t>
            </w:r>
          </w:p>
        </w:tc>
        <w:tc>
          <w:tcPr>
            <w:tcW w:w="1292" w:type="dxa"/>
          </w:tcPr>
          <w:p w:rsidR="00A51C60" w:rsidRPr="00C83349" w:rsidRDefault="00A51C60" w:rsidP="00A51C60">
            <w:pPr>
              <w:rPr>
                <w:rFonts w:cstheme="minorHAnsi"/>
                <w:b/>
                <w:bCs/>
              </w:rPr>
            </w:pPr>
          </w:p>
        </w:tc>
        <w:tc>
          <w:tcPr>
            <w:tcW w:w="1403" w:type="dxa"/>
          </w:tcPr>
          <w:p w:rsidR="00A51C60" w:rsidRPr="00C83349" w:rsidRDefault="00A51C60" w:rsidP="00A51C60">
            <w:pPr>
              <w:rPr>
                <w:rFonts w:cstheme="minorHAnsi"/>
                <w:b/>
                <w:bCs/>
              </w:rPr>
            </w:pPr>
          </w:p>
        </w:tc>
        <w:tc>
          <w:tcPr>
            <w:tcW w:w="1241" w:type="dxa"/>
          </w:tcPr>
          <w:p w:rsidR="00A51C60" w:rsidRPr="00C83349" w:rsidRDefault="00A51C60" w:rsidP="00A51C60">
            <w:pPr>
              <w:rPr>
                <w:rFonts w:cstheme="minorHAnsi"/>
                <w:b/>
                <w:bCs/>
              </w:rPr>
            </w:pPr>
          </w:p>
        </w:tc>
      </w:tr>
      <w:tr w:rsidR="00BD4599" w:rsidRPr="00C83349" w:rsidTr="00BD4599">
        <w:tc>
          <w:tcPr>
            <w:tcW w:w="2819" w:type="dxa"/>
            <w:vAlign w:val="center"/>
          </w:tcPr>
          <w:p w:rsidR="000C48FD" w:rsidRPr="00C83349" w:rsidRDefault="000C48FD" w:rsidP="000C48FD">
            <w:pPr>
              <w:pStyle w:val="ListParagraph"/>
              <w:numPr>
                <w:ilvl w:val="0"/>
                <w:numId w:val="21"/>
              </w:numPr>
              <w:ind w:left="316"/>
              <w:rPr>
                <w:rFonts w:cstheme="minorHAnsi"/>
                <w:b/>
                <w:bCs/>
                <w:color w:val="833C0B" w:themeColor="accent2" w:themeShade="80"/>
              </w:rPr>
            </w:pPr>
            <w:r w:rsidRPr="00C83349">
              <w:rPr>
                <w:rFonts w:cstheme="minorHAnsi"/>
                <w:b/>
                <w:bCs/>
                <w:color w:val="833C0B" w:themeColor="accent2" w:themeShade="80"/>
              </w:rPr>
              <w:t>Other activities (not classified)</w:t>
            </w:r>
          </w:p>
        </w:tc>
        <w:tc>
          <w:tcPr>
            <w:tcW w:w="3305" w:type="dxa"/>
          </w:tcPr>
          <w:p w:rsidR="000C48FD" w:rsidRPr="00C83349" w:rsidRDefault="000C48FD" w:rsidP="000C48FD">
            <w:pPr>
              <w:rPr>
                <w:rFonts w:cstheme="minorHAnsi"/>
                <w:b/>
                <w:bCs/>
              </w:rPr>
            </w:pPr>
            <w:r w:rsidRPr="00C83349">
              <w:rPr>
                <w:rFonts w:cstheme="minorHAnsi"/>
                <w:b/>
                <w:bCs/>
              </w:rPr>
              <w:t>1.</w:t>
            </w:r>
          </w:p>
          <w:p w:rsidR="000C48FD" w:rsidRPr="00C83349" w:rsidRDefault="000C48FD" w:rsidP="000C48FD">
            <w:pPr>
              <w:rPr>
                <w:rFonts w:cstheme="minorHAnsi"/>
                <w:b/>
                <w:bCs/>
              </w:rPr>
            </w:pPr>
            <w:r w:rsidRPr="00C83349">
              <w:rPr>
                <w:rFonts w:cstheme="minorHAnsi"/>
                <w:b/>
                <w:bCs/>
              </w:rPr>
              <w:t>2.</w:t>
            </w:r>
          </w:p>
          <w:p w:rsidR="000C48FD" w:rsidRPr="00C83349" w:rsidRDefault="000C48FD" w:rsidP="000C48FD">
            <w:pPr>
              <w:rPr>
                <w:rFonts w:cstheme="minorHAnsi"/>
                <w:b/>
                <w:bCs/>
              </w:rPr>
            </w:pPr>
            <w:r w:rsidRPr="00C83349">
              <w:rPr>
                <w:rFonts w:cstheme="minorHAnsi"/>
                <w:b/>
                <w:bCs/>
              </w:rPr>
              <w:t>3.</w:t>
            </w:r>
          </w:p>
          <w:p w:rsidR="000C48FD" w:rsidRPr="00C83349" w:rsidRDefault="000C48FD" w:rsidP="000C48FD">
            <w:pPr>
              <w:rPr>
                <w:rFonts w:cstheme="minorHAnsi"/>
                <w:b/>
                <w:bCs/>
              </w:rPr>
            </w:pPr>
            <w:r w:rsidRPr="00C83349">
              <w:rPr>
                <w:rFonts w:cstheme="minorHAnsi"/>
                <w:b/>
                <w:bCs/>
              </w:rPr>
              <w:t>4.</w:t>
            </w:r>
          </w:p>
        </w:tc>
        <w:tc>
          <w:tcPr>
            <w:tcW w:w="1292" w:type="dxa"/>
          </w:tcPr>
          <w:p w:rsidR="000C48FD" w:rsidRPr="00C83349" w:rsidRDefault="000C48FD" w:rsidP="000C48FD">
            <w:pPr>
              <w:rPr>
                <w:rFonts w:cstheme="minorHAnsi"/>
                <w:b/>
                <w:bCs/>
              </w:rPr>
            </w:pPr>
          </w:p>
        </w:tc>
        <w:tc>
          <w:tcPr>
            <w:tcW w:w="1403" w:type="dxa"/>
          </w:tcPr>
          <w:p w:rsidR="000C48FD" w:rsidRPr="00C83349" w:rsidRDefault="000C48FD" w:rsidP="000C48FD">
            <w:pPr>
              <w:rPr>
                <w:rFonts w:cstheme="minorHAnsi"/>
                <w:b/>
                <w:bCs/>
              </w:rPr>
            </w:pPr>
          </w:p>
        </w:tc>
        <w:tc>
          <w:tcPr>
            <w:tcW w:w="1241" w:type="dxa"/>
          </w:tcPr>
          <w:p w:rsidR="000C48FD" w:rsidRPr="00C83349" w:rsidRDefault="000C48FD" w:rsidP="000C48FD">
            <w:pPr>
              <w:rPr>
                <w:rFonts w:cstheme="minorHAnsi"/>
                <w:b/>
                <w:bCs/>
              </w:rPr>
            </w:pPr>
          </w:p>
        </w:tc>
      </w:tr>
    </w:tbl>
    <w:p w:rsidR="000C48FD" w:rsidRPr="00C83349" w:rsidRDefault="000C48FD" w:rsidP="000C48FD">
      <w:pPr>
        <w:rPr>
          <w:rFonts w:cstheme="minorHAnsi"/>
          <w:b/>
          <w:bCs/>
        </w:rPr>
      </w:pPr>
    </w:p>
    <w:p w:rsidR="000C48FD" w:rsidRPr="002F7EC7" w:rsidRDefault="000C48FD" w:rsidP="002F7EC7">
      <w:pPr>
        <w:rPr>
          <w:lang w:val="fr-FR"/>
        </w:rPr>
      </w:pPr>
    </w:p>
    <w:sectPr w:rsidR="000C48FD" w:rsidRPr="002F7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oway">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AF"/>
    <w:multiLevelType w:val="hybridMultilevel"/>
    <w:tmpl w:val="DFF6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D6369"/>
    <w:multiLevelType w:val="hybridMultilevel"/>
    <w:tmpl w:val="D9067B3A"/>
    <w:lvl w:ilvl="0" w:tplc="1A50E614">
      <w:start w:val="1"/>
      <w:numFmt w:val="decimal"/>
      <w:lvlText w:val="%1."/>
      <w:lvlJc w:val="left"/>
      <w:pPr>
        <w:ind w:left="550" w:hanging="43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71555"/>
    <w:multiLevelType w:val="hybridMultilevel"/>
    <w:tmpl w:val="49BC2EA0"/>
    <w:lvl w:ilvl="0" w:tplc="75E8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92E05"/>
    <w:multiLevelType w:val="hybridMultilevel"/>
    <w:tmpl w:val="7EB2F23C"/>
    <w:lvl w:ilvl="0" w:tplc="75E8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37BAC"/>
    <w:multiLevelType w:val="hybridMultilevel"/>
    <w:tmpl w:val="FEA003AC"/>
    <w:lvl w:ilvl="0" w:tplc="1A50E614">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53B7B"/>
    <w:multiLevelType w:val="hybridMultilevel"/>
    <w:tmpl w:val="57C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2005"/>
    <w:multiLevelType w:val="hybridMultilevel"/>
    <w:tmpl w:val="79C4E240"/>
    <w:lvl w:ilvl="0" w:tplc="3FAAD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B1F47"/>
    <w:multiLevelType w:val="hybridMultilevel"/>
    <w:tmpl w:val="3782F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D2D5B"/>
    <w:multiLevelType w:val="hybridMultilevel"/>
    <w:tmpl w:val="850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81594"/>
    <w:multiLevelType w:val="hybridMultilevel"/>
    <w:tmpl w:val="8F46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D32D4"/>
    <w:multiLevelType w:val="hybridMultilevel"/>
    <w:tmpl w:val="8F46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662CD"/>
    <w:multiLevelType w:val="hybridMultilevel"/>
    <w:tmpl w:val="2DB2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D3E8B"/>
    <w:multiLevelType w:val="hybridMultilevel"/>
    <w:tmpl w:val="236A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D4322"/>
    <w:multiLevelType w:val="hybridMultilevel"/>
    <w:tmpl w:val="3D66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A0A8F"/>
    <w:multiLevelType w:val="hybridMultilevel"/>
    <w:tmpl w:val="75D01638"/>
    <w:lvl w:ilvl="0" w:tplc="75E8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E038E"/>
    <w:multiLevelType w:val="hybridMultilevel"/>
    <w:tmpl w:val="00C8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B35D7"/>
    <w:multiLevelType w:val="hybridMultilevel"/>
    <w:tmpl w:val="8F46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179E6"/>
    <w:multiLevelType w:val="hybridMultilevel"/>
    <w:tmpl w:val="5F9E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F3E8A"/>
    <w:multiLevelType w:val="hybridMultilevel"/>
    <w:tmpl w:val="F9B098A0"/>
    <w:lvl w:ilvl="0" w:tplc="75E8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76BB8"/>
    <w:multiLevelType w:val="hybridMultilevel"/>
    <w:tmpl w:val="A41C7768"/>
    <w:lvl w:ilvl="0" w:tplc="75E8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54AD0"/>
    <w:multiLevelType w:val="hybridMultilevel"/>
    <w:tmpl w:val="8F46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4225D"/>
    <w:multiLevelType w:val="hybridMultilevel"/>
    <w:tmpl w:val="11ECC7C2"/>
    <w:lvl w:ilvl="0" w:tplc="3FAAD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B7DFE"/>
    <w:multiLevelType w:val="hybridMultilevel"/>
    <w:tmpl w:val="8318C520"/>
    <w:lvl w:ilvl="0" w:tplc="75E8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C27EC"/>
    <w:multiLevelType w:val="hybridMultilevel"/>
    <w:tmpl w:val="8CB43A02"/>
    <w:lvl w:ilvl="0" w:tplc="75E8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9320D"/>
    <w:multiLevelType w:val="hybridMultilevel"/>
    <w:tmpl w:val="DFF6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F3115"/>
    <w:multiLevelType w:val="hybridMultilevel"/>
    <w:tmpl w:val="6B76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42454"/>
    <w:multiLevelType w:val="hybridMultilevel"/>
    <w:tmpl w:val="30D019AC"/>
    <w:lvl w:ilvl="0" w:tplc="75E8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328EA"/>
    <w:multiLevelType w:val="hybridMultilevel"/>
    <w:tmpl w:val="077801AE"/>
    <w:lvl w:ilvl="0" w:tplc="3FAAD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95B2C"/>
    <w:multiLevelType w:val="hybridMultilevel"/>
    <w:tmpl w:val="C91A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85AD0"/>
    <w:multiLevelType w:val="hybridMultilevel"/>
    <w:tmpl w:val="D7F8F86C"/>
    <w:lvl w:ilvl="0" w:tplc="3FAAD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DD06CF"/>
    <w:multiLevelType w:val="hybridMultilevel"/>
    <w:tmpl w:val="CD966DA6"/>
    <w:lvl w:ilvl="0" w:tplc="3FAAD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21"/>
  </w:num>
  <w:num w:numId="5">
    <w:abstractNumId w:val="29"/>
  </w:num>
  <w:num w:numId="6">
    <w:abstractNumId w:val="30"/>
  </w:num>
  <w:num w:numId="7">
    <w:abstractNumId w:val="27"/>
  </w:num>
  <w:num w:numId="8">
    <w:abstractNumId w:val="1"/>
  </w:num>
  <w:num w:numId="9">
    <w:abstractNumId w:val="23"/>
  </w:num>
  <w:num w:numId="10">
    <w:abstractNumId w:val="14"/>
  </w:num>
  <w:num w:numId="11">
    <w:abstractNumId w:val="18"/>
  </w:num>
  <w:num w:numId="12">
    <w:abstractNumId w:val="26"/>
  </w:num>
  <w:num w:numId="13">
    <w:abstractNumId w:val="22"/>
  </w:num>
  <w:num w:numId="14">
    <w:abstractNumId w:val="3"/>
  </w:num>
  <w:num w:numId="15">
    <w:abstractNumId w:val="19"/>
  </w:num>
  <w:num w:numId="16">
    <w:abstractNumId w:val="2"/>
  </w:num>
  <w:num w:numId="17">
    <w:abstractNumId w:val="4"/>
  </w:num>
  <w:num w:numId="18">
    <w:abstractNumId w:val="0"/>
  </w:num>
  <w:num w:numId="19">
    <w:abstractNumId w:val="7"/>
  </w:num>
  <w:num w:numId="20">
    <w:abstractNumId w:val="20"/>
  </w:num>
  <w:num w:numId="21">
    <w:abstractNumId w:val="25"/>
  </w:num>
  <w:num w:numId="22">
    <w:abstractNumId w:val="12"/>
  </w:num>
  <w:num w:numId="23">
    <w:abstractNumId w:val="5"/>
  </w:num>
  <w:num w:numId="24">
    <w:abstractNumId w:val="28"/>
  </w:num>
  <w:num w:numId="25">
    <w:abstractNumId w:val="15"/>
  </w:num>
  <w:num w:numId="26">
    <w:abstractNumId w:val="8"/>
  </w:num>
  <w:num w:numId="27">
    <w:abstractNumId w:val="13"/>
  </w:num>
  <w:num w:numId="28">
    <w:abstractNumId w:val="9"/>
  </w:num>
  <w:num w:numId="29">
    <w:abstractNumId w:val="16"/>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2B"/>
    <w:rsid w:val="000717FD"/>
    <w:rsid w:val="000C48FD"/>
    <w:rsid w:val="001343E2"/>
    <w:rsid w:val="001A7044"/>
    <w:rsid w:val="001E4E26"/>
    <w:rsid w:val="002F7EC7"/>
    <w:rsid w:val="00315358"/>
    <w:rsid w:val="0032663D"/>
    <w:rsid w:val="00463D01"/>
    <w:rsid w:val="004C38D3"/>
    <w:rsid w:val="004D27E2"/>
    <w:rsid w:val="00532FDC"/>
    <w:rsid w:val="00625DD9"/>
    <w:rsid w:val="00667D8B"/>
    <w:rsid w:val="006B2AE9"/>
    <w:rsid w:val="008166CF"/>
    <w:rsid w:val="00833358"/>
    <w:rsid w:val="00860185"/>
    <w:rsid w:val="00862271"/>
    <w:rsid w:val="008D3931"/>
    <w:rsid w:val="009A1264"/>
    <w:rsid w:val="00A1314C"/>
    <w:rsid w:val="00A51C60"/>
    <w:rsid w:val="00A84E16"/>
    <w:rsid w:val="00BD4599"/>
    <w:rsid w:val="00BE4162"/>
    <w:rsid w:val="00C2708B"/>
    <w:rsid w:val="00DB5F62"/>
    <w:rsid w:val="00E7132B"/>
    <w:rsid w:val="00E9415A"/>
    <w:rsid w:val="00F4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96A9"/>
  <w15:chartTrackingRefBased/>
  <w15:docId w15:val="{F7BFC955-3F8F-416B-AD35-B9FACF5D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2B"/>
    <w:pPr>
      <w:ind w:left="720"/>
      <w:contextualSpacing/>
    </w:pPr>
  </w:style>
  <w:style w:type="table" w:styleId="TableGrid">
    <w:name w:val="Table Grid"/>
    <w:basedOn w:val="TableNormal"/>
    <w:uiPriority w:val="39"/>
    <w:rsid w:val="000C48F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8FD"/>
    <w:rPr>
      <w:color w:val="0563C1" w:themeColor="hyperlink"/>
      <w:u w:val="single"/>
    </w:rPr>
  </w:style>
  <w:style w:type="character" w:styleId="UnresolvedMention">
    <w:name w:val="Unresolved Mention"/>
    <w:basedOn w:val="DefaultParagraphFont"/>
    <w:uiPriority w:val="99"/>
    <w:semiHidden/>
    <w:unhideWhenUsed/>
    <w:rsid w:val="00DB5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rh/resources/WISN_Eng_UsersManual.pdf" TargetMode="External"/><Relationship Id="rId13" Type="http://schemas.openxmlformats.org/officeDocument/2006/relationships/hyperlink" Target="https://apps.who.int/iris/handle/10665/2503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hyperlink" Target="https://apps.who.int/iris/handle/10665/2593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s.who.int/iris/handle/10665/34111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ps.who.int/iris/handle/10665/337333" TargetMode="External"/><Relationship Id="rId5" Type="http://schemas.openxmlformats.org/officeDocument/2006/relationships/image" Target="media/image1.jpeg"/><Relationship Id="rId15" Type="http://schemas.openxmlformats.org/officeDocument/2006/relationships/hyperlink" Target="https://apps.who.int/iris/handle/10665/331524" TargetMode="External"/><Relationship Id="rId10" Type="http://schemas.openxmlformats.org/officeDocument/2006/relationships/hyperlink" Target="https://apps.who.int/iris/rest/bitstreams/1344850/retrieve" TargetMode="External"/><Relationship Id="rId4" Type="http://schemas.openxmlformats.org/officeDocument/2006/relationships/webSettings" Target="webSettings.xml"/><Relationship Id="rId9" Type="http://schemas.openxmlformats.org/officeDocument/2006/relationships/hyperlink" Target="https://www.who.int/publications/i/item/9789241550369" TargetMode="External"/><Relationship Id="rId14" Type="http://schemas.openxmlformats.org/officeDocument/2006/relationships/hyperlink" Target="https://apps.who.int/iris/handle/10665/208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18</Pages>
  <Words>5418</Words>
  <Characters>30886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AHMAT, Adam</dc:creator>
  <cp:keywords/>
  <dc:description/>
  <cp:lastModifiedBy>AHMAT, Adam</cp:lastModifiedBy>
  <cp:revision>7</cp:revision>
  <dcterms:created xsi:type="dcterms:W3CDTF">2021-09-23T14:07:00Z</dcterms:created>
  <dcterms:modified xsi:type="dcterms:W3CDTF">2021-09-27T10:38:00Z</dcterms:modified>
</cp:coreProperties>
</file>