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4617" w14:textId="77777777" w:rsidR="0049293E" w:rsidRDefault="0049293E" w:rsidP="0049293E">
      <w:pPr>
        <w:pStyle w:val="Default"/>
        <w:jc w:val="center"/>
        <w:rPr>
          <w:b/>
          <w:bCs/>
          <w:sz w:val="32"/>
          <w:szCs w:val="32"/>
          <w:lang w:val="fr-FR"/>
        </w:rPr>
      </w:pPr>
      <w:r w:rsidRPr="00A94007">
        <w:rPr>
          <w:b/>
          <w:bCs/>
          <w:sz w:val="32"/>
          <w:szCs w:val="32"/>
          <w:lang w:val="fr-FR"/>
        </w:rPr>
        <w:t>REPUBLIQUE DE GUINEE</w:t>
      </w:r>
    </w:p>
    <w:p w14:paraId="51B79601" w14:textId="77777777" w:rsidR="0049293E" w:rsidRPr="00AB21A5" w:rsidRDefault="0049293E" w:rsidP="0049293E">
      <w:pPr>
        <w:pStyle w:val="Default"/>
        <w:jc w:val="center"/>
        <w:rPr>
          <w:b/>
          <w:bCs/>
          <w:i/>
          <w:iCs/>
          <w:lang w:val="fr-FR"/>
        </w:rPr>
      </w:pPr>
      <w:r w:rsidRPr="00AB21A5">
        <w:rPr>
          <w:b/>
          <w:bCs/>
          <w:i/>
          <w:iCs/>
          <w:lang w:val="fr-FR"/>
        </w:rPr>
        <w:t>Travail - Justice - Solidarité</w:t>
      </w:r>
    </w:p>
    <w:p w14:paraId="0B02804E" w14:textId="77777777" w:rsidR="0049293E" w:rsidRDefault="0049293E" w:rsidP="0049293E">
      <w:pPr>
        <w:jc w:val="center"/>
      </w:pPr>
      <w:r>
        <w:t>------------------------</w:t>
      </w:r>
    </w:p>
    <w:p w14:paraId="5ACDA9F5" w14:textId="77777777" w:rsidR="0049293E" w:rsidRDefault="0049293E" w:rsidP="0049293E">
      <w:pPr>
        <w:pStyle w:val="Default"/>
        <w:rPr>
          <w:b/>
          <w:bCs/>
          <w:sz w:val="28"/>
          <w:szCs w:val="28"/>
          <w:lang w:val="fr-FR"/>
        </w:rPr>
      </w:pPr>
      <w:r w:rsidRPr="00A94007">
        <w:rPr>
          <w:b/>
          <w:bCs/>
          <w:sz w:val="32"/>
          <w:szCs w:val="32"/>
          <w:lang w:val="fr-FR"/>
        </w:rPr>
        <w:t xml:space="preserve"> </w:t>
      </w:r>
      <w:r>
        <w:rPr>
          <w:b/>
          <w:bCs/>
          <w:sz w:val="28"/>
          <w:szCs w:val="28"/>
          <w:lang w:val="fr-FR"/>
        </w:rPr>
        <w:t xml:space="preserve">                                          </w:t>
      </w:r>
      <w:r w:rsidRPr="00A94007">
        <w:rPr>
          <w:b/>
          <w:bCs/>
          <w:sz w:val="28"/>
          <w:szCs w:val="28"/>
          <w:lang w:val="fr-FR"/>
        </w:rPr>
        <w:t>MINISTERE DE LA</w:t>
      </w:r>
      <w:r>
        <w:rPr>
          <w:b/>
          <w:bCs/>
          <w:sz w:val="28"/>
          <w:szCs w:val="28"/>
          <w:lang w:val="fr-FR"/>
        </w:rPr>
        <w:t xml:space="preserve"> </w:t>
      </w:r>
      <w:r w:rsidRPr="00A94007">
        <w:rPr>
          <w:b/>
          <w:bCs/>
          <w:sz w:val="28"/>
          <w:szCs w:val="28"/>
          <w:lang w:val="fr-FR"/>
        </w:rPr>
        <w:t xml:space="preserve">SANTE </w:t>
      </w:r>
    </w:p>
    <w:p w14:paraId="345112EE" w14:textId="0573AF30" w:rsidR="0049293E" w:rsidRDefault="0049293E" w:rsidP="0049293E">
      <w:pPr>
        <w:pStyle w:val="Default"/>
        <w:rPr>
          <w:b/>
          <w:bCs/>
          <w:sz w:val="28"/>
          <w:szCs w:val="28"/>
          <w:lang w:val="fr-FR"/>
        </w:rPr>
      </w:pPr>
    </w:p>
    <w:p w14:paraId="46C5E90C" w14:textId="6A860773" w:rsidR="0049293E" w:rsidRDefault="0049293E" w:rsidP="0049293E">
      <w:pPr>
        <w:pStyle w:val="Default"/>
        <w:rPr>
          <w:b/>
          <w:bCs/>
          <w:sz w:val="28"/>
          <w:szCs w:val="28"/>
          <w:lang w:val="fr-FR"/>
        </w:rPr>
      </w:pPr>
    </w:p>
    <w:p w14:paraId="5BED691E" w14:textId="77777777" w:rsidR="0049293E" w:rsidRDefault="0049293E" w:rsidP="0049293E">
      <w:pPr>
        <w:pStyle w:val="Default"/>
        <w:rPr>
          <w:b/>
          <w:bCs/>
          <w:sz w:val="28"/>
          <w:szCs w:val="28"/>
          <w:lang w:val="fr-FR"/>
        </w:rPr>
      </w:pPr>
    </w:p>
    <w:p w14:paraId="7A00DEF0" w14:textId="28471A0F" w:rsidR="0049293E" w:rsidRPr="00A94007" w:rsidRDefault="0049293E" w:rsidP="0049293E">
      <w:pPr>
        <w:pStyle w:val="Default"/>
        <w:rPr>
          <w:b/>
          <w:bCs/>
          <w:sz w:val="28"/>
          <w:szCs w:val="28"/>
          <w:lang w:val="fr-FR"/>
        </w:rPr>
      </w:pPr>
      <w:r w:rsidRPr="00A94007">
        <w:rPr>
          <w:b/>
          <w:bCs/>
          <w:sz w:val="28"/>
          <w:szCs w:val="28"/>
          <w:lang w:val="fr-FR"/>
        </w:rPr>
        <w:t xml:space="preserve"> </w:t>
      </w:r>
    </w:p>
    <w:p w14:paraId="11FD23FD" w14:textId="4EAEFE22" w:rsidR="0026614E" w:rsidRDefault="0094036A">
      <w:pPr>
        <w:rPr>
          <w:rFonts w:ascii="Arial" w:hAnsi="Arial" w:cs="Arial"/>
          <w:sz w:val="24"/>
          <w:szCs w:val="24"/>
        </w:rPr>
      </w:pPr>
      <w:r>
        <w:rPr>
          <w:b/>
          <w:bCs/>
          <w:noProof/>
          <w:color w:val="000000"/>
          <w:sz w:val="32"/>
          <w:szCs w:val="32"/>
          <w:lang w:eastAsia="fr-FR"/>
        </w:rPr>
        <w:drawing>
          <wp:anchor distT="0" distB="0" distL="114300" distR="114300" simplePos="0" relativeHeight="251662848" behindDoc="1" locked="0" layoutInCell="1" allowOverlap="1" wp14:anchorId="6F7863C3" wp14:editId="40BF1B53">
            <wp:simplePos x="0" y="0"/>
            <wp:positionH relativeFrom="column">
              <wp:posOffset>2504661</wp:posOffset>
            </wp:positionH>
            <wp:positionV relativeFrom="paragraph">
              <wp:posOffset>-707666</wp:posOffset>
            </wp:positionV>
            <wp:extent cx="795130" cy="889002"/>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889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0861C" w14:textId="77777777" w:rsidR="0094036A" w:rsidRDefault="0094036A" w:rsidP="00A54759">
      <w:pPr>
        <w:pStyle w:val="Default"/>
        <w:rPr>
          <w:b/>
          <w:bCs/>
          <w:sz w:val="32"/>
          <w:szCs w:val="32"/>
          <w:lang w:val="fr-FR"/>
        </w:rPr>
      </w:pPr>
    </w:p>
    <w:p w14:paraId="672AC487" w14:textId="5BF98936" w:rsidR="00A54759" w:rsidRDefault="00A54759" w:rsidP="00A54759">
      <w:pPr>
        <w:jc w:val="center"/>
        <w:rPr>
          <w:b/>
          <w:bCs/>
          <w:sz w:val="28"/>
          <w:szCs w:val="28"/>
        </w:rPr>
      </w:pPr>
    </w:p>
    <w:p w14:paraId="30DA1FA5" w14:textId="106B1C8A" w:rsidR="00545947" w:rsidRDefault="00545947">
      <w:pPr>
        <w:rPr>
          <w:rFonts w:ascii="Arial" w:hAnsi="Arial" w:cs="Arial"/>
          <w:sz w:val="24"/>
          <w:szCs w:val="24"/>
        </w:rPr>
      </w:pPr>
    </w:p>
    <w:p w14:paraId="0D812E18" w14:textId="648BD129" w:rsidR="00545947" w:rsidRDefault="00545947">
      <w:pPr>
        <w:rPr>
          <w:rFonts w:ascii="Arial" w:hAnsi="Arial" w:cs="Arial"/>
          <w:sz w:val="24"/>
          <w:szCs w:val="24"/>
        </w:rPr>
      </w:pPr>
    </w:p>
    <w:p w14:paraId="56755B7B" w14:textId="7627E17C" w:rsidR="00545947" w:rsidRDefault="00545947">
      <w:pPr>
        <w:rPr>
          <w:rFonts w:ascii="Arial" w:hAnsi="Arial" w:cs="Arial"/>
          <w:sz w:val="24"/>
          <w:szCs w:val="24"/>
        </w:rPr>
      </w:pPr>
    </w:p>
    <w:p w14:paraId="051A0603" w14:textId="72636260" w:rsidR="00545947" w:rsidRPr="009E1007" w:rsidRDefault="00545947">
      <w:pPr>
        <w:rPr>
          <w:rFonts w:ascii="Arial" w:hAnsi="Arial" w:cs="Arial"/>
          <w:sz w:val="24"/>
          <w:szCs w:val="24"/>
        </w:rPr>
      </w:pPr>
    </w:p>
    <w:p w14:paraId="13BBB34C" w14:textId="2F488183" w:rsidR="00545947" w:rsidRPr="000A1DA4" w:rsidRDefault="00545947" w:rsidP="000A1DA4">
      <w:pPr>
        <w:shd w:val="clear" w:color="auto" w:fill="E2EFD9" w:themeFill="accent6" w:themeFillTint="33"/>
        <w:ind w:right="-1134"/>
        <w:jc w:val="center"/>
        <w:rPr>
          <w:rFonts w:ascii="Arial" w:hAnsi="Arial" w:cs="Arial"/>
          <w:b/>
          <w:color w:val="C00000"/>
          <w:sz w:val="40"/>
          <w:szCs w:val="40"/>
        </w:rPr>
      </w:pPr>
      <w:r w:rsidRPr="000A1DA4">
        <w:rPr>
          <w:rFonts w:ascii="Arial" w:hAnsi="Arial" w:cs="Arial"/>
          <w:b/>
          <w:color w:val="C00000"/>
          <w:sz w:val="40"/>
          <w:szCs w:val="40"/>
        </w:rPr>
        <w:t>RENFORCEMENT</w:t>
      </w:r>
      <w:r w:rsidR="00ED0FF6" w:rsidRPr="000A1DA4">
        <w:rPr>
          <w:rFonts w:ascii="Arial" w:hAnsi="Arial" w:cs="Arial"/>
          <w:b/>
          <w:color w:val="C00000"/>
          <w:sz w:val="40"/>
          <w:szCs w:val="40"/>
        </w:rPr>
        <w:t xml:space="preserve"> ET</w:t>
      </w:r>
      <w:r w:rsidRPr="000A1DA4">
        <w:rPr>
          <w:rFonts w:ascii="Arial" w:hAnsi="Arial" w:cs="Arial"/>
          <w:b/>
          <w:color w:val="C00000"/>
          <w:sz w:val="40"/>
          <w:szCs w:val="40"/>
        </w:rPr>
        <w:t xml:space="preserve"> EXTENSION DU SNIS</w:t>
      </w:r>
      <w:r w:rsidR="0049293E">
        <w:rPr>
          <w:rFonts w:ascii="Arial" w:hAnsi="Arial" w:cs="Arial"/>
          <w:b/>
          <w:color w:val="C00000"/>
          <w:sz w:val="40"/>
          <w:szCs w:val="40"/>
        </w:rPr>
        <w:t> -</w:t>
      </w:r>
      <w:r w:rsidRPr="000A1DA4">
        <w:rPr>
          <w:rFonts w:ascii="Arial" w:hAnsi="Arial" w:cs="Arial"/>
          <w:b/>
          <w:color w:val="C00000"/>
          <w:sz w:val="40"/>
          <w:szCs w:val="40"/>
        </w:rPr>
        <w:t xml:space="preserve"> MISE EN PLACE D’UN ENTREPOT DES DONNEES SANITAIRES POUR L’AIDE A LA PRISE DE DECISION</w:t>
      </w:r>
    </w:p>
    <w:p w14:paraId="33ACF2CF" w14:textId="24A12253" w:rsidR="00FC01B4" w:rsidRDefault="00FC01B4" w:rsidP="009E1007">
      <w:pPr>
        <w:rPr>
          <w:rFonts w:ascii="Arial" w:hAnsi="Arial" w:cs="Arial"/>
          <w:b/>
          <w:color w:val="C00000"/>
          <w:sz w:val="40"/>
          <w:szCs w:val="40"/>
        </w:rPr>
      </w:pPr>
    </w:p>
    <w:p w14:paraId="43A52546" w14:textId="6CF5DD25" w:rsidR="0094036A" w:rsidRPr="0094036A" w:rsidRDefault="0094036A" w:rsidP="0094036A">
      <w:pPr>
        <w:rPr>
          <w:rFonts w:ascii="Arial" w:hAnsi="Arial" w:cs="Arial"/>
          <w:sz w:val="24"/>
          <w:szCs w:val="24"/>
        </w:rPr>
      </w:pPr>
    </w:p>
    <w:p w14:paraId="0F3CFC4F" w14:textId="77777777" w:rsidR="0094036A" w:rsidRPr="0094036A" w:rsidRDefault="0094036A" w:rsidP="0094036A">
      <w:pPr>
        <w:rPr>
          <w:rFonts w:ascii="Arial" w:hAnsi="Arial" w:cs="Arial"/>
          <w:sz w:val="24"/>
          <w:szCs w:val="24"/>
        </w:rPr>
      </w:pPr>
    </w:p>
    <w:p w14:paraId="187E8CFD" w14:textId="77777777" w:rsidR="0094036A" w:rsidRPr="0094036A" w:rsidRDefault="0094036A" w:rsidP="0094036A">
      <w:pPr>
        <w:rPr>
          <w:rFonts w:ascii="Arial" w:hAnsi="Arial" w:cs="Arial"/>
          <w:sz w:val="24"/>
          <w:szCs w:val="24"/>
        </w:rPr>
      </w:pPr>
    </w:p>
    <w:p w14:paraId="1D42541B" w14:textId="1AF09017" w:rsidR="0094036A" w:rsidRPr="0094036A" w:rsidRDefault="0094036A" w:rsidP="0094036A">
      <w:pPr>
        <w:rPr>
          <w:rFonts w:ascii="Arial" w:hAnsi="Arial" w:cs="Arial"/>
          <w:sz w:val="24"/>
          <w:szCs w:val="24"/>
        </w:rPr>
      </w:pPr>
    </w:p>
    <w:p w14:paraId="09099FEC" w14:textId="1FD7747B" w:rsidR="0094036A" w:rsidRPr="0094036A" w:rsidRDefault="0094036A" w:rsidP="0094036A">
      <w:pPr>
        <w:rPr>
          <w:rFonts w:ascii="Arial" w:hAnsi="Arial" w:cs="Arial"/>
          <w:sz w:val="24"/>
          <w:szCs w:val="24"/>
        </w:rPr>
      </w:pPr>
    </w:p>
    <w:p w14:paraId="68AA524B" w14:textId="525B4517" w:rsidR="0094036A" w:rsidRPr="0094036A" w:rsidRDefault="0094036A" w:rsidP="0094036A">
      <w:pPr>
        <w:rPr>
          <w:rFonts w:ascii="Arial" w:hAnsi="Arial" w:cs="Arial"/>
          <w:sz w:val="24"/>
          <w:szCs w:val="24"/>
        </w:rPr>
      </w:pPr>
    </w:p>
    <w:p w14:paraId="24E2C819" w14:textId="279C4556" w:rsidR="0094036A" w:rsidRPr="0094036A" w:rsidRDefault="0021723B" w:rsidP="00807493">
      <w:pPr>
        <w:jc w:val="center"/>
        <w:rPr>
          <w:rFonts w:ascii="Arial" w:hAnsi="Arial" w:cs="Arial"/>
          <w:i/>
          <w:iCs/>
          <w:sz w:val="16"/>
          <w:szCs w:val="16"/>
        </w:rPr>
      </w:pPr>
      <w:r w:rsidRPr="0094036A">
        <w:rPr>
          <w:rFonts w:ascii="Arial" w:hAnsi="Arial" w:cs="Arial"/>
          <w:b/>
          <w:noProof/>
          <w:color w:val="C00000"/>
          <w:sz w:val="40"/>
          <w:szCs w:val="40"/>
          <w:lang w:eastAsia="fr-FR"/>
        </w:rPr>
        <w:drawing>
          <wp:anchor distT="0" distB="0" distL="114300" distR="114300" simplePos="0" relativeHeight="251660800" behindDoc="1" locked="0" layoutInCell="1" allowOverlap="1" wp14:anchorId="48A7B3FF" wp14:editId="468FC985">
            <wp:simplePos x="0" y="0"/>
            <wp:positionH relativeFrom="column">
              <wp:posOffset>4364493</wp:posOffset>
            </wp:positionH>
            <wp:positionV relativeFrom="paragraph">
              <wp:posOffset>1865713</wp:posOffset>
            </wp:positionV>
            <wp:extent cx="2019300" cy="546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899" b="22013"/>
                    <a:stretch/>
                  </pic:blipFill>
                  <pic:spPr bwMode="auto">
                    <a:xfrm>
                      <a:off x="0" y="0"/>
                      <a:ext cx="201930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036A">
        <w:rPr>
          <w:rFonts w:ascii="Arial" w:hAnsi="Arial" w:cs="Arial"/>
          <w:b/>
          <w:noProof/>
          <w:color w:val="C00000"/>
          <w:sz w:val="40"/>
          <w:szCs w:val="40"/>
          <w:lang w:eastAsia="fr-FR"/>
        </w:rPr>
        <w:drawing>
          <wp:anchor distT="0" distB="0" distL="114300" distR="114300" simplePos="0" relativeHeight="251656704" behindDoc="1" locked="0" layoutInCell="1" allowOverlap="1" wp14:anchorId="0DF530BA" wp14:editId="0939E408">
            <wp:simplePos x="0" y="0"/>
            <wp:positionH relativeFrom="column">
              <wp:posOffset>-630637</wp:posOffset>
            </wp:positionH>
            <wp:positionV relativeFrom="paragraph">
              <wp:posOffset>2191330</wp:posOffset>
            </wp:positionV>
            <wp:extent cx="1771650" cy="508000"/>
            <wp:effectExtent l="0" t="0" r="635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7472" t="22759" r="12356" b="22069"/>
                    <a:stretch/>
                  </pic:blipFill>
                  <pic:spPr bwMode="auto">
                    <a:xfrm>
                      <a:off x="0" y="0"/>
                      <a:ext cx="1771650"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36A" w:rsidRPr="0094036A">
        <w:rPr>
          <w:rFonts w:ascii="Arial" w:hAnsi="Arial" w:cs="Arial"/>
          <w:i/>
          <w:iCs/>
          <w:sz w:val="16"/>
          <w:szCs w:val="16"/>
        </w:rPr>
        <w:t>Version provisoire : Rédigée par Dr OUEDRAOGO Boukary</w:t>
      </w:r>
    </w:p>
    <w:p w14:paraId="67B13C2F" w14:textId="77777777" w:rsidR="0049293E" w:rsidRDefault="0049293E" w:rsidP="0094036A">
      <w:pPr>
        <w:rPr>
          <w:rFonts w:ascii="Arial" w:hAnsi="Arial" w:cs="Arial"/>
          <w:b/>
          <w:color w:val="C00000"/>
          <w:sz w:val="40"/>
          <w:szCs w:val="40"/>
        </w:rPr>
        <w:sectPr w:rsidR="0049293E" w:rsidSect="009D1661">
          <w:footerReference w:type="even" r:id="rId11"/>
          <w:footerReference w:type="default" r:id="rId12"/>
          <w:pgSz w:w="11906" w:h="16838"/>
          <w:pgMar w:top="851" w:right="1417" w:bottom="1417" w:left="1417" w:header="708" w:footer="708" w:gutter="0"/>
          <w:cols w:space="708"/>
          <w:docGrid w:linePitch="360"/>
        </w:sectPr>
      </w:pPr>
    </w:p>
    <w:sdt>
      <w:sdtPr>
        <w:rPr>
          <w:rFonts w:asciiTheme="minorHAnsi" w:eastAsiaTheme="minorHAnsi" w:hAnsiTheme="minorHAnsi" w:cstheme="minorBidi"/>
          <w:b/>
          <w:bCs/>
          <w:noProof/>
          <w:color w:val="auto"/>
          <w:sz w:val="22"/>
          <w:szCs w:val="22"/>
        </w:rPr>
        <w:id w:val="358781747"/>
        <w:docPartObj>
          <w:docPartGallery w:val="Table of Contents"/>
          <w:docPartUnique/>
        </w:docPartObj>
      </w:sdtPr>
      <w:sdtEndPr>
        <w:rPr>
          <w:rFonts w:ascii="Arial" w:hAnsi="Arial" w:cs="Arial"/>
          <w:sz w:val="24"/>
          <w:szCs w:val="24"/>
        </w:rPr>
      </w:sdtEndPr>
      <w:sdtContent>
        <w:p w14:paraId="53B938A1" w14:textId="129F72BC" w:rsidR="000C68B4" w:rsidRPr="006B2DDC" w:rsidRDefault="000C68B4" w:rsidP="0021723B">
          <w:pPr>
            <w:pStyle w:val="TOCHeading"/>
            <w:spacing w:line="360" w:lineRule="auto"/>
            <w:jc w:val="both"/>
            <w:rPr>
              <w:b/>
              <w:bCs/>
              <w:color w:val="000000" w:themeColor="text1"/>
            </w:rPr>
          </w:pPr>
          <w:r w:rsidRPr="006B2DDC">
            <w:rPr>
              <w:b/>
              <w:bCs/>
              <w:color w:val="000000" w:themeColor="text1"/>
            </w:rPr>
            <w:t xml:space="preserve">Table </w:t>
          </w:r>
          <w:r w:rsidR="002A53AA" w:rsidRPr="006B2DDC">
            <w:rPr>
              <w:b/>
              <w:bCs/>
              <w:color w:val="000000" w:themeColor="text1"/>
            </w:rPr>
            <w:t>des matières</w:t>
          </w:r>
        </w:p>
        <w:p w14:paraId="74CDED19" w14:textId="6391F760" w:rsidR="0021723B" w:rsidRDefault="000C68B4" w:rsidP="007F117B">
          <w:pPr>
            <w:pStyle w:val="TOC1"/>
            <w:rPr>
              <w:rFonts w:asciiTheme="minorHAnsi" w:eastAsiaTheme="minorEastAsia" w:hAnsiTheme="minorHAnsi" w:cstheme="minorBidi"/>
              <w:lang w:val="en-BF"/>
            </w:rPr>
          </w:pPr>
          <w:r w:rsidRPr="006B2DDC">
            <w:rPr>
              <w:i/>
              <w:iCs/>
              <w:noProof w:val="0"/>
            </w:rPr>
            <w:fldChar w:fldCharType="begin"/>
          </w:r>
          <w:r w:rsidRPr="006B2DDC">
            <w:instrText xml:space="preserve"> TOC \o "1-3" \h \z \u </w:instrText>
          </w:r>
          <w:r w:rsidRPr="006B2DDC">
            <w:rPr>
              <w:i/>
              <w:iCs/>
              <w:noProof w:val="0"/>
            </w:rPr>
            <w:fldChar w:fldCharType="separate"/>
          </w:r>
          <w:hyperlink w:anchor="_Toc95082849" w:history="1">
            <w:r w:rsidR="0021723B" w:rsidRPr="00BB4FFC">
              <w:rPr>
                <w:rStyle w:val="Hyperlink"/>
              </w:rPr>
              <w:t>Liste des sigles et abréviations</w:t>
            </w:r>
            <w:r w:rsidR="0021723B">
              <w:rPr>
                <w:webHidden/>
              </w:rPr>
              <w:tab/>
            </w:r>
            <w:r w:rsidR="0021723B">
              <w:rPr>
                <w:webHidden/>
              </w:rPr>
              <w:fldChar w:fldCharType="begin"/>
            </w:r>
            <w:r w:rsidR="0021723B">
              <w:rPr>
                <w:webHidden/>
              </w:rPr>
              <w:instrText xml:space="preserve"> PAGEREF _Toc95082849 \h </w:instrText>
            </w:r>
            <w:r w:rsidR="0021723B">
              <w:rPr>
                <w:webHidden/>
              </w:rPr>
            </w:r>
            <w:r w:rsidR="0021723B">
              <w:rPr>
                <w:webHidden/>
              </w:rPr>
              <w:fldChar w:fldCharType="separate"/>
            </w:r>
            <w:r w:rsidR="007F117B">
              <w:rPr>
                <w:webHidden/>
              </w:rPr>
              <w:t>3</w:t>
            </w:r>
            <w:r w:rsidR="0021723B">
              <w:rPr>
                <w:webHidden/>
              </w:rPr>
              <w:fldChar w:fldCharType="end"/>
            </w:r>
          </w:hyperlink>
        </w:p>
        <w:p w14:paraId="1B0DD849" w14:textId="3DA80294" w:rsidR="0021723B" w:rsidRDefault="006F7F7D" w:rsidP="007F117B">
          <w:pPr>
            <w:pStyle w:val="TOC1"/>
            <w:rPr>
              <w:rFonts w:asciiTheme="minorHAnsi" w:eastAsiaTheme="minorEastAsia" w:hAnsiTheme="minorHAnsi" w:cstheme="minorBidi"/>
              <w:lang w:val="en-BF"/>
            </w:rPr>
          </w:pPr>
          <w:hyperlink w:anchor="_Toc95082850" w:history="1">
            <w:r w:rsidR="0021723B" w:rsidRPr="00BB4FFC">
              <w:rPr>
                <w:rStyle w:val="Hyperlink"/>
              </w:rPr>
              <w:t>Liste des figures et tableaux</w:t>
            </w:r>
            <w:r w:rsidR="0021723B">
              <w:rPr>
                <w:webHidden/>
              </w:rPr>
              <w:tab/>
            </w:r>
            <w:r w:rsidR="0021723B">
              <w:rPr>
                <w:webHidden/>
              </w:rPr>
              <w:fldChar w:fldCharType="begin"/>
            </w:r>
            <w:r w:rsidR="0021723B">
              <w:rPr>
                <w:webHidden/>
              </w:rPr>
              <w:instrText xml:space="preserve"> PAGEREF _Toc95082850 \h </w:instrText>
            </w:r>
            <w:r w:rsidR="0021723B">
              <w:rPr>
                <w:webHidden/>
              </w:rPr>
            </w:r>
            <w:r w:rsidR="0021723B">
              <w:rPr>
                <w:webHidden/>
              </w:rPr>
              <w:fldChar w:fldCharType="separate"/>
            </w:r>
            <w:r w:rsidR="007F117B">
              <w:rPr>
                <w:webHidden/>
              </w:rPr>
              <w:t>4</w:t>
            </w:r>
            <w:r w:rsidR="0021723B">
              <w:rPr>
                <w:webHidden/>
              </w:rPr>
              <w:fldChar w:fldCharType="end"/>
            </w:r>
          </w:hyperlink>
        </w:p>
        <w:p w14:paraId="7D2F3A43" w14:textId="18513FBF" w:rsidR="0021723B" w:rsidRDefault="006F7F7D" w:rsidP="007F117B">
          <w:pPr>
            <w:pStyle w:val="TOC1"/>
            <w:rPr>
              <w:rFonts w:asciiTheme="minorHAnsi" w:eastAsiaTheme="minorEastAsia" w:hAnsiTheme="minorHAnsi" w:cstheme="minorBidi"/>
              <w:lang w:val="en-BF"/>
            </w:rPr>
          </w:pPr>
          <w:hyperlink w:anchor="_Toc95082851" w:history="1">
            <w:r w:rsidR="0021723B" w:rsidRPr="00BB4FFC">
              <w:rPr>
                <w:rStyle w:val="Hyperlink"/>
              </w:rPr>
              <w:t>INTRODUCTION</w:t>
            </w:r>
            <w:r w:rsidR="0021723B">
              <w:rPr>
                <w:webHidden/>
              </w:rPr>
              <w:tab/>
            </w:r>
            <w:r w:rsidR="0021723B">
              <w:rPr>
                <w:webHidden/>
              </w:rPr>
              <w:fldChar w:fldCharType="begin"/>
            </w:r>
            <w:r w:rsidR="0021723B">
              <w:rPr>
                <w:webHidden/>
              </w:rPr>
              <w:instrText xml:space="preserve"> PAGEREF _Toc95082851 \h </w:instrText>
            </w:r>
            <w:r w:rsidR="0021723B">
              <w:rPr>
                <w:webHidden/>
              </w:rPr>
            </w:r>
            <w:r w:rsidR="0021723B">
              <w:rPr>
                <w:webHidden/>
              </w:rPr>
              <w:fldChar w:fldCharType="separate"/>
            </w:r>
            <w:r w:rsidR="007F117B">
              <w:rPr>
                <w:webHidden/>
              </w:rPr>
              <w:t>6</w:t>
            </w:r>
            <w:r w:rsidR="0021723B">
              <w:rPr>
                <w:webHidden/>
              </w:rPr>
              <w:fldChar w:fldCharType="end"/>
            </w:r>
          </w:hyperlink>
        </w:p>
        <w:p w14:paraId="17DB2310" w14:textId="2F14B7AF" w:rsidR="0021723B" w:rsidRDefault="006F7F7D" w:rsidP="007F117B">
          <w:pPr>
            <w:pStyle w:val="TOC1"/>
            <w:rPr>
              <w:rFonts w:asciiTheme="minorHAnsi" w:eastAsiaTheme="minorEastAsia" w:hAnsiTheme="minorHAnsi" w:cstheme="minorBidi"/>
              <w:lang w:val="en-BF"/>
            </w:rPr>
          </w:pPr>
          <w:hyperlink w:anchor="_Toc95082852" w:history="1">
            <w:r w:rsidR="0021723B" w:rsidRPr="00BB4FFC">
              <w:rPr>
                <w:rStyle w:val="Hyperlink"/>
              </w:rPr>
              <w:t>1. ÉTAT DES LIEUX</w:t>
            </w:r>
            <w:r w:rsidR="0021723B">
              <w:rPr>
                <w:webHidden/>
              </w:rPr>
              <w:tab/>
            </w:r>
            <w:r w:rsidR="0021723B">
              <w:rPr>
                <w:webHidden/>
              </w:rPr>
              <w:fldChar w:fldCharType="begin"/>
            </w:r>
            <w:r w:rsidR="0021723B">
              <w:rPr>
                <w:webHidden/>
              </w:rPr>
              <w:instrText xml:space="preserve"> PAGEREF _Toc95082852 \h </w:instrText>
            </w:r>
            <w:r w:rsidR="0021723B">
              <w:rPr>
                <w:webHidden/>
              </w:rPr>
            </w:r>
            <w:r w:rsidR="0021723B">
              <w:rPr>
                <w:webHidden/>
              </w:rPr>
              <w:fldChar w:fldCharType="separate"/>
            </w:r>
            <w:r w:rsidR="007F117B">
              <w:rPr>
                <w:webHidden/>
              </w:rPr>
              <w:t>9</w:t>
            </w:r>
            <w:r w:rsidR="0021723B">
              <w:rPr>
                <w:webHidden/>
              </w:rPr>
              <w:fldChar w:fldCharType="end"/>
            </w:r>
          </w:hyperlink>
        </w:p>
        <w:p w14:paraId="4CDCE711" w14:textId="0E0CB403" w:rsidR="0021723B" w:rsidRDefault="006F7F7D" w:rsidP="0021723B">
          <w:pPr>
            <w:pStyle w:val="TOC2"/>
            <w:spacing w:line="360" w:lineRule="auto"/>
            <w:rPr>
              <w:rFonts w:eastAsiaTheme="minorEastAsia" w:cstheme="minorBidi"/>
              <w:b w:val="0"/>
              <w:bCs w:val="0"/>
              <w:noProof/>
              <w:sz w:val="24"/>
              <w:szCs w:val="24"/>
              <w:lang w:val="en-BF"/>
            </w:rPr>
          </w:pPr>
          <w:hyperlink w:anchor="_Toc95082853" w:history="1">
            <w:r w:rsidR="0021723B" w:rsidRPr="00BB4FFC">
              <w:rPr>
                <w:rStyle w:val="Hyperlink"/>
                <w:rFonts w:ascii="Arial" w:hAnsi="Arial" w:cs="Arial"/>
                <w:i/>
                <w:iCs/>
                <w:noProof/>
              </w:rPr>
              <w:t>1.1 Description du système d’information sanitaire</w:t>
            </w:r>
            <w:r w:rsidR="0021723B">
              <w:rPr>
                <w:noProof/>
                <w:webHidden/>
              </w:rPr>
              <w:tab/>
            </w:r>
            <w:r w:rsidR="0021723B">
              <w:rPr>
                <w:noProof/>
                <w:webHidden/>
              </w:rPr>
              <w:fldChar w:fldCharType="begin"/>
            </w:r>
            <w:r w:rsidR="0021723B">
              <w:rPr>
                <w:noProof/>
                <w:webHidden/>
              </w:rPr>
              <w:instrText xml:space="preserve"> PAGEREF _Toc95082853 \h </w:instrText>
            </w:r>
            <w:r w:rsidR="0021723B">
              <w:rPr>
                <w:noProof/>
                <w:webHidden/>
              </w:rPr>
            </w:r>
            <w:r w:rsidR="0021723B">
              <w:rPr>
                <w:noProof/>
                <w:webHidden/>
              </w:rPr>
              <w:fldChar w:fldCharType="separate"/>
            </w:r>
            <w:r w:rsidR="007F117B">
              <w:rPr>
                <w:noProof/>
                <w:webHidden/>
              </w:rPr>
              <w:t>9</w:t>
            </w:r>
            <w:r w:rsidR="0021723B">
              <w:rPr>
                <w:noProof/>
                <w:webHidden/>
              </w:rPr>
              <w:fldChar w:fldCharType="end"/>
            </w:r>
          </w:hyperlink>
        </w:p>
        <w:p w14:paraId="5199513D" w14:textId="1A16CF92" w:rsidR="0021723B" w:rsidRDefault="006F7F7D" w:rsidP="0021723B">
          <w:pPr>
            <w:pStyle w:val="TOC2"/>
            <w:spacing w:line="360" w:lineRule="auto"/>
            <w:rPr>
              <w:rFonts w:eastAsiaTheme="minorEastAsia" w:cstheme="minorBidi"/>
              <w:b w:val="0"/>
              <w:bCs w:val="0"/>
              <w:noProof/>
              <w:sz w:val="24"/>
              <w:szCs w:val="24"/>
              <w:lang w:val="en-BF"/>
            </w:rPr>
          </w:pPr>
          <w:hyperlink w:anchor="_Toc95082854" w:history="1">
            <w:r w:rsidR="0021723B" w:rsidRPr="00BB4FFC">
              <w:rPr>
                <w:rStyle w:val="Hyperlink"/>
                <w:rFonts w:ascii="Arial" w:hAnsi="Arial" w:cs="Arial"/>
                <w:i/>
                <w:iCs/>
                <w:noProof/>
              </w:rPr>
              <w:t>1.2 Organisation du Système national de santé</w:t>
            </w:r>
            <w:r w:rsidR="0021723B">
              <w:rPr>
                <w:noProof/>
                <w:webHidden/>
              </w:rPr>
              <w:tab/>
            </w:r>
            <w:r w:rsidR="0021723B">
              <w:rPr>
                <w:noProof/>
                <w:webHidden/>
              </w:rPr>
              <w:fldChar w:fldCharType="begin"/>
            </w:r>
            <w:r w:rsidR="0021723B">
              <w:rPr>
                <w:noProof/>
                <w:webHidden/>
              </w:rPr>
              <w:instrText xml:space="preserve"> PAGEREF _Toc95082854 \h </w:instrText>
            </w:r>
            <w:r w:rsidR="0021723B">
              <w:rPr>
                <w:noProof/>
                <w:webHidden/>
              </w:rPr>
            </w:r>
            <w:r w:rsidR="0021723B">
              <w:rPr>
                <w:noProof/>
                <w:webHidden/>
              </w:rPr>
              <w:fldChar w:fldCharType="separate"/>
            </w:r>
            <w:r w:rsidR="007F117B">
              <w:rPr>
                <w:noProof/>
                <w:webHidden/>
              </w:rPr>
              <w:t>9</w:t>
            </w:r>
            <w:r w:rsidR="0021723B">
              <w:rPr>
                <w:noProof/>
                <w:webHidden/>
              </w:rPr>
              <w:fldChar w:fldCharType="end"/>
            </w:r>
          </w:hyperlink>
        </w:p>
        <w:p w14:paraId="01CE77BE" w14:textId="5ED0C8B0" w:rsidR="0021723B" w:rsidRDefault="006F7F7D" w:rsidP="0021723B">
          <w:pPr>
            <w:pStyle w:val="TOC2"/>
            <w:spacing w:line="360" w:lineRule="auto"/>
            <w:rPr>
              <w:rFonts w:eastAsiaTheme="minorEastAsia" w:cstheme="minorBidi"/>
              <w:b w:val="0"/>
              <w:bCs w:val="0"/>
              <w:noProof/>
              <w:sz w:val="24"/>
              <w:szCs w:val="24"/>
              <w:lang w:val="en-BF"/>
            </w:rPr>
          </w:pPr>
          <w:hyperlink w:anchor="_Toc95082855" w:history="1">
            <w:r w:rsidR="0021723B" w:rsidRPr="00BB4FFC">
              <w:rPr>
                <w:rStyle w:val="Hyperlink"/>
                <w:rFonts w:ascii="Arial" w:hAnsi="Arial" w:cs="Arial"/>
                <w:i/>
                <w:iCs/>
                <w:noProof/>
              </w:rPr>
              <w:t>1.3 Gestion des données</w:t>
            </w:r>
            <w:r w:rsidR="0021723B">
              <w:rPr>
                <w:noProof/>
                <w:webHidden/>
              </w:rPr>
              <w:tab/>
            </w:r>
            <w:r w:rsidR="0021723B">
              <w:rPr>
                <w:noProof/>
                <w:webHidden/>
              </w:rPr>
              <w:fldChar w:fldCharType="begin"/>
            </w:r>
            <w:r w:rsidR="0021723B">
              <w:rPr>
                <w:noProof/>
                <w:webHidden/>
              </w:rPr>
              <w:instrText xml:space="preserve"> PAGEREF _Toc95082855 \h </w:instrText>
            </w:r>
            <w:r w:rsidR="0021723B">
              <w:rPr>
                <w:noProof/>
                <w:webHidden/>
              </w:rPr>
            </w:r>
            <w:r w:rsidR="0021723B">
              <w:rPr>
                <w:noProof/>
                <w:webHidden/>
              </w:rPr>
              <w:fldChar w:fldCharType="separate"/>
            </w:r>
            <w:r w:rsidR="007F117B">
              <w:rPr>
                <w:noProof/>
                <w:webHidden/>
              </w:rPr>
              <w:t>11</w:t>
            </w:r>
            <w:r w:rsidR="0021723B">
              <w:rPr>
                <w:noProof/>
                <w:webHidden/>
              </w:rPr>
              <w:fldChar w:fldCharType="end"/>
            </w:r>
          </w:hyperlink>
        </w:p>
        <w:p w14:paraId="68D45AAF" w14:textId="1CFEACB8" w:rsidR="0021723B" w:rsidRDefault="006F7F7D" w:rsidP="0021723B">
          <w:pPr>
            <w:pStyle w:val="TOC2"/>
            <w:spacing w:line="360" w:lineRule="auto"/>
            <w:rPr>
              <w:rFonts w:eastAsiaTheme="minorEastAsia" w:cstheme="minorBidi"/>
              <w:b w:val="0"/>
              <w:bCs w:val="0"/>
              <w:noProof/>
              <w:sz w:val="24"/>
              <w:szCs w:val="24"/>
              <w:lang w:val="en-BF"/>
            </w:rPr>
          </w:pPr>
          <w:hyperlink w:anchor="_Toc95082856" w:history="1">
            <w:r w:rsidR="0021723B" w:rsidRPr="00BB4FFC">
              <w:rPr>
                <w:rStyle w:val="Hyperlink"/>
                <w:rFonts w:ascii="Arial" w:hAnsi="Arial" w:cs="Arial"/>
                <w:i/>
                <w:iCs/>
                <w:noProof/>
              </w:rPr>
              <w:t>1.3 Analyse de l’état des lieux du SNIS selon la matrice SWOT (Strengths - Weaknesses - Opportunities – Threats)</w:t>
            </w:r>
            <w:r w:rsidR="0021723B">
              <w:rPr>
                <w:noProof/>
                <w:webHidden/>
              </w:rPr>
              <w:tab/>
            </w:r>
            <w:r w:rsidR="0021723B">
              <w:rPr>
                <w:noProof/>
                <w:webHidden/>
              </w:rPr>
              <w:fldChar w:fldCharType="begin"/>
            </w:r>
            <w:r w:rsidR="0021723B">
              <w:rPr>
                <w:noProof/>
                <w:webHidden/>
              </w:rPr>
              <w:instrText xml:space="preserve"> PAGEREF _Toc95082856 \h </w:instrText>
            </w:r>
            <w:r w:rsidR="0021723B">
              <w:rPr>
                <w:noProof/>
                <w:webHidden/>
              </w:rPr>
            </w:r>
            <w:r w:rsidR="0021723B">
              <w:rPr>
                <w:noProof/>
                <w:webHidden/>
              </w:rPr>
              <w:fldChar w:fldCharType="separate"/>
            </w:r>
            <w:r w:rsidR="007F117B">
              <w:rPr>
                <w:noProof/>
                <w:webHidden/>
              </w:rPr>
              <w:t>13</w:t>
            </w:r>
            <w:r w:rsidR="0021723B">
              <w:rPr>
                <w:noProof/>
                <w:webHidden/>
              </w:rPr>
              <w:fldChar w:fldCharType="end"/>
            </w:r>
          </w:hyperlink>
        </w:p>
        <w:p w14:paraId="35A7E14A" w14:textId="1373AE68" w:rsidR="0021723B" w:rsidRDefault="006F7F7D" w:rsidP="007F117B">
          <w:pPr>
            <w:pStyle w:val="TOC1"/>
            <w:rPr>
              <w:rFonts w:asciiTheme="minorHAnsi" w:eastAsiaTheme="minorEastAsia" w:hAnsiTheme="minorHAnsi" w:cstheme="minorBidi"/>
              <w:lang w:val="en-BF"/>
            </w:rPr>
          </w:pPr>
          <w:hyperlink w:anchor="_Toc95082857" w:history="1">
            <w:r w:rsidR="0021723B" w:rsidRPr="00BB4FFC">
              <w:rPr>
                <w:rStyle w:val="Hyperlink"/>
              </w:rPr>
              <w:t>2. RENFORCEMENT ET EXTENSION DU SNIS</w:t>
            </w:r>
            <w:r w:rsidR="0021723B">
              <w:rPr>
                <w:webHidden/>
              </w:rPr>
              <w:tab/>
            </w:r>
            <w:r w:rsidR="0021723B">
              <w:rPr>
                <w:webHidden/>
              </w:rPr>
              <w:fldChar w:fldCharType="begin"/>
            </w:r>
            <w:r w:rsidR="0021723B">
              <w:rPr>
                <w:webHidden/>
              </w:rPr>
              <w:instrText xml:space="preserve"> PAGEREF _Toc95082857 \h </w:instrText>
            </w:r>
            <w:r w:rsidR="0021723B">
              <w:rPr>
                <w:webHidden/>
              </w:rPr>
            </w:r>
            <w:r w:rsidR="0021723B">
              <w:rPr>
                <w:webHidden/>
              </w:rPr>
              <w:fldChar w:fldCharType="separate"/>
            </w:r>
            <w:r w:rsidR="007F117B">
              <w:rPr>
                <w:webHidden/>
              </w:rPr>
              <w:t>17</w:t>
            </w:r>
            <w:r w:rsidR="0021723B">
              <w:rPr>
                <w:webHidden/>
              </w:rPr>
              <w:fldChar w:fldCharType="end"/>
            </w:r>
          </w:hyperlink>
        </w:p>
        <w:p w14:paraId="047AAC14" w14:textId="29A1B470" w:rsidR="0021723B" w:rsidRDefault="006F7F7D" w:rsidP="0021723B">
          <w:pPr>
            <w:pStyle w:val="TOC2"/>
            <w:spacing w:line="360" w:lineRule="auto"/>
            <w:rPr>
              <w:rFonts w:eastAsiaTheme="minorEastAsia" w:cstheme="minorBidi"/>
              <w:b w:val="0"/>
              <w:bCs w:val="0"/>
              <w:noProof/>
              <w:sz w:val="24"/>
              <w:szCs w:val="24"/>
              <w:lang w:val="en-BF"/>
            </w:rPr>
          </w:pPr>
          <w:hyperlink w:anchor="_Toc95082858" w:history="1">
            <w:r w:rsidR="0021723B" w:rsidRPr="00BB4FFC">
              <w:rPr>
                <w:rStyle w:val="Hyperlink"/>
                <w:rFonts w:ascii="Arial" w:hAnsi="Arial" w:cs="Arial"/>
                <w:i/>
                <w:iCs/>
                <w:noProof/>
              </w:rPr>
              <w:t>2.1 Architecture du centre de traitement des données (Data Center) du ministère de la santé</w:t>
            </w:r>
            <w:r w:rsidR="0021723B">
              <w:rPr>
                <w:noProof/>
                <w:webHidden/>
              </w:rPr>
              <w:tab/>
            </w:r>
            <w:r w:rsidR="0021723B">
              <w:rPr>
                <w:noProof/>
                <w:webHidden/>
              </w:rPr>
              <w:fldChar w:fldCharType="begin"/>
            </w:r>
            <w:r w:rsidR="0021723B">
              <w:rPr>
                <w:noProof/>
                <w:webHidden/>
              </w:rPr>
              <w:instrText xml:space="preserve"> PAGEREF _Toc95082858 \h </w:instrText>
            </w:r>
            <w:r w:rsidR="0021723B">
              <w:rPr>
                <w:noProof/>
                <w:webHidden/>
              </w:rPr>
            </w:r>
            <w:r w:rsidR="0021723B">
              <w:rPr>
                <w:noProof/>
                <w:webHidden/>
              </w:rPr>
              <w:fldChar w:fldCharType="separate"/>
            </w:r>
            <w:r w:rsidR="007F117B">
              <w:rPr>
                <w:noProof/>
                <w:webHidden/>
              </w:rPr>
              <w:t>17</w:t>
            </w:r>
            <w:r w:rsidR="0021723B">
              <w:rPr>
                <w:noProof/>
                <w:webHidden/>
              </w:rPr>
              <w:fldChar w:fldCharType="end"/>
            </w:r>
          </w:hyperlink>
        </w:p>
        <w:p w14:paraId="712826B9" w14:textId="384700AA" w:rsidR="0021723B" w:rsidRDefault="006F7F7D" w:rsidP="0021723B">
          <w:pPr>
            <w:pStyle w:val="TOC2"/>
            <w:spacing w:line="360" w:lineRule="auto"/>
            <w:rPr>
              <w:rFonts w:eastAsiaTheme="minorEastAsia" w:cstheme="minorBidi"/>
              <w:b w:val="0"/>
              <w:bCs w:val="0"/>
              <w:noProof/>
              <w:sz w:val="24"/>
              <w:szCs w:val="24"/>
              <w:lang w:val="en-BF"/>
            </w:rPr>
          </w:pPr>
          <w:hyperlink w:anchor="_Toc95082859" w:history="1">
            <w:r w:rsidR="0021723B" w:rsidRPr="00BB4FFC">
              <w:rPr>
                <w:rStyle w:val="Hyperlink"/>
                <w:rFonts w:ascii="Arial" w:hAnsi="Arial" w:cs="Arial"/>
                <w:i/>
                <w:iCs/>
                <w:noProof/>
              </w:rPr>
              <w:t>2.2 Architecture de l’entrepôt de données du ministère de la santé</w:t>
            </w:r>
            <w:r w:rsidR="0021723B">
              <w:rPr>
                <w:noProof/>
                <w:webHidden/>
              </w:rPr>
              <w:tab/>
            </w:r>
            <w:r w:rsidR="0021723B">
              <w:rPr>
                <w:noProof/>
                <w:webHidden/>
              </w:rPr>
              <w:fldChar w:fldCharType="begin"/>
            </w:r>
            <w:r w:rsidR="0021723B">
              <w:rPr>
                <w:noProof/>
                <w:webHidden/>
              </w:rPr>
              <w:instrText xml:space="preserve"> PAGEREF _Toc95082859 \h </w:instrText>
            </w:r>
            <w:r w:rsidR="0021723B">
              <w:rPr>
                <w:noProof/>
                <w:webHidden/>
              </w:rPr>
            </w:r>
            <w:r w:rsidR="0021723B">
              <w:rPr>
                <w:noProof/>
                <w:webHidden/>
              </w:rPr>
              <w:fldChar w:fldCharType="separate"/>
            </w:r>
            <w:r w:rsidR="007F117B">
              <w:rPr>
                <w:noProof/>
                <w:webHidden/>
              </w:rPr>
              <w:t>21</w:t>
            </w:r>
            <w:r w:rsidR="0021723B">
              <w:rPr>
                <w:noProof/>
                <w:webHidden/>
              </w:rPr>
              <w:fldChar w:fldCharType="end"/>
            </w:r>
          </w:hyperlink>
        </w:p>
        <w:p w14:paraId="2C626E89" w14:textId="42B96AE9" w:rsidR="0021723B" w:rsidRDefault="006F7F7D" w:rsidP="007F117B">
          <w:pPr>
            <w:pStyle w:val="TOC1"/>
            <w:rPr>
              <w:rFonts w:asciiTheme="minorHAnsi" w:eastAsiaTheme="minorEastAsia" w:hAnsiTheme="minorHAnsi" w:cstheme="minorBidi"/>
              <w:lang w:val="en-BF"/>
            </w:rPr>
          </w:pPr>
          <w:hyperlink w:anchor="_Toc95082860" w:history="1">
            <w:r w:rsidR="0021723B" w:rsidRPr="00BB4FFC">
              <w:rPr>
                <w:rStyle w:val="Hyperlink"/>
              </w:rPr>
              <w:t>3. RESSOURCES HUMAINES</w:t>
            </w:r>
            <w:r w:rsidR="0021723B">
              <w:rPr>
                <w:webHidden/>
              </w:rPr>
              <w:tab/>
            </w:r>
            <w:r w:rsidR="0021723B">
              <w:rPr>
                <w:webHidden/>
              </w:rPr>
              <w:fldChar w:fldCharType="begin"/>
            </w:r>
            <w:r w:rsidR="0021723B">
              <w:rPr>
                <w:webHidden/>
              </w:rPr>
              <w:instrText xml:space="preserve"> PAGEREF _Toc95082860 \h </w:instrText>
            </w:r>
            <w:r w:rsidR="0021723B">
              <w:rPr>
                <w:webHidden/>
              </w:rPr>
            </w:r>
            <w:r w:rsidR="0021723B">
              <w:rPr>
                <w:webHidden/>
              </w:rPr>
              <w:fldChar w:fldCharType="separate"/>
            </w:r>
            <w:r w:rsidR="007F117B">
              <w:rPr>
                <w:webHidden/>
              </w:rPr>
              <w:t>30</w:t>
            </w:r>
            <w:r w:rsidR="0021723B">
              <w:rPr>
                <w:webHidden/>
              </w:rPr>
              <w:fldChar w:fldCharType="end"/>
            </w:r>
          </w:hyperlink>
        </w:p>
        <w:p w14:paraId="573743D4" w14:textId="6E931E49" w:rsidR="0021723B" w:rsidRDefault="006F7F7D" w:rsidP="007F117B">
          <w:pPr>
            <w:pStyle w:val="TOC1"/>
            <w:rPr>
              <w:rFonts w:asciiTheme="minorHAnsi" w:eastAsiaTheme="minorEastAsia" w:hAnsiTheme="minorHAnsi" w:cstheme="minorBidi"/>
              <w:lang w:val="en-BF"/>
            </w:rPr>
          </w:pPr>
          <w:hyperlink w:anchor="_Toc95082861" w:history="1">
            <w:r w:rsidR="0021723B" w:rsidRPr="00BB4FFC">
              <w:rPr>
                <w:rStyle w:val="Hyperlink"/>
              </w:rPr>
              <w:t>4. PLANNING DES ACTIVITÉS</w:t>
            </w:r>
            <w:r w:rsidR="0021723B">
              <w:rPr>
                <w:webHidden/>
              </w:rPr>
              <w:tab/>
            </w:r>
            <w:r w:rsidR="0021723B">
              <w:rPr>
                <w:webHidden/>
              </w:rPr>
              <w:fldChar w:fldCharType="begin"/>
            </w:r>
            <w:r w:rsidR="0021723B">
              <w:rPr>
                <w:webHidden/>
              </w:rPr>
              <w:instrText xml:space="preserve"> PAGEREF _Toc95082861 \h </w:instrText>
            </w:r>
            <w:r w:rsidR="0021723B">
              <w:rPr>
                <w:webHidden/>
              </w:rPr>
            </w:r>
            <w:r w:rsidR="0021723B">
              <w:rPr>
                <w:webHidden/>
              </w:rPr>
              <w:fldChar w:fldCharType="separate"/>
            </w:r>
            <w:r w:rsidR="007F117B">
              <w:rPr>
                <w:webHidden/>
              </w:rPr>
              <w:t>35</w:t>
            </w:r>
            <w:r w:rsidR="0021723B">
              <w:rPr>
                <w:webHidden/>
              </w:rPr>
              <w:fldChar w:fldCharType="end"/>
            </w:r>
          </w:hyperlink>
        </w:p>
        <w:p w14:paraId="7E31EF7B" w14:textId="50C74D17" w:rsidR="0021723B" w:rsidRDefault="006F7F7D" w:rsidP="007F117B">
          <w:pPr>
            <w:pStyle w:val="TOC1"/>
            <w:rPr>
              <w:rFonts w:asciiTheme="minorHAnsi" w:eastAsiaTheme="minorEastAsia" w:hAnsiTheme="minorHAnsi" w:cstheme="minorBidi"/>
              <w:lang w:val="en-BF"/>
            </w:rPr>
          </w:pPr>
          <w:hyperlink w:anchor="_Toc95082862" w:history="1">
            <w:r w:rsidR="0021723B" w:rsidRPr="00BB4FFC">
              <w:rPr>
                <w:rStyle w:val="Hyperlink"/>
              </w:rPr>
              <w:t>CONCLUSION</w:t>
            </w:r>
            <w:r w:rsidR="0021723B">
              <w:rPr>
                <w:webHidden/>
              </w:rPr>
              <w:tab/>
            </w:r>
            <w:r w:rsidR="0021723B">
              <w:rPr>
                <w:webHidden/>
              </w:rPr>
              <w:fldChar w:fldCharType="begin"/>
            </w:r>
            <w:r w:rsidR="0021723B">
              <w:rPr>
                <w:webHidden/>
              </w:rPr>
              <w:instrText xml:space="preserve"> PAGEREF _Toc95082862 \h </w:instrText>
            </w:r>
            <w:r w:rsidR="0021723B">
              <w:rPr>
                <w:webHidden/>
              </w:rPr>
            </w:r>
            <w:r w:rsidR="0021723B">
              <w:rPr>
                <w:webHidden/>
              </w:rPr>
              <w:fldChar w:fldCharType="separate"/>
            </w:r>
            <w:r w:rsidR="007F117B">
              <w:rPr>
                <w:webHidden/>
              </w:rPr>
              <w:t>39</w:t>
            </w:r>
            <w:r w:rsidR="0021723B">
              <w:rPr>
                <w:webHidden/>
              </w:rPr>
              <w:fldChar w:fldCharType="end"/>
            </w:r>
          </w:hyperlink>
        </w:p>
        <w:p w14:paraId="03BE68F6" w14:textId="621A589D" w:rsidR="000C68B4" w:rsidRPr="0021723B" w:rsidRDefault="006F7F7D" w:rsidP="007F117B">
          <w:pPr>
            <w:pStyle w:val="TOC1"/>
            <w:rPr>
              <w:rFonts w:asciiTheme="minorHAnsi" w:eastAsiaTheme="minorEastAsia" w:hAnsiTheme="minorHAnsi" w:cstheme="minorBidi"/>
              <w:lang w:val="en-BF"/>
            </w:rPr>
          </w:pPr>
          <w:hyperlink w:anchor="_Toc95082863" w:history="1">
            <w:r w:rsidR="0021723B" w:rsidRPr="00BB4FFC">
              <w:rPr>
                <w:rStyle w:val="Hyperlink"/>
              </w:rPr>
              <w:t>ANNEXES</w:t>
            </w:r>
            <w:r w:rsidR="0021723B">
              <w:rPr>
                <w:webHidden/>
              </w:rPr>
              <w:tab/>
            </w:r>
            <w:r w:rsidR="0021723B">
              <w:rPr>
                <w:webHidden/>
              </w:rPr>
              <w:fldChar w:fldCharType="begin"/>
            </w:r>
            <w:r w:rsidR="0021723B">
              <w:rPr>
                <w:webHidden/>
              </w:rPr>
              <w:instrText xml:space="preserve"> PAGEREF _Toc95082863 \h </w:instrText>
            </w:r>
            <w:r w:rsidR="0021723B">
              <w:rPr>
                <w:webHidden/>
              </w:rPr>
            </w:r>
            <w:r w:rsidR="0021723B">
              <w:rPr>
                <w:webHidden/>
              </w:rPr>
              <w:fldChar w:fldCharType="separate"/>
            </w:r>
            <w:r w:rsidR="007F117B">
              <w:rPr>
                <w:webHidden/>
              </w:rPr>
              <w:t>40</w:t>
            </w:r>
            <w:r w:rsidR="0021723B">
              <w:rPr>
                <w:webHidden/>
              </w:rPr>
              <w:fldChar w:fldCharType="end"/>
            </w:r>
          </w:hyperlink>
          <w:r w:rsidR="000C68B4" w:rsidRPr="006B2DDC">
            <w:fldChar w:fldCharType="end"/>
          </w:r>
        </w:p>
      </w:sdtContent>
    </w:sdt>
    <w:p w14:paraId="6A1BAAC7" w14:textId="77777777" w:rsidR="000C68B4" w:rsidRDefault="000C68B4" w:rsidP="00FC01B4">
      <w:pPr>
        <w:jc w:val="center"/>
        <w:rPr>
          <w:rFonts w:ascii="Arial" w:hAnsi="Arial" w:cs="Arial"/>
          <w:b/>
          <w:sz w:val="32"/>
          <w:szCs w:val="32"/>
        </w:rPr>
        <w:sectPr w:rsidR="000C68B4" w:rsidSect="00807493">
          <w:pgSz w:w="11906" w:h="16838"/>
          <w:pgMar w:top="851" w:right="1417" w:bottom="1417" w:left="1417" w:header="708" w:footer="708" w:gutter="0"/>
          <w:cols w:space="708"/>
          <w:docGrid w:linePitch="360"/>
        </w:sectPr>
      </w:pPr>
    </w:p>
    <w:p w14:paraId="5DCDF4FF" w14:textId="1B9C1FCA" w:rsidR="009E1007" w:rsidRDefault="000E68AA" w:rsidP="000C68B4">
      <w:pPr>
        <w:pStyle w:val="Heading1"/>
        <w:rPr>
          <w:rFonts w:ascii="Arial" w:hAnsi="Arial" w:cs="Arial"/>
          <w:b/>
          <w:bCs/>
          <w:color w:val="000000" w:themeColor="text1"/>
          <w:sz w:val="26"/>
          <w:szCs w:val="26"/>
        </w:rPr>
      </w:pPr>
      <w:bookmarkStart w:id="0" w:name="_Toc95082849"/>
      <w:r w:rsidRPr="000C68B4">
        <w:rPr>
          <w:rFonts w:ascii="Arial" w:hAnsi="Arial" w:cs="Arial"/>
          <w:b/>
          <w:bCs/>
          <w:color w:val="000000" w:themeColor="text1"/>
          <w:sz w:val="26"/>
          <w:szCs w:val="26"/>
        </w:rPr>
        <w:lastRenderedPageBreak/>
        <w:t>Liste des sigles et abréviations</w:t>
      </w:r>
      <w:bookmarkEnd w:id="0"/>
    </w:p>
    <w:tbl>
      <w:tblPr>
        <w:tblW w:w="5476" w:type="pct"/>
        <w:tblLook w:val="04A0" w:firstRow="1" w:lastRow="0" w:firstColumn="1" w:lastColumn="0" w:noHBand="0" w:noVBand="1"/>
      </w:tblPr>
      <w:tblGrid>
        <w:gridCol w:w="1031"/>
        <w:gridCol w:w="8883"/>
      </w:tblGrid>
      <w:tr w:rsidR="00742959" w:rsidRPr="00742959" w14:paraId="66EA6512" w14:textId="77777777" w:rsidTr="00900412">
        <w:trPr>
          <w:trHeight w:val="360"/>
        </w:trPr>
        <w:tc>
          <w:tcPr>
            <w:tcW w:w="5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88CDE9"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ANGEIE</w:t>
            </w:r>
          </w:p>
        </w:tc>
        <w:tc>
          <w:tcPr>
            <w:tcW w:w="4480" w:type="pct"/>
            <w:tcBorders>
              <w:top w:val="single" w:sz="8" w:space="0" w:color="auto"/>
              <w:left w:val="nil"/>
              <w:bottom w:val="single" w:sz="8" w:space="0" w:color="auto"/>
              <w:right w:val="single" w:sz="8" w:space="0" w:color="auto"/>
            </w:tcBorders>
            <w:shd w:val="clear" w:color="auto" w:fill="auto"/>
            <w:vAlign w:val="center"/>
            <w:hideMark/>
          </w:tcPr>
          <w:p w14:paraId="31500C08"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Agence Nationale de la Gouvernance Electronique et de l’Informatique de l’Etat</w:t>
            </w:r>
          </w:p>
        </w:tc>
      </w:tr>
      <w:tr w:rsidR="00742959" w:rsidRPr="00742959" w14:paraId="22682566"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49345F65"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AI </w:t>
            </w:r>
          </w:p>
        </w:tc>
        <w:tc>
          <w:tcPr>
            <w:tcW w:w="4480" w:type="pct"/>
            <w:tcBorders>
              <w:top w:val="nil"/>
              <w:left w:val="nil"/>
              <w:bottom w:val="single" w:sz="8" w:space="0" w:color="auto"/>
              <w:right w:val="single" w:sz="8" w:space="0" w:color="auto"/>
            </w:tcBorders>
            <w:shd w:val="clear" w:color="auto" w:fill="auto"/>
            <w:vAlign w:val="center"/>
            <w:hideMark/>
          </w:tcPr>
          <w:p w14:paraId="793C8931"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Intelligence artificielle</w:t>
            </w:r>
          </w:p>
        </w:tc>
      </w:tr>
      <w:tr w:rsidR="00742959" w:rsidRPr="00742959" w14:paraId="2C5B1539"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06F72A1"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ANSS</w:t>
            </w:r>
          </w:p>
        </w:tc>
        <w:tc>
          <w:tcPr>
            <w:tcW w:w="4480" w:type="pct"/>
            <w:tcBorders>
              <w:top w:val="nil"/>
              <w:left w:val="nil"/>
              <w:bottom w:val="single" w:sz="8" w:space="0" w:color="auto"/>
              <w:right w:val="single" w:sz="8" w:space="0" w:color="auto"/>
            </w:tcBorders>
            <w:shd w:val="clear" w:color="auto" w:fill="auto"/>
            <w:vAlign w:val="center"/>
            <w:hideMark/>
          </w:tcPr>
          <w:p w14:paraId="1E8D4349"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Agence nationale de sécurité sanitaire</w:t>
            </w:r>
          </w:p>
        </w:tc>
      </w:tr>
      <w:tr w:rsidR="00742959" w:rsidRPr="00742959" w14:paraId="1E8E018D"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3D49ED0C"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ARPT</w:t>
            </w:r>
          </w:p>
        </w:tc>
        <w:tc>
          <w:tcPr>
            <w:tcW w:w="4480" w:type="pct"/>
            <w:tcBorders>
              <w:top w:val="nil"/>
              <w:left w:val="nil"/>
              <w:bottom w:val="single" w:sz="8" w:space="0" w:color="auto"/>
              <w:right w:val="single" w:sz="8" w:space="0" w:color="auto"/>
            </w:tcBorders>
            <w:shd w:val="clear" w:color="auto" w:fill="auto"/>
            <w:vAlign w:val="center"/>
            <w:hideMark/>
          </w:tcPr>
          <w:p w14:paraId="5817A7D2"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Autorité de Régulation des Postes et Télécommunication,</w:t>
            </w:r>
          </w:p>
        </w:tc>
      </w:tr>
      <w:tr w:rsidR="00742959" w:rsidRPr="00742959" w14:paraId="4D7E7135"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48DE4508"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BD</w:t>
            </w:r>
          </w:p>
        </w:tc>
        <w:tc>
          <w:tcPr>
            <w:tcW w:w="4480" w:type="pct"/>
            <w:tcBorders>
              <w:top w:val="nil"/>
              <w:left w:val="nil"/>
              <w:bottom w:val="single" w:sz="8" w:space="0" w:color="auto"/>
              <w:right w:val="single" w:sz="8" w:space="0" w:color="auto"/>
            </w:tcBorders>
            <w:shd w:val="clear" w:color="auto" w:fill="auto"/>
            <w:vAlign w:val="center"/>
            <w:hideMark/>
          </w:tcPr>
          <w:p w14:paraId="120B1056"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Base de données</w:t>
            </w:r>
          </w:p>
        </w:tc>
      </w:tr>
      <w:tr w:rsidR="00742959" w:rsidRPr="00742959" w14:paraId="3148D995"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6C9E06A"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BI</w:t>
            </w:r>
          </w:p>
        </w:tc>
        <w:tc>
          <w:tcPr>
            <w:tcW w:w="4480" w:type="pct"/>
            <w:tcBorders>
              <w:top w:val="nil"/>
              <w:left w:val="nil"/>
              <w:bottom w:val="single" w:sz="8" w:space="0" w:color="auto"/>
              <w:right w:val="single" w:sz="8" w:space="0" w:color="auto"/>
            </w:tcBorders>
            <w:shd w:val="clear" w:color="auto" w:fill="auto"/>
            <w:vAlign w:val="center"/>
            <w:hideMark/>
          </w:tcPr>
          <w:p w14:paraId="09B2F40A"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Business Intelligence</w:t>
            </w:r>
          </w:p>
        </w:tc>
      </w:tr>
      <w:tr w:rsidR="00742959" w:rsidRPr="00742959" w14:paraId="3D91A5D7"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52CFFA93"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CHN</w:t>
            </w:r>
          </w:p>
        </w:tc>
        <w:tc>
          <w:tcPr>
            <w:tcW w:w="4480" w:type="pct"/>
            <w:tcBorders>
              <w:top w:val="nil"/>
              <w:left w:val="nil"/>
              <w:bottom w:val="single" w:sz="8" w:space="0" w:color="auto"/>
              <w:right w:val="single" w:sz="8" w:space="0" w:color="auto"/>
            </w:tcBorders>
            <w:shd w:val="clear" w:color="auto" w:fill="auto"/>
            <w:vAlign w:val="center"/>
            <w:hideMark/>
          </w:tcPr>
          <w:p w14:paraId="0FCCC441"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Centres hospitaliers nationaux</w:t>
            </w:r>
          </w:p>
        </w:tc>
      </w:tr>
      <w:tr w:rsidR="00742959" w:rsidRPr="00742959" w14:paraId="19EF8F14"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793F3BD"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CHR</w:t>
            </w:r>
          </w:p>
        </w:tc>
        <w:tc>
          <w:tcPr>
            <w:tcW w:w="4480" w:type="pct"/>
            <w:tcBorders>
              <w:top w:val="nil"/>
              <w:left w:val="nil"/>
              <w:bottom w:val="single" w:sz="8" w:space="0" w:color="auto"/>
              <w:right w:val="single" w:sz="8" w:space="0" w:color="auto"/>
            </w:tcBorders>
            <w:shd w:val="clear" w:color="auto" w:fill="auto"/>
            <w:vAlign w:val="center"/>
            <w:hideMark/>
          </w:tcPr>
          <w:p w14:paraId="21FA49D7"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Centres hospitaliers régionaux</w:t>
            </w:r>
          </w:p>
        </w:tc>
      </w:tr>
      <w:tr w:rsidR="00742959" w:rsidRPr="00742959" w14:paraId="6CF15909"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650C12B"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CS</w:t>
            </w:r>
          </w:p>
        </w:tc>
        <w:tc>
          <w:tcPr>
            <w:tcW w:w="4480" w:type="pct"/>
            <w:tcBorders>
              <w:top w:val="nil"/>
              <w:left w:val="nil"/>
              <w:bottom w:val="single" w:sz="8" w:space="0" w:color="auto"/>
              <w:right w:val="single" w:sz="8" w:space="0" w:color="auto"/>
            </w:tcBorders>
            <w:shd w:val="clear" w:color="auto" w:fill="auto"/>
            <w:vAlign w:val="center"/>
            <w:hideMark/>
          </w:tcPr>
          <w:p w14:paraId="330F4C5D"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Centres de santé</w:t>
            </w:r>
          </w:p>
        </w:tc>
      </w:tr>
      <w:tr w:rsidR="00742959" w:rsidRPr="00AA3F14" w14:paraId="271A5568"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1F19287"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DHIS2</w:t>
            </w:r>
          </w:p>
        </w:tc>
        <w:tc>
          <w:tcPr>
            <w:tcW w:w="4480" w:type="pct"/>
            <w:tcBorders>
              <w:top w:val="nil"/>
              <w:left w:val="nil"/>
              <w:bottom w:val="single" w:sz="8" w:space="0" w:color="auto"/>
              <w:right w:val="single" w:sz="8" w:space="0" w:color="auto"/>
            </w:tcBorders>
            <w:shd w:val="clear" w:color="auto" w:fill="auto"/>
            <w:vAlign w:val="center"/>
            <w:hideMark/>
          </w:tcPr>
          <w:p w14:paraId="2B8EFA05" w14:textId="77777777" w:rsidR="00742959" w:rsidRPr="00807493" w:rsidRDefault="00742959" w:rsidP="00742959">
            <w:pPr>
              <w:spacing w:after="0" w:line="240" w:lineRule="auto"/>
              <w:rPr>
                <w:rFonts w:ascii="Cambria" w:eastAsia="Times New Roman" w:hAnsi="Cambria" w:cs="Calibri"/>
                <w:color w:val="000000"/>
                <w:sz w:val="24"/>
                <w:szCs w:val="24"/>
                <w:lang w:val="en-US"/>
              </w:rPr>
            </w:pPr>
            <w:r w:rsidRPr="00900412">
              <w:rPr>
                <w:rFonts w:ascii="Cambria" w:eastAsia="Times New Roman" w:hAnsi="Cambria" w:cs="Calibri"/>
                <w:color w:val="000000"/>
                <w:sz w:val="24"/>
                <w:szCs w:val="24"/>
                <w:lang w:val="en-US"/>
              </w:rPr>
              <w:t>District health information system version 2</w:t>
            </w:r>
          </w:p>
        </w:tc>
      </w:tr>
      <w:tr w:rsidR="00742959" w:rsidRPr="00742959" w14:paraId="442C8618"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384B3B1E"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DRS</w:t>
            </w:r>
          </w:p>
        </w:tc>
        <w:tc>
          <w:tcPr>
            <w:tcW w:w="4480" w:type="pct"/>
            <w:tcBorders>
              <w:top w:val="nil"/>
              <w:left w:val="nil"/>
              <w:bottom w:val="single" w:sz="8" w:space="0" w:color="auto"/>
              <w:right w:val="single" w:sz="8" w:space="0" w:color="auto"/>
            </w:tcBorders>
            <w:shd w:val="clear" w:color="auto" w:fill="auto"/>
            <w:vAlign w:val="center"/>
            <w:hideMark/>
          </w:tcPr>
          <w:p w14:paraId="3927BA8D"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Direction régionale de la santé</w:t>
            </w:r>
          </w:p>
        </w:tc>
      </w:tr>
      <w:tr w:rsidR="00742959" w:rsidRPr="00742959" w14:paraId="4AB75A0E"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7B211C82"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FAI</w:t>
            </w:r>
          </w:p>
        </w:tc>
        <w:tc>
          <w:tcPr>
            <w:tcW w:w="4480" w:type="pct"/>
            <w:tcBorders>
              <w:top w:val="nil"/>
              <w:left w:val="nil"/>
              <w:bottom w:val="single" w:sz="8" w:space="0" w:color="auto"/>
              <w:right w:val="single" w:sz="8" w:space="0" w:color="auto"/>
            </w:tcBorders>
            <w:shd w:val="clear" w:color="auto" w:fill="auto"/>
            <w:vAlign w:val="center"/>
            <w:hideMark/>
          </w:tcPr>
          <w:p w14:paraId="404FA69B"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Fournisseur d’accès à internet</w:t>
            </w:r>
          </w:p>
        </w:tc>
      </w:tr>
      <w:tr w:rsidR="00742959" w:rsidRPr="00742959" w14:paraId="53C3BD7A"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470BDBF"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GIZ </w:t>
            </w:r>
          </w:p>
        </w:tc>
        <w:tc>
          <w:tcPr>
            <w:tcW w:w="4480" w:type="pct"/>
            <w:tcBorders>
              <w:top w:val="nil"/>
              <w:left w:val="nil"/>
              <w:bottom w:val="single" w:sz="8" w:space="0" w:color="auto"/>
              <w:right w:val="single" w:sz="8" w:space="0" w:color="auto"/>
            </w:tcBorders>
            <w:shd w:val="clear" w:color="auto" w:fill="auto"/>
            <w:vAlign w:val="center"/>
            <w:hideMark/>
          </w:tcPr>
          <w:p w14:paraId="742BEA2D"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Gesellschaft </w:t>
            </w:r>
            <w:proofErr w:type="spellStart"/>
            <w:r w:rsidRPr="00742959">
              <w:rPr>
                <w:rFonts w:ascii="Cambria" w:eastAsia="Times New Roman" w:hAnsi="Cambria" w:cs="Calibri"/>
                <w:color w:val="000000"/>
                <w:sz w:val="24"/>
                <w:szCs w:val="24"/>
              </w:rPr>
              <w:t>für</w:t>
            </w:r>
            <w:proofErr w:type="spellEnd"/>
            <w:r w:rsidRPr="00742959">
              <w:rPr>
                <w:rFonts w:ascii="Cambria" w:eastAsia="Times New Roman" w:hAnsi="Cambria" w:cs="Calibri"/>
                <w:color w:val="000000"/>
                <w:sz w:val="24"/>
                <w:szCs w:val="24"/>
              </w:rPr>
              <w:t xml:space="preserve"> International </w:t>
            </w:r>
            <w:proofErr w:type="spellStart"/>
            <w:r w:rsidRPr="00742959">
              <w:rPr>
                <w:rFonts w:ascii="Cambria" w:eastAsia="Times New Roman" w:hAnsi="Cambria" w:cs="Calibri"/>
                <w:color w:val="000000"/>
                <w:sz w:val="24"/>
                <w:szCs w:val="24"/>
              </w:rPr>
              <w:t>Zusammernarbeit</w:t>
            </w:r>
            <w:proofErr w:type="spellEnd"/>
            <w:r w:rsidRPr="00742959">
              <w:rPr>
                <w:rFonts w:ascii="Cambria" w:eastAsia="Times New Roman" w:hAnsi="Cambria" w:cs="Calibri"/>
                <w:color w:val="000000"/>
                <w:sz w:val="24"/>
                <w:szCs w:val="24"/>
              </w:rPr>
              <w:t xml:space="preserve"> (Agence allemande de coopération internationale pour le développement)</w:t>
            </w:r>
          </w:p>
        </w:tc>
      </w:tr>
      <w:tr w:rsidR="00742959" w:rsidRPr="00742959" w14:paraId="0CF921D3"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748D859"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GUILAB</w:t>
            </w:r>
          </w:p>
        </w:tc>
        <w:tc>
          <w:tcPr>
            <w:tcW w:w="4480" w:type="pct"/>
            <w:tcBorders>
              <w:top w:val="nil"/>
              <w:left w:val="nil"/>
              <w:bottom w:val="single" w:sz="8" w:space="0" w:color="auto"/>
              <w:right w:val="single" w:sz="8" w:space="0" w:color="auto"/>
            </w:tcBorders>
            <w:shd w:val="clear" w:color="auto" w:fill="auto"/>
            <w:vAlign w:val="center"/>
            <w:hideMark/>
          </w:tcPr>
          <w:p w14:paraId="60A09ECE"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 Guinéenne de Large Bande</w:t>
            </w:r>
          </w:p>
        </w:tc>
      </w:tr>
      <w:tr w:rsidR="00742959" w:rsidRPr="00742959" w14:paraId="261E257F"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4C935F16"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HL7</w:t>
            </w:r>
          </w:p>
        </w:tc>
        <w:tc>
          <w:tcPr>
            <w:tcW w:w="4480" w:type="pct"/>
            <w:tcBorders>
              <w:top w:val="nil"/>
              <w:left w:val="nil"/>
              <w:bottom w:val="single" w:sz="8" w:space="0" w:color="auto"/>
              <w:right w:val="single" w:sz="8" w:space="0" w:color="auto"/>
            </w:tcBorders>
            <w:shd w:val="clear" w:color="auto" w:fill="auto"/>
            <w:vAlign w:val="center"/>
            <w:hideMark/>
          </w:tcPr>
          <w:p w14:paraId="4CB3BB1D" w14:textId="77777777" w:rsidR="00742959" w:rsidRPr="00742959" w:rsidRDefault="00742959" w:rsidP="00742959">
            <w:pPr>
              <w:spacing w:after="0" w:line="240" w:lineRule="auto"/>
              <w:rPr>
                <w:rFonts w:ascii="Cambria" w:eastAsia="Times New Roman" w:hAnsi="Cambria" w:cs="Calibri"/>
                <w:color w:val="000000"/>
                <w:sz w:val="24"/>
                <w:szCs w:val="24"/>
              </w:rPr>
            </w:pPr>
            <w:proofErr w:type="spellStart"/>
            <w:r w:rsidRPr="00742959">
              <w:rPr>
                <w:rFonts w:ascii="Cambria" w:eastAsia="Times New Roman" w:hAnsi="Cambria" w:cs="Calibri"/>
                <w:color w:val="000000"/>
                <w:sz w:val="24"/>
                <w:szCs w:val="24"/>
              </w:rPr>
              <w:t>Health</w:t>
            </w:r>
            <w:proofErr w:type="spellEnd"/>
            <w:r w:rsidRPr="00742959">
              <w:rPr>
                <w:rFonts w:ascii="Cambria" w:eastAsia="Times New Roman" w:hAnsi="Cambria" w:cs="Calibri"/>
                <w:color w:val="000000"/>
                <w:sz w:val="24"/>
                <w:szCs w:val="24"/>
              </w:rPr>
              <w:t xml:space="preserve"> </w:t>
            </w:r>
            <w:proofErr w:type="spellStart"/>
            <w:r w:rsidRPr="00742959">
              <w:rPr>
                <w:rFonts w:ascii="Cambria" w:eastAsia="Times New Roman" w:hAnsi="Cambria" w:cs="Calibri"/>
                <w:color w:val="000000"/>
                <w:sz w:val="24"/>
                <w:szCs w:val="24"/>
              </w:rPr>
              <w:t>Level</w:t>
            </w:r>
            <w:proofErr w:type="spellEnd"/>
            <w:r w:rsidRPr="00742959">
              <w:rPr>
                <w:rFonts w:ascii="Cambria" w:eastAsia="Times New Roman" w:hAnsi="Cambria" w:cs="Calibri"/>
                <w:color w:val="000000"/>
                <w:sz w:val="24"/>
                <w:szCs w:val="24"/>
              </w:rPr>
              <w:t xml:space="preserve"> </w:t>
            </w:r>
            <w:proofErr w:type="spellStart"/>
            <w:r w:rsidRPr="00742959">
              <w:rPr>
                <w:rFonts w:ascii="Cambria" w:eastAsia="Times New Roman" w:hAnsi="Cambria" w:cs="Calibri"/>
                <w:color w:val="000000"/>
                <w:sz w:val="24"/>
                <w:szCs w:val="24"/>
              </w:rPr>
              <w:t>Seven</w:t>
            </w:r>
            <w:proofErr w:type="spellEnd"/>
          </w:p>
        </w:tc>
      </w:tr>
      <w:tr w:rsidR="00742959" w:rsidRPr="00742959" w14:paraId="565C1DA0"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6D914A6E"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IP </w:t>
            </w:r>
          </w:p>
        </w:tc>
        <w:tc>
          <w:tcPr>
            <w:tcW w:w="4480" w:type="pct"/>
            <w:tcBorders>
              <w:top w:val="nil"/>
              <w:left w:val="nil"/>
              <w:bottom w:val="single" w:sz="8" w:space="0" w:color="auto"/>
              <w:right w:val="single" w:sz="8" w:space="0" w:color="auto"/>
            </w:tcBorders>
            <w:shd w:val="clear" w:color="auto" w:fill="auto"/>
            <w:vAlign w:val="center"/>
            <w:hideMark/>
          </w:tcPr>
          <w:p w14:paraId="79E1613B"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Internet </w:t>
            </w:r>
            <w:proofErr w:type="spellStart"/>
            <w:r w:rsidRPr="00742959">
              <w:rPr>
                <w:rFonts w:ascii="Cambria" w:eastAsia="Times New Roman" w:hAnsi="Cambria" w:cs="Calibri"/>
                <w:color w:val="000000"/>
                <w:sz w:val="24"/>
                <w:szCs w:val="24"/>
              </w:rPr>
              <w:t>protocol</w:t>
            </w:r>
            <w:proofErr w:type="spellEnd"/>
          </w:p>
        </w:tc>
      </w:tr>
      <w:tr w:rsidR="00742959" w:rsidRPr="00742959" w14:paraId="167DFD02"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26E97372"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IT</w:t>
            </w:r>
          </w:p>
        </w:tc>
        <w:tc>
          <w:tcPr>
            <w:tcW w:w="4480" w:type="pct"/>
            <w:tcBorders>
              <w:top w:val="nil"/>
              <w:left w:val="nil"/>
              <w:bottom w:val="single" w:sz="8" w:space="0" w:color="auto"/>
              <w:right w:val="single" w:sz="8" w:space="0" w:color="auto"/>
            </w:tcBorders>
            <w:shd w:val="clear" w:color="auto" w:fill="auto"/>
            <w:vAlign w:val="center"/>
            <w:hideMark/>
          </w:tcPr>
          <w:p w14:paraId="64FE9A9A"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Information </w:t>
            </w:r>
            <w:proofErr w:type="spellStart"/>
            <w:r w:rsidRPr="00742959">
              <w:rPr>
                <w:rFonts w:ascii="Cambria" w:eastAsia="Times New Roman" w:hAnsi="Cambria" w:cs="Calibri"/>
                <w:color w:val="000000"/>
                <w:sz w:val="24"/>
                <w:szCs w:val="24"/>
              </w:rPr>
              <w:t>technology</w:t>
            </w:r>
            <w:proofErr w:type="spellEnd"/>
          </w:p>
        </w:tc>
      </w:tr>
      <w:tr w:rsidR="00742959" w:rsidRPr="00742959" w14:paraId="0264D1AF"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7A600140"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MPTEN</w:t>
            </w:r>
          </w:p>
        </w:tc>
        <w:tc>
          <w:tcPr>
            <w:tcW w:w="4480" w:type="pct"/>
            <w:tcBorders>
              <w:top w:val="nil"/>
              <w:left w:val="nil"/>
              <w:bottom w:val="single" w:sz="8" w:space="0" w:color="auto"/>
              <w:right w:val="single" w:sz="8" w:space="0" w:color="auto"/>
            </w:tcBorders>
            <w:shd w:val="clear" w:color="auto" w:fill="auto"/>
            <w:vAlign w:val="center"/>
            <w:hideMark/>
          </w:tcPr>
          <w:p w14:paraId="501CF80C"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Ministère des Postes, des Télécommunications et de l’Économie numérique</w:t>
            </w:r>
          </w:p>
        </w:tc>
      </w:tr>
      <w:tr w:rsidR="00742959" w:rsidRPr="00742959" w14:paraId="18475652"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70CCDA92"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MS </w:t>
            </w:r>
          </w:p>
        </w:tc>
        <w:tc>
          <w:tcPr>
            <w:tcW w:w="4480" w:type="pct"/>
            <w:tcBorders>
              <w:top w:val="nil"/>
              <w:left w:val="nil"/>
              <w:bottom w:val="single" w:sz="8" w:space="0" w:color="auto"/>
              <w:right w:val="single" w:sz="8" w:space="0" w:color="auto"/>
            </w:tcBorders>
            <w:shd w:val="clear" w:color="auto" w:fill="auto"/>
            <w:vAlign w:val="center"/>
            <w:hideMark/>
          </w:tcPr>
          <w:p w14:paraId="7DEA157D"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Ministère de la santé</w:t>
            </w:r>
          </w:p>
        </w:tc>
      </w:tr>
      <w:tr w:rsidR="00742959" w:rsidRPr="00742959" w14:paraId="1A8FCB87"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3C74FA6"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MVE</w:t>
            </w:r>
          </w:p>
        </w:tc>
        <w:tc>
          <w:tcPr>
            <w:tcW w:w="4480" w:type="pct"/>
            <w:tcBorders>
              <w:top w:val="nil"/>
              <w:left w:val="nil"/>
              <w:bottom w:val="single" w:sz="8" w:space="0" w:color="auto"/>
              <w:right w:val="single" w:sz="8" w:space="0" w:color="auto"/>
            </w:tcBorders>
            <w:shd w:val="clear" w:color="auto" w:fill="auto"/>
            <w:vAlign w:val="center"/>
            <w:hideMark/>
          </w:tcPr>
          <w:p w14:paraId="10474E34"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Maladie à virus Ebola </w:t>
            </w:r>
          </w:p>
        </w:tc>
      </w:tr>
      <w:tr w:rsidR="00742959" w:rsidRPr="00742959" w14:paraId="2532D983"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97FBB15"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OLAP</w:t>
            </w:r>
          </w:p>
        </w:tc>
        <w:tc>
          <w:tcPr>
            <w:tcW w:w="4480" w:type="pct"/>
            <w:tcBorders>
              <w:top w:val="nil"/>
              <w:left w:val="nil"/>
              <w:bottom w:val="single" w:sz="8" w:space="0" w:color="auto"/>
              <w:right w:val="single" w:sz="8" w:space="0" w:color="auto"/>
            </w:tcBorders>
            <w:shd w:val="clear" w:color="auto" w:fill="auto"/>
            <w:vAlign w:val="center"/>
            <w:hideMark/>
          </w:tcPr>
          <w:p w14:paraId="5438E194"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Online </w:t>
            </w:r>
            <w:proofErr w:type="spellStart"/>
            <w:r w:rsidRPr="00742959">
              <w:rPr>
                <w:rFonts w:ascii="Cambria" w:eastAsia="Times New Roman" w:hAnsi="Cambria" w:cs="Calibri"/>
                <w:color w:val="000000"/>
                <w:sz w:val="24"/>
                <w:szCs w:val="24"/>
              </w:rPr>
              <w:t>Analytical</w:t>
            </w:r>
            <w:proofErr w:type="spellEnd"/>
            <w:r w:rsidRPr="00742959">
              <w:rPr>
                <w:rFonts w:ascii="Cambria" w:eastAsia="Times New Roman" w:hAnsi="Cambria" w:cs="Calibri"/>
                <w:color w:val="000000"/>
                <w:sz w:val="24"/>
                <w:szCs w:val="24"/>
              </w:rPr>
              <w:t xml:space="preserve"> </w:t>
            </w:r>
            <w:proofErr w:type="spellStart"/>
            <w:r w:rsidRPr="00742959">
              <w:rPr>
                <w:rFonts w:ascii="Cambria" w:eastAsia="Times New Roman" w:hAnsi="Cambria" w:cs="Calibri"/>
                <w:color w:val="000000"/>
                <w:sz w:val="24"/>
                <w:szCs w:val="24"/>
              </w:rPr>
              <w:t>Processing</w:t>
            </w:r>
            <w:proofErr w:type="spellEnd"/>
          </w:p>
        </w:tc>
      </w:tr>
      <w:tr w:rsidR="00742959" w:rsidRPr="00742959" w14:paraId="47F1005E"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E0BE645"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OMS</w:t>
            </w:r>
          </w:p>
        </w:tc>
        <w:tc>
          <w:tcPr>
            <w:tcW w:w="4480" w:type="pct"/>
            <w:tcBorders>
              <w:top w:val="nil"/>
              <w:left w:val="nil"/>
              <w:bottom w:val="single" w:sz="8" w:space="0" w:color="auto"/>
              <w:right w:val="single" w:sz="8" w:space="0" w:color="auto"/>
            </w:tcBorders>
            <w:shd w:val="clear" w:color="auto" w:fill="auto"/>
            <w:vAlign w:val="center"/>
            <w:hideMark/>
          </w:tcPr>
          <w:p w14:paraId="798D9744"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Organisation mondiale de la santé</w:t>
            </w:r>
          </w:p>
        </w:tc>
      </w:tr>
      <w:tr w:rsidR="00742959" w:rsidRPr="00742959" w14:paraId="597C5D05"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F74207C"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PAV</w:t>
            </w:r>
          </w:p>
        </w:tc>
        <w:tc>
          <w:tcPr>
            <w:tcW w:w="4480" w:type="pct"/>
            <w:tcBorders>
              <w:top w:val="nil"/>
              <w:left w:val="nil"/>
              <w:bottom w:val="single" w:sz="8" w:space="0" w:color="auto"/>
              <w:right w:val="single" w:sz="8" w:space="0" w:color="auto"/>
            </w:tcBorders>
            <w:shd w:val="clear" w:color="auto" w:fill="auto"/>
            <w:vAlign w:val="center"/>
            <w:hideMark/>
          </w:tcPr>
          <w:p w14:paraId="750EF28F"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Point d’atterrissement virtuelle</w:t>
            </w:r>
          </w:p>
        </w:tc>
      </w:tr>
      <w:tr w:rsidR="00742959" w:rsidRPr="00742959" w14:paraId="7F6587FB"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2586A699"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PNDS</w:t>
            </w:r>
          </w:p>
        </w:tc>
        <w:tc>
          <w:tcPr>
            <w:tcW w:w="4480" w:type="pct"/>
            <w:tcBorders>
              <w:top w:val="nil"/>
              <w:left w:val="nil"/>
              <w:bottom w:val="single" w:sz="8" w:space="0" w:color="auto"/>
              <w:right w:val="single" w:sz="8" w:space="0" w:color="auto"/>
            </w:tcBorders>
            <w:shd w:val="clear" w:color="auto" w:fill="auto"/>
            <w:vAlign w:val="center"/>
            <w:hideMark/>
          </w:tcPr>
          <w:p w14:paraId="39B211E6"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Plan National de Développement Sanitaire </w:t>
            </w:r>
          </w:p>
        </w:tc>
      </w:tr>
      <w:tr w:rsidR="00742959" w:rsidRPr="00742959" w14:paraId="2D547558"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751EA9CE"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PS</w:t>
            </w:r>
          </w:p>
        </w:tc>
        <w:tc>
          <w:tcPr>
            <w:tcW w:w="4480" w:type="pct"/>
            <w:tcBorders>
              <w:top w:val="nil"/>
              <w:left w:val="nil"/>
              <w:bottom w:val="single" w:sz="8" w:space="0" w:color="auto"/>
              <w:right w:val="single" w:sz="8" w:space="0" w:color="auto"/>
            </w:tcBorders>
            <w:shd w:val="clear" w:color="auto" w:fill="auto"/>
            <w:vAlign w:val="center"/>
            <w:hideMark/>
          </w:tcPr>
          <w:p w14:paraId="34654D55"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Postes de santé </w:t>
            </w:r>
          </w:p>
        </w:tc>
      </w:tr>
      <w:tr w:rsidR="00742959" w:rsidRPr="00742959" w14:paraId="54D582D2"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C26850A"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PTF </w:t>
            </w:r>
          </w:p>
        </w:tc>
        <w:tc>
          <w:tcPr>
            <w:tcW w:w="4480" w:type="pct"/>
            <w:tcBorders>
              <w:top w:val="nil"/>
              <w:left w:val="nil"/>
              <w:bottom w:val="single" w:sz="8" w:space="0" w:color="auto"/>
              <w:right w:val="single" w:sz="8" w:space="0" w:color="auto"/>
            </w:tcBorders>
            <w:shd w:val="clear" w:color="auto" w:fill="auto"/>
            <w:vAlign w:val="center"/>
            <w:hideMark/>
          </w:tcPr>
          <w:p w14:paraId="0CCAA2D5"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Partenaires techniques et financiers</w:t>
            </w:r>
          </w:p>
        </w:tc>
      </w:tr>
      <w:tr w:rsidR="00742959" w:rsidRPr="00742959" w14:paraId="5BEA5AD8"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E088A08"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SNIS</w:t>
            </w:r>
          </w:p>
        </w:tc>
        <w:tc>
          <w:tcPr>
            <w:tcW w:w="4480" w:type="pct"/>
            <w:tcBorders>
              <w:top w:val="nil"/>
              <w:left w:val="nil"/>
              <w:bottom w:val="single" w:sz="8" w:space="0" w:color="auto"/>
              <w:right w:val="single" w:sz="8" w:space="0" w:color="auto"/>
            </w:tcBorders>
            <w:shd w:val="clear" w:color="auto" w:fill="auto"/>
            <w:vAlign w:val="center"/>
            <w:hideMark/>
          </w:tcPr>
          <w:p w14:paraId="48A42348"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Système national d’information sanitaire</w:t>
            </w:r>
          </w:p>
        </w:tc>
      </w:tr>
      <w:tr w:rsidR="00742959" w:rsidRPr="00742959" w14:paraId="13F69AD8"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2F638325"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SOGEB </w:t>
            </w:r>
          </w:p>
        </w:tc>
        <w:tc>
          <w:tcPr>
            <w:tcW w:w="4480" w:type="pct"/>
            <w:tcBorders>
              <w:top w:val="nil"/>
              <w:left w:val="nil"/>
              <w:bottom w:val="single" w:sz="8" w:space="0" w:color="auto"/>
              <w:right w:val="single" w:sz="8" w:space="0" w:color="auto"/>
            </w:tcBorders>
            <w:shd w:val="clear" w:color="auto" w:fill="auto"/>
            <w:vAlign w:val="center"/>
            <w:hideMark/>
          </w:tcPr>
          <w:p w14:paraId="17AAF145"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Société de Gestion et d’Exploitation du </w:t>
            </w:r>
            <w:proofErr w:type="spellStart"/>
            <w:r w:rsidRPr="00742959">
              <w:rPr>
                <w:rFonts w:ascii="Cambria" w:eastAsia="Times New Roman" w:hAnsi="Cambria" w:cs="Calibri"/>
                <w:color w:val="000000"/>
                <w:sz w:val="24"/>
                <w:szCs w:val="24"/>
              </w:rPr>
              <w:t>Backbone</w:t>
            </w:r>
            <w:proofErr w:type="spellEnd"/>
          </w:p>
        </w:tc>
      </w:tr>
      <w:tr w:rsidR="00742959" w:rsidRPr="00742959" w14:paraId="5D11924F"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769EFB79"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SOP</w:t>
            </w:r>
          </w:p>
        </w:tc>
        <w:tc>
          <w:tcPr>
            <w:tcW w:w="4480" w:type="pct"/>
            <w:tcBorders>
              <w:top w:val="nil"/>
              <w:left w:val="nil"/>
              <w:bottom w:val="single" w:sz="8" w:space="0" w:color="auto"/>
              <w:right w:val="single" w:sz="8" w:space="0" w:color="auto"/>
            </w:tcBorders>
            <w:shd w:val="clear" w:color="auto" w:fill="auto"/>
            <w:vAlign w:val="center"/>
            <w:hideMark/>
          </w:tcPr>
          <w:p w14:paraId="4C225B33"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Procédures opérationnelles standards</w:t>
            </w:r>
          </w:p>
        </w:tc>
      </w:tr>
      <w:tr w:rsidR="00742959" w:rsidRPr="00742959" w14:paraId="241D1BD2"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626D84A"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SWOT </w:t>
            </w:r>
          </w:p>
        </w:tc>
        <w:tc>
          <w:tcPr>
            <w:tcW w:w="4480" w:type="pct"/>
            <w:tcBorders>
              <w:top w:val="nil"/>
              <w:left w:val="nil"/>
              <w:bottom w:val="single" w:sz="8" w:space="0" w:color="auto"/>
              <w:right w:val="single" w:sz="8" w:space="0" w:color="auto"/>
            </w:tcBorders>
            <w:shd w:val="clear" w:color="auto" w:fill="auto"/>
            <w:vAlign w:val="center"/>
            <w:hideMark/>
          </w:tcPr>
          <w:p w14:paraId="1B443E77"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Strengths, Weaknesses, Opportunities, and Threats (forces, faiblesses, opportunités et menaces)</w:t>
            </w:r>
          </w:p>
        </w:tc>
      </w:tr>
      <w:tr w:rsidR="00742959" w:rsidRPr="00742959" w14:paraId="1A95C09F"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0BC110CC" w14:textId="77777777" w:rsidR="00742959" w:rsidRPr="00742959" w:rsidRDefault="00742959" w:rsidP="00742959">
            <w:pPr>
              <w:spacing w:after="0" w:line="240" w:lineRule="auto"/>
              <w:jc w:val="both"/>
              <w:rPr>
                <w:rFonts w:ascii="Cambria" w:eastAsia="Times New Roman" w:hAnsi="Cambria" w:cs="Calibri"/>
                <w:color w:val="000000"/>
                <w:sz w:val="24"/>
                <w:szCs w:val="24"/>
              </w:rPr>
            </w:pPr>
            <w:r w:rsidRPr="00742959">
              <w:rPr>
                <w:rFonts w:ascii="Cambria" w:eastAsia="Times New Roman" w:hAnsi="Cambria" w:cs="Calibri"/>
                <w:color w:val="000000"/>
                <w:sz w:val="24"/>
                <w:szCs w:val="24"/>
              </w:rPr>
              <w:t>TIC</w:t>
            </w:r>
          </w:p>
        </w:tc>
        <w:tc>
          <w:tcPr>
            <w:tcW w:w="4480" w:type="pct"/>
            <w:tcBorders>
              <w:top w:val="nil"/>
              <w:left w:val="nil"/>
              <w:bottom w:val="single" w:sz="8" w:space="0" w:color="auto"/>
              <w:right w:val="single" w:sz="8" w:space="0" w:color="auto"/>
            </w:tcBorders>
            <w:shd w:val="clear" w:color="auto" w:fill="auto"/>
            <w:vAlign w:val="center"/>
            <w:hideMark/>
          </w:tcPr>
          <w:p w14:paraId="08AE1CDB"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Technologies de l’information et de la communication </w:t>
            </w:r>
          </w:p>
        </w:tc>
      </w:tr>
      <w:tr w:rsidR="00742959" w:rsidRPr="00742959" w14:paraId="0E6D5151"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32B9B164"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UPS </w:t>
            </w:r>
          </w:p>
        </w:tc>
        <w:tc>
          <w:tcPr>
            <w:tcW w:w="4480" w:type="pct"/>
            <w:tcBorders>
              <w:top w:val="nil"/>
              <w:left w:val="nil"/>
              <w:bottom w:val="single" w:sz="8" w:space="0" w:color="auto"/>
              <w:right w:val="single" w:sz="8" w:space="0" w:color="auto"/>
            </w:tcBorders>
            <w:shd w:val="clear" w:color="auto" w:fill="auto"/>
            <w:vAlign w:val="center"/>
            <w:hideMark/>
          </w:tcPr>
          <w:p w14:paraId="18D715D5" w14:textId="77777777" w:rsidR="00742959" w:rsidRPr="00742959" w:rsidRDefault="00742959" w:rsidP="00742959">
            <w:pPr>
              <w:spacing w:after="0" w:line="240" w:lineRule="auto"/>
              <w:rPr>
                <w:rFonts w:ascii="Cambria" w:eastAsia="Times New Roman" w:hAnsi="Cambria" w:cs="Calibri"/>
                <w:color w:val="000000"/>
                <w:sz w:val="24"/>
                <w:szCs w:val="24"/>
              </w:rPr>
            </w:pPr>
            <w:proofErr w:type="spellStart"/>
            <w:r w:rsidRPr="00742959">
              <w:rPr>
                <w:rFonts w:ascii="Cambria" w:eastAsia="Times New Roman" w:hAnsi="Cambria" w:cs="Calibri"/>
                <w:color w:val="000000"/>
                <w:sz w:val="24"/>
                <w:szCs w:val="24"/>
              </w:rPr>
              <w:t>Uninterruptible</w:t>
            </w:r>
            <w:proofErr w:type="spellEnd"/>
            <w:r w:rsidRPr="00742959">
              <w:rPr>
                <w:rFonts w:ascii="Cambria" w:eastAsia="Times New Roman" w:hAnsi="Cambria" w:cs="Calibri"/>
                <w:color w:val="000000"/>
                <w:sz w:val="24"/>
                <w:szCs w:val="24"/>
              </w:rPr>
              <w:t xml:space="preserve"> Power </w:t>
            </w:r>
            <w:proofErr w:type="spellStart"/>
            <w:r w:rsidRPr="00742959">
              <w:rPr>
                <w:rFonts w:ascii="Cambria" w:eastAsia="Times New Roman" w:hAnsi="Cambria" w:cs="Calibri"/>
                <w:color w:val="000000"/>
                <w:sz w:val="24"/>
                <w:szCs w:val="24"/>
              </w:rPr>
              <w:t>Supply</w:t>
            </w:r>
            <w:proofErr w:type="spellEnd"/>
            <w:r w:rsidRPr="00742959">
              <w:rPr>
                <w:rFonts w:ascii="Cambria" w:eastAsia="Times New Roman" w:hAnsi="Cambria" w:cs="Calibri"/>
                <w:color w:val="000000"/>
                <w:sz w:val="24"/>
                <w:szCs w:val="24"/>
              </w:rPr>
              <w:t xml:space="preserve"> </w:t>
            </w:r>
          </w:p>
        </w:tc>
      </w:tr>
      <w:tr w:rsidR="00742959" w:rsidRPr="00742959" w14:paraId="5E28921F"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12D5481A"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USAID </w:t>
            </w:r>
          </w:p>
        </w:tc>
        <w:tc>
          <w:tcPr>
            <w:tcW w:w="4480" w:type="pct"/>
            <w:tcBorders>
              <w:top w:val="nil"/>
              <w:left w:val="nil"/>
              <w:bottom w:val="single" w:sz="8" w:space="0" w:color="auto"/>
              <w:right w:val="single" w:sz="8" w:space="0" w:color="auto"/>
            </w:tcBorders>
            <w:shd w:val="clear" w:color="auto" w:fill="auto"/>
            <w:vAlign w:val="center"/>
            <w:hideMark/>
          </w:tcPr>
          <w:p w14:paraId="1B3BBF5A"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Agence des Etats-Unis pour le développement international</w:t>
            </w:r>
          </w:p>
        </w:tc>
      </w:tr>
      <w:tr w:rsidR="00742959" w:rsidRPr="00742959" w14:paraId="0F0A18A0" w14:textId="77777777" w:rsidTr="00900412">
        <w:trPr>
          <w:trHeight w:val="360"/>
        </w:trPr>
        <w:tc>
          <w:tcPr>
            <w:tcW w:w="520" w:type="pct"/>
            <w:tcBorders>
              <w:top w:val="nil"/>
              <w:left w:val="single" w:sz="8" w:space="0" w:color="auto"/>
              <w:bottom w:val="single" w:sz="8" w:space="0" w:color="auto"/>
              <w:right w:val="single" w:sz="8" w:space="0" w:color="auto"/>
            </w:tcBorders>
            <w:shd w:val="clear" w:color="auto" w:fill="auto"/>
            <w:vAlign w:val="center"/>
            <w:hideMark/>
          </w:tcPr>
          <w:p w14:paraId="557A9277"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XML</w:t>
            </w:r>
          </w:p>
        </w:tc>
        <w:tc>
          <w:tcPr>
            <w:tcW w:w="4480" w:type="pct"/>
            <w:tcBorders>
              <w:top w:val="nil"/>
              <w:left w:val="nil"/>
              <w:bottom w:val="single" w:sz="8" w:space="0" w:color="auto"/>
              <w:right w:val="single" w:sz="8" w:space="0" w:color="auto"/>
            </w:tcBorders>
            <w:shd w:val="clear" w:color="auto" w:fill="auto"/>
            <w:vAlign w:val="center"/>
            <w:hideMark/>
          </w:tcPr>
          <w:p w14:paraId="5A51CBF3" w14:textId="77777777" w:rsidR="00742959" w:rsidRPr="00742959" w:rsidRDefault="00742959" w:rsidP="00742959">
            <w:pPr>
              <w:spacing w:after="0" w:line="240" w:lineRule="auto"/>
              <w:rPr>
                <w:rFonts w:ascii="Cambria" w:eastAsia="Times New Roman" w:hAnsi="Cambria" w:cs="Calibri"/>
                <w:color w:val="000000"/>
                <w:sz w:val="24"/>
                <w:szCs w:val="24"/>
              </w:rPr>
            </w:pPr>
            <w:r w:rsidRPr="00742959">
              <w:rPr>
                <w:rFonts w:ascii="Cambria" w:eastAsia="Times New Roman" w:hAnsi="Cambria" w:cs="Calibri"/>
                <w:color w:val="000000"/>
                <w:sz w:val="24"/>
                <w:szCs w:val="24"/>
              </w:rPr>
              <w:t xml:space="preserve">Extensible </w:t>
            </w:r>
            <w:proofErr w:type="spellStart"/>
            <w:r w:rsidRPr="00742959">
              <w:rPr>
                <w:rFonts w:ascii="Cambria" w:eastAsia="Times New Roman" w:hAnsi="Cambria" w:cs="Calibri"/>
                <w:color w:val="000000"/>
                <w:sz w:val="24"/>
                <w:szCs w:val="24"/>
              </w:rPr>
              <w:t>Markup</w:t>
            </w:r>
            <w:proofErr w:type="spellEnd"/>
            <w:r w:rsidRPr="00742959">
              <w:rPr>
                <w:rFonts w:ascii="Cambria" w:eastAsia="Times New Roman" w:hAnsi="Cambria" w:cs="Calibri"/>
                <w:color w:val="000000"/>
                <w:sz w:val="24"/>
                <w:szCs w:val="24"/>
              </w:rPr>
              <w:t xml:space="preserve"> </w:t>
            </w:r>
            <w:proofErr w:type="spellStart"/>
            <w:r w:rsidRPr="00742959">
              <w:rPr>
                <w:rFonts w:ascii="Cambria" w:eastAsia="Times New Roman" w:hAnsi="Cambria" w:cs="Calibri"/>
                <w:color w:val="000000"/>
                <w:sz w:val="24"/>
                <w:szCs w:val="24"/>
              </w:rPr>
              <w:t>Language</w:t>
            </w:r>
            <w:proofErr w:type="spellEnd"/>
          </w:p>
        </w:tc>
      </w:tr>
    </w:tbl>
    <w:p w14:paraId="180E2648" w14:textId="77777777" w:rsidR="00421578" w:rsidRPr="00900412" w:rsidRDefault="00421578" w:rsidP="002A2CD0">
      <w:pPr>
        <w:spacing w:line="360" w:lineRule="auto"/>
        <w:rPr>
          <w:rFonts w:ascii="Arial" w:hAnsi="Arial" w:cs="Arial"/>
          <w:sz w:val="24"/>
          <w:szCs w:val="24"/>
        </w:rPr>
        <w:sectPr w:rsidR="00421578" w:rsidRPr="00900412">
          <w:pgSz w:w="11906" w:h="16838"/>
          <w:pgMar w:top="1417" w:right="1417" w:bottom="1417" w:left="1417" w:header="708" w:footer="708" w:gutter="0"/>
          <w:cols w:space="708"/>
          <w:docGrid w:linePitch="360"/>
        </w:sectPr>
      </w:pPr>
    </w:p>
    <w:p w14:paraId="502284F5" w14:textId="7A77F896" w:rsidR="006B2DDC" w:rsidRDefault="006B2DDC" w:rsidP="006B2DDC">
      <w:pPr>
        <w:pStyle w:val="Heading1"/>
        <w:rPr>
          <w:rFonts w:ascii="Arial" w:hAnsi="Arial" w:cs="Arial"/>
          <w:b/>
          <w:bCs/>
          <w:color w:val="000000" w:themeColor="text1"/>
          <w:sz w:val="26"/>
          <w:szCs w:val="26"/>
        </w:rPr>
      </w:pPr>
      <w:bookmarkStart w:id="1" w:name="_Toc95082850"/>
      <w:bookmarkStart w:id="2" w:name="_Toc88819203"/>
      <w:r w:rsidRPr="000C68B4">
        <w:rPr>
          <w:rFonts w:ascii="Arial" w:hAnsi="Arial" w:cs="Arial"/>
          <w:b/>
          <w:bCs/>
          <w:color w:val="000000" w:themeColor="text1"/>
          <w:sz w:val="26"/>
          <w:szCs w:val="26"/>
        </w:rPr>
        <w:lastRenderedPageBreak/>
        <w:t xml:space="preserve">Liste des </w:t>
      </w:r>
      <w:r>
        <w:rPr>
          <w:rFonts w:ascii="Arial" w:hAnsi="Arial" w:cs="Arial"/>
          <w:b/>
          <w:bCs/>
          <w:color w:val="000000" w:themeColor="text1"/>
          <w:sz w:val="26"/>
          <w:szCs w:val="26"/>
        </w:rPr>
        <w:t>figures et tableaux</w:t>
      </w:r>
      <w:bookmarkEnd w:id="1"/>
    </w:p>
    <w:p w14:paraId="67888C53" w14:textId="223D9A6A" w:rsidR="006B2DDC" w:rsidRDefault="006B2DDC" w:rsidP="006B2DDC"/>
    <w:p w14:paraId="30598F2E" w14:textId="7A84228D" w:rsidR="006B2DDC" w:rsidRPr="00807493" w:rsidRDefault="006B2DDC" w:rsidP="00807493">
      <w:pPr>
        <w:jc w:val="both"/>
        <w:rPr>
          <w:rFonts w:ascii="Arial" w:hAnsi="Arial" w:cs="Arial"/>
          <w:b/>
          <w:bCs/>
          <w:sz w:val="24"/>
          <w:szCs w:val="24"/>
          <w:u w:val="single"/>
        </w:rPr>
      </w:pPr>
      <w:r w:rsidRPr="00807493">
        <w:rPr>
          <w:rFonts w:ascii="Arial" w:hAnsi="Arial" w:cs="Arial"/>
          <w:b/>
          <w:bCs/>
          <w:sz w:val="24"/>
          <w:szCs w:val="24"/>
          <w:u w:val="single"/>
        </w:rPr>
        <w:t>Liste des tableaux</w:t>
      </w:r>
    </w:p>
    <w:p w14:paraId="124FD950" w14:textId="51AD817D" w:rsidR="007F117B" w:rsidRDefault="006B2DDC" w:rsidP="007F117B">
      <w:pPr>
        <w:pStyle w:val="TableofFigures"/>
        <w:tabs>
          <w:tab w:val="right" w:leader="dot" w:pos="9062"/>
        </w:tabs>
        <w:spacing w:line="360" w:lineRule="auto"/>
        <w:rPr>
          <w:rFonts w:eastAsiaTheme="minorEastAsia"/>
          <w:noProof/>
          <w:sz w:val="24"/>
          <w:szCs w:val="24"/>
          <w:lang w:val="en-BF"/>
        </w:rPr>
      </w:pPr>
      <w:r>
        <w:fldChar w:fldCharType="begin"/>
      </w:r>
      <w:r>
        <w:instrText xml:space="preserve"> TOC \h \z \c "Tableau" </w:instrText>
      </w:r>
      <w:r>
        <w:fldChar w:fldCharType="separate"/>
      </w:r>
      <w:hyperlink w:anchor="_Toc99467004" w:history="1">
        <w:r w:rsidR="007F117B" w:rsidRPr="007A598E">
          <w:rPr>
            <w:rStyle w:val="Hyperlink"/>
            <w:rFonts w:ascii="Arial" w:hAnsi="Arial" w:cs="Arial"/>
            <w:noProof/>
          </w:rPr>
          <w:t>Tableau 1 : Applications de collecte de données par niveau de la pyramide sanitaire</w:t>
        </w:r>
        <w:r w:rsidR="007F117B">
          <w:rPr>
            <w:noProof/>
            <w:webHidden/>
          </w:rPr>
          <w:tab/>
        </w:r>
        <w:r w:rsidR="007F117B">
          <w:rPr>
            <w:noProof/>
            <w:webHidden/>
          </w:rPr>
          <w:fldChar w:fldCharType="begin"/>
        </w:r>
        <w:r w:rsidR="007F117B">
          <w:rPr>
            <w:noProof/>
            <w:webHidden/>
          </w:rPr>
          <w:instrText xml:space="preserve"> PAGEREF _Toc99467004 \h </w:instrText>
        </w:r>
        <w:r w:rsidR="007F117B">
          <w:rPr>
            <w:noProof/>
            <w:webHidden/>
          </w:rPr>
        </w:r>
        <w:r w:rsidR="007F117B">
          <w:rPr>
            <w:noProof/>
            <w:webHidden/>
          </w:rPr>
          <w:fldChar w:fldCharType="separate"/>
        </w:r>
        <w:r w:rsidR="007F117B">
          <w:rPr>
            <w:noProof/>
            <w:webHidden/>
          </w:rPr>
          <w:t>12</w:t>
        </w:r>
        <w:r w:rsidR="007F117B">
          <w:rPr>
            <w:noProof/>
            <w:webHidden/>
          </w:rPr>
          <w:fldChar w:fldCharType="end"/>
        </w:r>
      </w:hyperlink>
    </w:p>
    <w:p w14:paraId="1C509D25" w14:textId="10ACD80E"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05" w:history="1">
        <w:r w:rsidRPr="007A598E">
          <w:rPr>
            <w:rStyle w:val="Hyperlink"/>
            <w:rFonts w:ascii="Arial" w:hAnsi="Arial" w:cs="Arial"/>
            <w:noProof/>
          </w:rPr>
          <w:t>Tableau 2 : Résumé des forces et faiblesses du SNIS.</w:t>
        </w:r>
        <w:r>
          <w:rPr>
            <w:noProof/>
            <w:webHidden/>
          </w:rPr>
          <w:tab/>
        </w:r>
        <w:r>
          <w:rPr>
            <w:noProof/>
            <w:webHidden/>
          </w:rPr>
          <w:fldChar w:fldCharType="begin"/>
        </w:r>
        <w:r>
          <w:rPr>
            <w:noProof/>
            <w:webHidden/>
          </w:rPr>
          <w:instrText xml:space="preserve"> PAGEREF _Toc99467005 \h </w:instrText>
        </w:r>
        <w:r>
          <w:rPr>
            <w:noProof/>
            <w:webHidden/>
          </w:rPr>
        </w:r>
        <w:r>
          <w:rPr>
            <w:noProof/>
            <w:webHidden/>
          </w:rPr>
          <w:fldChar w:fldCharType="separate"/>
        </w:r>
        <w:r>
          <w:rPr>
            <w:noProof/>
            <w:webHidden/>
          </w:rPr>
          <w:t>13</w:t>
        </w:r>
        <w:r>
          <w:rPr>
            <w:noProof/>
            <w:webHidden/>
          </w:rPr>
          <w:fldChar w:fldCharType="end"/>
        </w:r>
      </w:hyperlink>
    </w:p>
    <w:p w14:paraId="5BA94811" w14:textId="71CBB7ED"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06" w:history="1">
        <w:r w:rsidRPr="007A598E">
          <w:rPr>
            <w:rStyle w:val="Hyperlink"/>
            <w:rFonts w:ascii="Arial" w:hAnsi="Arial" w:cs="Arial"/>
            <w:noProof/>
          </w:rPr>
          <w:t>Tableau 3 : Résumé des opportunités et menaces du SNIS.</w:t>
        </w:r>
        <w:r>
          <w:rPr>
            <w:noProof/>
            <w:webHidden/>
          </w:rPr>
          <w:tab/>
        </w:r>
        <w:r>
          <w:rPr>
            <w:noProof/>
            <w:webHidden/>
          </w:rPr>
          <w:fldChar w:fldCharType="begin"/>
        </w:r>
        <w:r>
          <w:rPr>
            <w:noProof/>
            <w:webHidden/>
          </w:rPr>
          <w:instrText xml:space="preserve"> PAGEREF _Toc99467006 \h </w:instrText>
        </w:r>
        <w:r>
          <w:rPr>
            <w:noProof/>
            <w:webHidden/>
          </w:rPr>
        </w:r>
        <w:r>
          <w:rPr>
            <w:noProof/>
            <w:webHidden/>
          </w:rPr>
          <w:fldChar w:fldCharType="separate"/>
        </w:r>
        <w:r>
          <w:rPr>
            <w:noProof/>
            <w:webHidden/>
          </w:rPr>
          <w:t>15</w:t>
        </w:r>
        <w:r>
          <w:rPr>
            <w:noProof/>
            <w:webHidden/>
          </w:rPr>
          <w:fldChar w:fldCharType="end"/>
        </w:r>
      </w:hyperlink>
    </w:p>
    <w:p w14:paraId="083E93CA" w14:textId="574B9E13"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07" w:history="1">
        <w:r w:rsidRPr="007A598E">
          <w:rPr>
            <w:rStyle w:val="Hyperlink"/>
            <w:rFonts w:ascii="Arial" w:hAnsi="Arial" w:cs="Arial"/>
            <w:noProof/>
          </w:rPr>
          <w:t>Tableau 4 :  Analyse de la disponibilité en infrastructures, équipements et ressources humaines adéquates en Data Center</w:t>
        </w:r>
        <w:r>
          <w:rPr>
            <w:noProof/>
            <w:webHidden/>
          </w:rPr>
          <w:tab/>
        </w:r>
        <w:r>
          <w:rPr>
            <w:noProof/>
            <w:webHidden/>
          </w:rPr>
          <w:fldChar w:fldCharType="begin"/>
        </w:r>
        <w:r>
          <w:rPr>
            <w:noProof/>
            <w:webHidden/>
          </w:rPr>
          <w:instrText xml:space="preserve"> PAGEREF _Toc99467007 \h </w:instrText>
        </w:r>
        <w:r>
          <w:rPr>
            <w:noProof/>
            <w:webHidden/>
          </w:rPr>
        </w:r>
        <w:r>
          <w:rPr>
            <w:noProof/>
            <w:webHidden/>
          </w:rPr>
          <w:fldChar w:fldCharType="separate"/>
        </w:r>
        <w:r>
          <w:rPr>
            <w:noProof/>
            <w:webHidden/>
          </w:rPr>
          <w:t>17</w:t>
        </w:r>
        <w:r>
          <w:rPr>
            <w:noProof/>
            <w:webHidden/>
          </w:rPr>
          <w:fldChar w:fldCharType="end"/>
        </w:r>
      </w:hyperlink>
    </w:p>
    <w:p w14:paraId="63B8572A" w14:textId="43B74D0E"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08" w:history="1">
        <w:r w:rsidRPr="007A598E">
          <w:rPr>
            <w:rStyle w:val="Hyperlink"/>
            <w:rFonts w:ascii="Arial" w:hAnsi="Arial" w:cs="Arial"/>
            <w:noProof/>
          </w:rPr>
          <w:t>Tableau 5 : Estimation financière pour la mise en place d’un data center de production</w:t>
        </w:r>
        <w:r>
          <w:rPr>
            <w:noProof/>
            <w:webHidden/>
          </w:rPr>
          <w:tab/>
        </w:r>
        <w:r>
          <w:rPr>
            <w:noProof/>
            <w:webHidden/>
          </w:rPr>
          <w:fldChar w:fldCharType="begin"/>
        </w:r>
        <w:r>
          <w:rPr>
            <w:noProof/>
            <w:webHidden/>
          </w:rPr>
          <w:instrText xml:space="preserve"> PAGEREF _Toc99467008 \h </w:instrText>
        </w:r>
        <w:r>
          <w:rPr>
            <w:noProof/>
            <w:webHidden/>
          </w:rPr>
        </w:r>
        <w:r>
          <w:rPr>
            <w:noProof/>
            <w:webHidden/>
          </w:rPr>
          <w:fldChar w:fldCharType="separate"/>
        </w:r>
        <w:r>
          <w:rPr>
            <w:noProof/>
            <w:webHidden/>
          </w:rPr>
          <w:t>24</w:t>
        </w:r>
        <w:r>
          <w:rPr>
            <w:noProof/>
            <w:webHidden/>
          </w:rPr>
          <w:fldChar w:fldCharType="end"/>
        </w:r>
      </w:hyperlink>
    </w:p>
    <w:p w14:paraId="31F4DB99" w14:textId="0C394670"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09" w:history="1">
        <w:r w:rsidRPr="007A598E">
          <w:rPr>
            <w:rStyle w:val="Hyperlink"/>
            <w:rFonts w:ascii="Arial" w:hAnsi="Arial" w:cs="Arial"/>
            <w:noProof/>
          </w:rPr>
          <w:t>Tableau 6 : Estimation financière pour la mise en place d’un data center de sauvegarde au niveau du ministère de la santé (conteneur mobile)</w:t>
        </w:r>
        <w:r>
          <w:rPr>
            <w:noProof/>
            <w:webHidden/>
          </w:rPr>
          <w:tab/>
        </w:r>
        <w:r>
          <w:rPr>
            <w:noProof/>
            <w:webHidden/>
          </w:rPr>
          <w:fldChar w:fldCharType="begin"/>
        </w:r>
        <w:r>
          <w:rPr>
            <w:noProof/>
            <w:webHidden/>
          </w:rPr>
          <w:instrText xml:space="preserve"> PAGEREF _Toc99467009 \h </w:instrText>
        </w:r>
        <w:r>
          <w:rPr>
            <w:noProof/>
            <w:webHidden/>
          </w:rPr>
        </w:r>
        <w:r>
          <w:rPr>
            <w:noProof/>
            <w:webHidden/>
          </w:rPr>
          <w:fldChar w:fldCharType="separate"/>
        </w:r>
        <w:r>
          <w:rPr>
            <w:noProof/>
            <w:webHidden/>
          </w:rPr>
          <w:t>25</w:t>
        </w:r>
        <w:r>
          <w:rPr>
            <w:noProof/>
            <w:webHidden/>
          </w:rPr>
          <w:fldChar w:fldCharType="end"/>
        </w:r>
      </w:hyperlink>
    </w:p>
    <w:p w14:paraId="1999414B" w14:textId="7AF67137"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10" w:history="1">
        <w:r w:rsidRPr="007A598E">
          <w:rPr>
            <w:rStyle w:val="Hyperlink"/>
            <w:rFonts w:ascii="Arial" w:hAnsi="Arial" w:cs="Arial"/>
            <w:noProof/>
          </w:rPr>
          <w:t>Tableau 7 : Nombre de structures et centres de santé par direction régionale</w:t>
        </w:r>
        <w:r>
          <w:rPr>
            <w:noProof/>
            <w:webHidden/>
          </w:rPr>
          <w:tab/>
        </w:r>
        <w:r>
          <w:rPr>
            <w:noProof/>
            <w:webHidden/>
          </w:rPr>
          <w:fldChar w:fldCharType="begin"/>
        </w:r>
        <w:r>
          <w:rPr>
            <w:noProof/>
            <w:webHidden/>
          </w:rPr>
          <w:instrText xml:space="preserve"> PAGEREF _Toc99467010 \h </w:instrText>
        </w:r>
        <w:r>
          <w:rPr>
            <w:noProof/>
            <w:webHidden/>
          </w:rPr>
        </w:r>
        <w:r>
          <w:rPr>
            <w:noProof/>
            <w:webHidden/>
          </w:rPr>
          <w:fldChar w:fldCharType="separate"/>
        </w:r>
        <w:r>
          <w:rPr>
            <w:noProof/>
            <w:webHidden/>
          </w:rPr>
          <w:t>25</w:t>
        </w:r>
        <w:r>
          <w:rPr>
            <w:noProof/>
            <w:webHidden/>
          </w:rPr>
          <w:fldChar w:fldCharType="end"/>
        </w:r>
      </w:hyperlink>
    </w:p>
    <w:p w14:paraId="276AA361" w14:textId="6248331F"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11" w:history="1">
        <w:r w:rsidRPr="007A598E">
          <w:rPr>
            <w:rStyle w:val="Hyperlink"/>
            <w:rFonts w:ascii="Arial" w:hAnsi="Arial" w:cs="Arial"/>
            <w:noProof/>
          </w:rPr>
          <w:t>Tableau 8 : Estimation financière pour l’interconnexion des sites de la première phase</w:t>
        </w:r>
        <w:r>
          <w:rPr>
            <w:noProof/>
            <w:webHidden/>
          </w:rPr>
          <w:tab/>
        </w:r>
        <w:r>
          <w:rPr>
            <w:noProof/>
            <w:webHidden/>
          </w:rPr>
          <w:fldChar w:fldCharType="begin"/>
        </w:r>
        <w:r>
          <w:rPr>
            <w:noProof/>
            <w:webHidden/>
          </w:rPr>
          <w:instrText xml:space="preserve"> PAGEREF _Toc99467011 \h </w:instrText>
        </w:r>
        <w:r>
          <w:rPr>
            <w:noProof/>
            <w:webHidden/>
          </w:rPr>
        </w:r>
        <w:r>
          <w:rPr>
            <w:noProof/>
            <w:webHidden/>
          </w:rPr>
          <w:fldChar w:fldCharType="separate"/>
        </w:r>
        <w:r>
          <w:rPr>
            <w:noProof/>
            <w:webHidden/>
          </w:rPr>
          <w:t>28</w:t>
        </w:r>
        <w:r>
          <w:rPr>
            <w:noProof/>
            <w:webHidden/>
          </w:rPr>
          <w:fldChar w:fldCharType="end"/>
        </w:r>
      </w:hyperlink>
    </w:p>
    <w:p w14:paraId="410A7E81" w14:textId="50E08058"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12" w:history="1">
        <w:r w:rsidRPr="007A598E">
          <w:rPr>
            <w:rStyle w:val="Hyperlink"/>
            <w:rFonts w:ascii="Arial" w:hAnsi="Arial" w:cs="Arial"/>
            <w:noProof/>
          </w:rPr>
          <w:t>Tableau 9 :  Besoins en compétences pour l’utilisation avancée des bases de données (formation diplomate de niveau master pour une durée de deux ans dans les universités et/ou institutions publiques ou privées)</w:t>
        </w:r>
        <w:r>
          <w:rPr>
            <w:noProof/>
            <w:webHidden/>
          </w:rPr>
          <w:tab/>
        </w:r>
        <w:r>
          <w:rPr>
            <w:noProof/>
            <w:webHidden/>
          </w:rPr>
          <w:fldChar w:fldCharType="begin"/>
        </w:r>
        <w:r>
          <w:rPr>
            <w:noProof/>
            <w:webHidden/>
          </w:rPr>
          <w:instrText xml:space="preserve"> PAGEREF _Toc99467012 \h </w:instrText>
        </w:r>
        <w:r>
          <w:rPr>
            <w:noProof/>
            <w:webHidden/>
          </w:rPr>
        </w:r>
        <w:r>
          <w:rPr>
            <w:noProof/>
            <w:webHidden/>
          </w:rPr>
          <w:fldChar w:fldCharType="separate"/>
        </w:r>
        <w:r>
          <w:rPr>
            <w:noProof/>
            <w:webHidden/>
          </w:rPr>
          <w:t>30</w:t>
        </w:r>
        <w:r>
          <w:rPr>
            <w:noProof/>
            <w:webHidden/>
          </w:rPr>
          <w:fldChar w:fldCharType="end"/>
        </w:r>
      </w:hyperlink>
    </w:p>
    <w:p w14:paraId="4AA3F287" w14:textId="64DEE1D8"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13" w:history="1">
        <w:r w:rsidRPr="007A598E">
          <w:rPr>
            <w:rStyle w:val="Hyperlink"/>
            <w:rFonts w:ascii="Arial" w:hAnsi="Arial" w:cs="Arial"/>
            <w:noProof/>
          </w:rPr>
          <w:t>Tableau 10 : Besoins de renforcement en compétence du personnel IT du ministère de la santé (formation de six (6) mois à un (1) an les institutions privées spécialisées)</w:t>
        </w:r>
        <w:r>
          <w:rPr>
            <w:noProof/>
            <w:webHidden/>
          </w:rPr>
          <w:tab/>
        </w:r>
        <w:r>
          <w:rPr>
            <w:noProof/>
            <w:webHidden/>
          </w:rPr>
          <w:fldChar w:fldCharType="begin"/>
        </w:r>
        <w:r>
          <w:rPr>
            <w:noProof/>
            <w:webHidden/>
          </w:rPr>
          <w:instrText xml:space="preserve"> PAGEREF _Toc99467013 \h </w:instrText>
        </w:r>
        <w:r>
          <w:rPr>
            <w:noProof/>
            <w:webHidden/>
          </w:rPr>
        </w:r>
        <w:r>
          <w:rPr>
            <w:noProof/>
            <w:webHidden/>
          </w:rPr>
          <w:fldChar w:fldCharType="separate"/>
        </w:r>
        <w:r>
          <w:rPr>
            <w:noProof/>
            <w:webHidden/>
          </w:rPr>
          <w:t>30</w:t>
        </w:r>
        <w:r>
          <w:rPr>
            <w:noProof/>
            <w:webHidden/>
          </w:rPr>
          <w:fldChar w:fldCharType="end"/>
        </w:r>
      </w:hyperlink>
    </w:p>
    <w:p w14:paraId="0E9C12D1" w14:textId="45C3FD49"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14" w:history="1">
        <w:r w:rsidRPr="007A598E">
          <w:rPr>
            <w:rStyle w:val="Hyperlink"/>
            <w:rFonts w:ascii="Arial" w:hAnsi="Arial" w:cs="Arial"/>
            <w:noProof/>
          </w:rPr>
          <w:t>Tableau 11 : Besoins en personnel IT pour la gestion des bases de données des Data Center de test et de sauvegarde (formation de six (6) mois à un (1) an les institutions privées spécialisées)</w:t>
        </w:r>
        <w:r>
          <w:rPr>
            <w:noProof/>
            <w:webHidden/>
          </w:rPr>
          <w:tab/>
        </w:r>
        <w:r>
          <w:rPr>
            <w:noProof/>
            <w:webHidden/>
          </w:rPr>
          <w:fldChar w:fldCharType="begin"/>
        </w:r>
        <w:r>
          <w:rPr>
            <w:noProof/>
            <w:webHidden/>
          </w:rPr>
          <w:instrText xml:space="preserve"> PAGEREF _Toc99467014 \h </w:instrText>
        </w:r>
        <w:r>
          <w:rPr>
            <w:noProof/>
            <w:webHidden/>
          </w:rPr>
        </w:r>
        <w:r>
          <w:rPr>
            <w:noProof/>
            <w:webHidden/>
          </w:rPr>
          <w:fldChar w:fldCharType="separate"/>
        </w:r>
        <w:r>
          <w:rPr>
            <w:noProof/>
            <w:webHidden/>
          </w:rPr>
          <w:t>32</w:t>
        </w:r>
        <w:r>
          <w:rPr>
            <w:noProof/>
            <w:webHidden/>
          </w:rPr>
          <w:fldChar w:fldCharType="end"/>
        </w:r>
      </w:hyperlink>
    </w:p>
    <w:p w14:paraId="148A9360" w14:textId="66172DFE" w:rsidR="007F117B" w:rsidRDefault="007F117B" w:rsidP="007F117B">
      <w:pPr>
        <w:pStyle w:val="TableofFigures"/>
        <w:tabs>
          <w:tab w:val="right" w:leader="dot" w:pos="9062"/>
        </w:tabs>
        <w:spacing w:line="360" w:lineRule="auto"/>
        <w:rPr>
          <w:rFonts w:eastAsiaTheme="minorEastAsia"/>
          <w:noProof/>
          <w:sz w:val="24"/>
          <w:szCs w:val="24"/>
          <w:lang w:val="en-BF"/>
        </w:rPr>
      </w:pPr>
      <w:hyperlink w:anchor="_Toc99467015" w:history="1">
        <w:r w:rsidRPr="007A598E">
          <w:rPr>
            <w:rStyle w:val="Hyperlink"/>
            <w:rFonts w:ascii="Arial" w:hAnsi="Arial" w:cs="Arial"/>
            <w:noProof/>
          </w:rPr>
          <w:t>Tableau 12 : Feuille de route des activités et de renforcement du système d’information</w:t>
        </w:r>
        <w:r>
          <w:rPr>
            <w:noProof/>
            <w:webHidden/>
          </w:rPr>
          <w:tab/>
        </w:r>
        <w:r>
          <w:rPr>
            <w:noProof/>
            <w:webHidden/>
          </w:rPr>
          <w:fldChar w:fldCharType="begin"/>
        </w:r>
        <w:r>
          <w:rPr>
            <w:noProof/>
            <w:webHidden/>
          </w:rPr>
          <w:instrText xml:space="preserve"> PAGEREF _Toc99467015 \h </w:instrText>
        </w:r>
        <w:r>
          <w:rPr>
            <w:noProof/>
            <w:webHidden/>
          </w:rPr>
        </w:r>
        <w:r>
          <w:rPr>
            <w:noProof/>
            <w:webHidden/>
          </w:rPr>
          <w:fldChar w:fldCharType="separate"/>
        </w:r>
        <w:r>
          <w:rPr>
            <w:noProof/>
            <w:webHidden/>
          </w:rPr>
          <w:t>34</w:t>
        </w:r>
        <w:r>
          <w:rPr>
            <w:noProof/>
            <w:webHidden/>
          </w:rPr>
          <w:fldChar w:fldCharType="end"/>
        </w:r>
      </w:hyperlink>
    </w:p>
    <w:p w14:paraId="43CFBBAB" w14:textId="23448D3D" w:rsidR="006B2DDC" w:rsidRDefault="006B2DDC" w:rsidP="0021723B">
      <w:pPr>
        <w:spacing w:line="360" w:lineRule="auto"/>
      </w:pPr>
      <w:r>
        <w:fldChar w:fldCharType="end"/>
      </w:r>
    </w:p>
    <w:p w14:paraId="34FAED5C" w14:textId="77777777" w:rsidR="006B2DDC" w:rsidRDefault="006B2DDC" w:rsidP="006B2DDC">
      <w:pPr>
        <w:jc w:val="center"/>
        <w:rPr>
          <w:rFonts w:ascii="Arial" w:hAnsi="Arial" w:cs="Arial"/>
          <w:b/>
          <w:bCs/>
          <w:sz w:val="24"/>
          <w:szCs w:val="24"/>
        </w:rPr>
      </w:pPr>
    </w:p>
    <w:p w14:paraId="21578697" w14:textId="03BE421C" w:rsidR="006B2DDC" w:rsidRPr="00807493" w:rsidRDefault="006B2DDC" w:rsidP="00807493">
      <w:pPr>
        <w:jc w:val="both"/>
        <w:rPr>
          <w:rFonts w:ascii="Arial" w:hAnsi="Arial" w:cs="Arial"/>
          <w:b/>
          <w:bCs/>
          <w:sz w:val="24"/>
          <w:szCs w:val="24"/>
          <w:u w:val="single"/>
        </w:rPr>
      </w:pPr>
      <w:r w:rsidRPr="00807493">
        <w:rPr>
          <w:rFonts w:ascii="Arial" w:hAnsi="Arial" w:cs="Arial"/>
          <w:b/>
          <w:bCs/>
          <w:sz w:val="24"/>
          <w:szCs w:val="24"/>
          <w:u w:val="single"/>
        </w:rPr>
        <w:t>Liste des figures</w:t>
      </w:r>
    </w:p>
    <w:p w14:paraId="268E97A9" w14:textId="4C956081" w:rsidR="003746A3" w:rsidRDefault="006B2DDC" w:rsidP="003746A3">
      <w:pPr>
        <w:pStyle w:val="TableofFigures"/>
        <w:tabs>
          <w:tab w:val="right" w:leader="dot" w:pos="9062"/>
        </w:tabs>
        <w:spacing w:line="360" w:lineRule="auto"/>
        <w:rPr>
          <w:rFonts w:eastAsiaTheme="minorEastAsia"/>
          <w:noProof/>
          <w:sz w:val="24"/>
          <w:szCs w:val="24"/>
        </w:rPr>
      </w:pPr>
      <w:r>
        <w:fldChar w:fldCharType="begin"/>
      </w:r>
      <w:r>
        <w:instrText xml:space="preserve"> TOC \h \z \c "Figure" </w:instrText>
      </w:r>
      <w:r>
        <w:fldChar w:fldCharType="separate"/>
      </w:r>
      <w:hyperlink w:anchor="_Toc94941314" w:history="1">
        <w:r w:rsidR="003746A3" w:rsidRPr="00536888">
          <w:rPr>
            <w:rStyle w:val="Hyperlink"/>
            <w:rFonts w:ascii="Arial" w:hAnsi="Arial" w:cs="Arial"/>
            <w:noProof/>
          </w:rPr>
          <w:t>Figure 1 :  Pyramide sanitaire illustrant l’organisation administrative et l’organisation des soins du système de santé</w:t>
        </w:r>
        <w:r w:rsidR="003746A3">
          <w:rPr>
            <w:noProof/>
            <w:webHidden/>
          </w:rPr>
          <w:tab/>
        </w:r>
        <w:r w:rsidR="003746A3">
          <w:rPr>
            <w:noProof/>
            <w:webHidden/>
          </w:rPr>
          <w:fldChar w:fldCharType="begin"/>
        </w:r>
        <w:r w:rsidR="003746A3">
          <w:rPr>
            <w:noProof/>
            <w:webHidden/>
          </w:rPr>
          <w:instrText xml:space="preserve"> PAGEREF _Toc94941314 \h </w:instrText>
        </w:r>
        <w:r w:rsidR="003746A3">
          <w:rPr>
            <w:noProof/>
            <w:webHidden/>
          </w:rPr>
        </w:r>
        <w:r w:rsidR="003746A3">
          <w:rPr>
            <w:noProof/>
            <w:webHidden/>
          </w:rPr>
          <w:fldChar w:fldCharType="separate"/>
        </w:r>
        <w:r w:rsidR="0021723B">
          <w:rPr>
            <w:noProof/>
            <w:webHidden/>
          </w:rPr>
          <w:t>10</w:t>
        </w:r>
        <w:r w:rsidR="003746A3">
          <w:rPr>
            <w:noProof/>
            <w:webHidden/>
          </w:rPr>
          <w:fldChar w:fldCharType="end"/>
        </w:r>
      </w:hyperlink>
    </w:p>
    <w:p w14:paraId="475CEF82" w14:textId="447350F8" w:rsidR="003746A3" w:rsidRDefault="006F7F7D" w:rsidP="003746A3">
      <w:pPr>
        <w:pStyle w:val="TableofFigures"/>
        <w:tabs>
          <w:tab w:val="right" w:leader="dot" w:pos="9062"/>
        </w:tabs>
        <w:spacing w:line="360" w:lineRule="auto"/>
        <w:rPr>
          <w:rFonts w:eastAsiaTheme="minorEastAsia"/>
          <w:noProof/>
          <w:sz w:val="24"/>
          <w:szCs w:val="24"/>
        </w:rPr>
      </w:pPr>
      <w:hyperlink w:anchor="_Toc94941315" w:history="1">
        <w:r w:rsidR="003746A3" w:rsidRPr="00536888">
          <w:rPr>
            <w:rStyle w:val="Hyperlink"/>
            <w:rFonts w:ascii="Arial" w:hAnsi="Arial" w:cs="Arial"/>
            <w:noProof/>
          </w:rPr>
          <w:t>Figure 2 :</w:t>
        </w:r>
        <w:r w:rsidR="003746A3" w:rsidRPr="00536888">
          <w:rPr>
            <w:rStyle w:val="Hyperlink"/>
            <w:noProof/>
          </w:rPr>
          <w:t xml:space="preserve"> </w:t>
        </w:r>
        <w:r w:rsidR="003746A3" w:rsidRPr="00536888">
          <w:rPr>
            <w:rStyle w:val="Hyperlink"/>
            <w:rFonts w:ascii="Arial" w:hAnsi="Arial" w:cs="Arial"/>
            <w:noProof/>
          </w:rPr>
          <w:t>Cartographie des outils/applications de collecte et de transmission des données par niveau de la pyramide sanitaire</w:t>
        </w:r>
        <w:r w:rsidR="003746A3">
          <w:rPr>
            <w:noProof/>
            <w:webHidden/>
          </w:rPr>
          <w:tab/>
        </w:r>
        <w:r w:rsidR="003746A3">
          <w:rPr>
            <w:noProof/>
            <w:webHidden/>
          </w:rPr>
          <w:fldChar w:fldCharType="begin"/>
        </w:r>
        <w:r w:rsidR="003746A3">
          <w:rPr>
            <w:noProof/>
            <w:webHidden/>
          </w:rPr>
          <w:instrText xml:space="preserve"> PAGEREF _Toc94941315 \h </w:instrText>
        </w:r>
        <w:r w:rsidR="003746A3">
          <w:rPr>
            <w:noProof/>
            <w:webHidden/>
          </w:rPr>
        </w:r>
        <w:r w:rsidR="003746A3">
          <w:rPr>
            <w:noProof/>
            <w:webHidden/>
          </w:rPr>
          <w:fldChar w:fldCharType="separate"/>
        </w:r>
        <w:r w:rsidR="0021723B">
          <w:rPr>
            <w:noProof/>
            <w:webHidden/>
          </w:rPr>
          <w:t>11</w:t>
        </w:r>
        <w:r w:rsidR="003746A3">
          <w:rPr>
            <w:noProof/>
            <w:webHidden/>
          </w:rPr>
          <w:fldChar w:fldCharType="end"/>
        </w:r>
      </w:hyperlink>
    </w:p>
    <w:p w14:paraId="535D2225" w14:textId="7A8F9C2C" w:rsidR="003746A3" w:rsidRDefault="006F7F7D" w:rsidP="003746A3">
      <w:pPr>
        <w:pStyle w:val="TableofFigures"/>
        <w:tabs>
          <w:tab w:val="right" w:leader="dot" w:pos="9062"/>
        </w:tabs>
        <w:spacing w:line="360" w:lineRule="auto"/>
        <w:rPr>
          <w:rFonts w:eastAsiaTheme="minorEastAsia"/>
          <w:noProof/>
          <w:sz w:val="24"/>
          <w:szCs w:val="24"/>
        </w:rPr>
      </w:pPr>
      <w:hyperlink w:anchor="_Toc94941316" w:history="1">
        <w:r w:rsidR="003746A3" w:rsidRPr="00536888">
          <w:rPr>
            <w:rStyle w:val="Hyperlink"/>
            <w:rFonts w:ascii="Arial" w:hAnsi="Arial" w:cs="Arial"/>
            <w:noProof/>
          </w:rPr>
          <w:t>Figure 3 : Présentation des types de Data Center en en fonction de leur disponibilité et de leur fiabilité</w:t>
        </w:r>
        <w:r w:rsidR="003746A3">
          <w:rPr>
            <w:noProof/>
            <w:webHidden/>
          </w:rPr>
          <w:tab/>
        </w:r>
        <w:r w:rsidR="003746A3">
          <w:rPr>
            <w:noProof/>
            <w:webHidden/>
          </w:rPr>
          <w:fldChar w:fldCharType="begin"/>
        </w:r>
        <w:r w:rsidR="003746A3">
          <w:rPr>
            <w:noProof/>
            <w:webHidden/>
          </w:rPr>
          <w:instrText xml:space="preserve"> PAGEREF _Toc94941316 \h </w:instrText>
        </w:r>
        <w:r w:rsidR="003746A3">
          <w:rPr>
            <w:noProof/>
            <w:webHidden/>
          </w:rPr>
        </w:r>
        <w:r w:rsidR="003746A3">
          <w:rPr>
            <w:noProof/>
            <w:webHidden/>
          </w:rPr>
          <w:fldChar w:fldCharType="separate"/>
        </w:r>
        <w:r w:rsidR="0021723B">
          <w:rPr>
            <w:noProof/>
            <w:webHidden/>
          </w:rPr>
          <w:t>18</w:t>
        </w:r>
        <w:r w:rsidR="003746A3">
          <w:rPr>
            <w:noProof/>
            <w:webHidden/>
          </w:rPr>
          <w:fldChar w:fldCharType="end"/>
        </w:r>
      </w:hyperlink>
    </w:p>
    <w:p w14:paraId="36F3D011" w14:textId="7E3F9C26" w:rsidR="003746A3" w:rsidRDefault="006F7F7D" w:rsidP="003746A3">
      <w:pPr>
        <w:pStyle w:val="TableofFigures"/>
        <w:tabs>
          <w:tab w:val="right" w:leader="dot" w:pos="9062"/>
        </w:tabs>
        <w:spacing w:line="360" w:lineRule="auto"/>
        <w:rPr>
          <w:rFonts w:eastAsiaTheme="minorEastAsia"/>
          <w:noProof/>
          <w:sz w:val="24"/>
          <w:szCs w:val="24"/>
        </w:rPr>
      </w:pPr>
      <w:hyperlink w:anchor="_Toc94941317" w:history="1">
        <w:r w:rsidR="003746A3" w:rsidRPr="00536888">
          <w:rPr>
            <w:rStyle w:val="Hyperlink"/>
            <w:rFonts w:ascii="Arial" w:hAnsi="Arial" w:cs="Arial"/>
            <w:noProof/>
          </w:rPr>
          <w:t>Figure 4 : Modèle architectural cible du Data Center du ministère de la santé et du système de redondance</w:t>
        </w:r>
        <w:r w:rsidR="003746A3">
          <w:rPr>
            <w:noProof/>
            <w:webHidden/>
          </w:rPr>
          <w:tab/>
        </w:r>
        <w:r w:rsidR="003746A3">
          <w:rPr>
            <w:noProof/>
            <w:webHidden/>
          </w:rPr>
          <w:fldChar w:fldCharType="begin"/>
        </w:r>
        <w:r w:rsidR="003746A3">
          <w:rPr>
            <w:noProof/>
            <w:webHidden/>
          </w:rPr>
          <w:instrText xml:space="preserve"> PAGEREF _Toc94941317 \h </w:instrText>
        </w:r>
        <w:r w:rsidR="003746A3">
          <w:rPr>
            <w:noProof/>
            <w:webHidden/>
          </w:rPr>
        </w:r>
        <w:r w:rsidR="003746A3">
          <w:rPr>
            <w:noProof/>
            <w:webHidden/>
          </w:rPr>
          <w:fldChar w:fldCharType="separate"/>
        </w:r>
        <w:r w:rsidR="0021723B">
          <w:rPr>
            <w:noProof/>
            <w:webHidden/>
          </w:rPr>
          <w:t>20</w:t>
        </w:r>
        <w:r w:rsidR="003746A3">
          <w:rPr>
            <w:noProof/>
            <w:webHidden/>
          </w:rPr>
          <w:fldChar w:fldCharType="end"/>
        </w:r>
      </w:hyperlink>
    </w:p>
    <w:p w14:paraId="4281E1DC" w14:textId="3269B894" w:rsidR="003746A3" w:rsidRDefault="006F7F7D" w:rsidP="003746A3">
      <w:pPr>
        <w:pStyle w:val="TableofFigures"/>
        <w:tabs>
          <w:tab w:val="right" w:leader="dot" w:pos="9062"/>
        </w:tabs>
        <w:spacing w:line="360" w:lineRule="auto"/>
        <w:rPr>
          <w:rFonts w:eastAsiaTheme="minorEastAsia"/>
          <w:noProof/>
          <w:sz w:val="24"/>
          <w:szCs w:val="24"/>
        </w:rPr>
      </w:pPr>
      <w:hyperlink w:anchor="_Toc94941318" w:history="1">
        <w:r w:rsidR="003746A3" w:rsidRPr="00536888">
          <w:rPr>
            <w:rStyle w:val="Hyperlink"/>
            <w:rFonts w:ascii="Arial" w:hAnsi="Arial" w:cs="Arial"/>
            <w:noProof/>
          </w:rPr>
          <w:t>Figure 5 :  Architecture cible attendue de l’entrepôt de données pour le renforcement du SNIS.</w:t>
        </w:r>
        <w:r w:rsidR="003746A3">
          <w:rPr>
            <w:noProof/>
            <w:webHidden/>
          </w:rPr>
          <w:tab/>
        </w:r>
        <w:r w:rsidR="003746A3">
          <w:rPr>
            <w:noProof/>
            <w:webHidden/>
          </w:rPr>
          <w:fldChar w:fldCharType="begin"/>
        </w:r>
        <w:r w:rsidR="003746A3">
          <w:rPr>
            <w:noProof/>
            <w:webHidden/>
          </w:rPr>
          <w:instrText xml:space="preserve"> PAGEREF _Toc94941318 \h </w:instrText>
        </w:r>
        <w:r w:rsidR="003746A3">
          <w:rPr>
            <w:noProof/>
            <w:webHidden/>
          </w:rPr>
        </w:r>
        <w:r w:rsidR="003746A3">
          <w:rPr>
            <w:noProof/>
            <w:webHidden/>
          </w:rPr>
          <w:fldChar w:fldCharType="separate"/>
        </w:r>
        <w:r w:rsidR="0021723B">
          <w:rPr>
            <w:noProof/>
            <w:webHidden/>
          </w:rPr>
          <w:t>23</w:t>
        </w:r>
        <w:r w:rsidR="003746A3">
          <w:rPr>
            <w:noProof/>
            <w:webHidden/>
          </w:rPr>
          <w:fldChar w:fldCharType="end"/>
        </w:r>
      </w:hyperlink>
    </w:p>
    <w:p w14:paraId="0BC28BEB" w14:textId="0FA7DE30" w:rsidR="003746A3" w:rsidRDefault="006F7F7D" w:rsidP="003746A3">
      <w:pPr>
        <w:pStyle w:val="TableofFigures"/>
        <w:tabs>
          <w:tab w:val="right" w:leader="dot" w:pos="9062"/>
        </w:tabs>
        <w:spacing w:line="360" w:lineRule="auto"/>
        <w:rPr>
          <w:rFonts w:eastAsiaTheme="minorEastAsia"/>
          <w:noProof/>
          <w:sz w:val="24"/>
          <w:szCs w:val="24"/>
        </w:rPr>
      </w:pPr>
      <w:hyperlink w:anchor="_Toc94941319" w:history="1">
        <w:r w:rsidR="003746A3" w:rsidRPr="00536888">
          <w:rPr>
            <w:rStyle w:val="Hyperlink"/>
            <w:rFonts w:ascii="Arial" w:hAnsi="Arial" w:cs="Arial"/>
            <w:noProof/>
          </w:rPr>
          <w:t>Figure 6 : Architecture réseau d’interconnexion du site primaire au PAV</w:t>
        </w:r>
        <w:r w:rsidR="003746A3">
          <w:rPr>
            <w:noProof/>
            <w:webHidden/>
          </w:rPr>
          <w:tab/>
        </w:r>
        <w:r w:rsidR="003746A3">
          <w:rPr>
            <w:noProof/>
            <w:webHidden/>
          </w:rPr>
          <w:fldChar w:fldCharType="begin"/>
        </w:r>
        <w:r w:rsidR="003746A3">
          <w:rPr>
            <w:noProof/>
            <w:webHidden/>
          </w:rPr>
          <w:instrText xml:space="preserve"> PAGEREF _Toc94941319 \h </w:instrText>
        </w:r>
        <w:r w:rsidR="003746A3">
          <w:rPr>
            <w:noProof/>
            <w:webHidden/>
          </w:rPr>
        </w:r>
        <w:r w:rsidR="003746A3">
          <w:rPr>
            <w:noProof/>
            <w:webHidden/>
          </w:rPr>
          <w:fldChar w:fldCharType="separate"/>
        </w:r>
        <w:r w:rsidR="0021723B">
          <w:rPr>
            <w:noProof/>
            <w:webHidden/>
          </w:rPr>
          <w:t>26</w:t>
        </w:r>
        <w:r w:rsidR="003746A3">
          <w:rPr>
            <w:noProof/>
            <w:webHidden/>
          </w:rPr>
          <w:fldChar w:fldCharType="end"/>
        </w:r>
      </w:hyperlink>
    </w:p>
    <w:p w14:paraId="417E656D" w14:textId="4217579E" w:rsidR="003746A3" w:rsidRDefault="006F7F7D" w:rsidP="003746A3">
      <w:pPr>
        <w:pStyle w:val="TableofFigures"/>
        <w:tabs>
          <w:tab w:val="right" w:leader="dot" w:pos="9062"/>
        </w:tabs>
        <w:spacing w:line="360" w:lineRule="auto"/>
        <w:rPr>
          <w:rFonts w:eastAsiaTheme="minorEastAsia"/>
          <w:noProof/>
          <w:sz w:val="24"/>
          <w:szCs w:val="24"/>
        </w:rPr>
      </w:pPr>
      <w:hyperlink w:anchor="_Toc94941320" w:history="1">
        <w:r w:rsidR="003746A3" w:rsidRPr="00536888">
          <w:rPr>
            <w:rStyle w:val="Hyperlink"/>
            <w:rFonts w:ascii="Arial" w:hAnsi="Arial" w:cs="Arial"/>
            <w:noProof/>
          </w:rPr>
          <w:t>Figure 7 : Diagramme de Gant du planning des activités</w:t>
        </w:r>
        <w:r w:rsidR="003746A3">
          <w:rPr>
            <w:noProof/>
            <w:webHidden/>
          </w:rPr>
          <w:tab/>
        </w:r>
        <w:r w:rsidR="003746A3">
          <w:rPr>
            <w:noProof/>
            <w:webHidden/>
          </w:rPr>
          <w:fldChar w:fldCharType="begin"/>
        </w:r>
        <w:r w:rsidR="003746A3">
          <w:rPr>
            <w:noProof/>
            <w:webHidden/>
          </w:rPr>
          <w:instrText xml:space="preserve"> PAGEREF _Toc94941320 \h </w:instrText>
        </w:r>
        <w:r w:rsidR="003746A3">
          <w:rPr>
            <w:noProof/>
            <w:webHidden/>
          </w:rPr>
        </w:r>
        <w:r w:rsidR="003746A3">
          <w:rPr>
            <w:noProof/>
            <w:webHidden/>
          </w:rPr>
          <w:fldChar w:fldCharType="separate"/>
        </w:r>
        <w:r w:rsidR="0021723B">
          <w:rPr>
            <w:noProof/>
            <w:webHidden/>
          </w:rPr>
          <w:t>37</w:t>
        </w:r>
        <w:r w:rsidR="003746A3">
          <w:rPr>
            <w:noProof/>
            <w:webHidden/>
          </w:rPr>
          <w:fldChar w:fldCharType="end"/>
        </w:r>
      </w:hyperlink>
    </w:p>
    <w:p w14:paraId="6A15B4A8" w14:textId="2905E323" w:rsidR="006B2DDC" w:rsidRPr="006B2DDC" w:rsidRDefault="006B2DDC" w:rsidP="006B2DDC">
      <w:r>
        <w:fldChar w:fldCharType="end"/>
      </w:r>
    </w:p>
    <w:p w14:paraId="67DF3FDB" w14:textId="77777777" w:rsidR="006B2DDC" w:rsidRDefault="006B2DDC" w:rsidP="000C68B4">
      <w:pPr>
        <w:pStyle w:val="Heading1"/>
        <w:rPr>
          <w:rFonts w:ascii="Arial" w:hAnsi="Arial" w:cs="Arial"/>
          <w:b/>
          <w:bCs/>
          <w:color w:val="000000" w:themeColor="text1"/>
          <w:sz w:val="26"/>
          <w:szCs w:val="26"/>
        </w:rPr>
        <w:sectPr w:rsidR="006B2DDC">
          <w:pgSz w:w="11906" w:h="16838"/>
          <w:pgMar w:top="1417" w:right="1417" w:bottom="1417" w:left="1417" w:header="708" w:footer="708" w:gutter="0"/>
          <w:cols w:space="708"/>
          <w:docGrid w:linePitch="360"/>
        </w:sectPr>
      </w:pPr>
    </w:p>
    <w:p w14:paraId="6233EE68" w14:textId="4FB80AB2" w:rsidR="004D346A" w:rsidRPr="000C68B4" w:rsidRDefault="00983F22" w:rsidP="000C68B4">
      <w:pPr>
        <w:pStyle w:val="Heading1"/>
        <w:rPr>
          <w:rFonts w:ascii="Arial" w:hAnsi="Arial" w:cs="Arial"/>
          <w:b/>
          <w:bCs/>
          <w:color w:val="000000" w:themeColor="text1"/>
          <w:sz w:val="26"/>
          <w:szCs w:val="26"/>
        </w:rPr>
      </w:pPr>
      <w:bookmarkStart w:id="3" w:name="_Toc95082851"/>
      <w:r w:rsidRPr="000C68B4">
        <w:rPr>
          <w:rFonts w:ascii="Arial" w:hAnsi="Arial" w:cs="Arial"/>
          <w:b/>
          <w:bCs/>
          <w:color w:val="000000" w:themeColor="text1"/>
          <w:sz w:val="26"/>
          <w:szCs w:val="26"/>
        </w:rPr>
        <w:lastRenderedPageBreak/>
        <w:t>INTRODUCTION</w:t>
      </w:r>
      <w:bookmarkEnd w:id="3"/>
      <w:r w:rsidRPr="000C68B4">
        <w:rPr>
          <w:rFonts w:ascii="Arial" w:hAnsi="Arial" w:cs="Arial"/>
          <w:b/>
          <w:bCs/>
          <w:color w:val="000000" w:themeColor="text1"/>
          <w:sz w:val="26"/>
          <w:szCs w:val="26"/>
        </w:rPr>
        <w:t xml:space="preserve"> </w:t>
      </w:r>
      <w:bookmarkEnd w:id="2"/>
    </w:p>
    <w:p w14:paraId="0883F814" w14:textId="75FBD02B" w:rsidR="007053E3" w:rsidRDefault="007053E3" w:rsidP="007053E3">
      <w:pPr>
        <w:spacing w:line="360" w:lineRule="auto"/>
        <w:jc w:val="both"/>
        <w:rPr>
          <w:rFonts w:ascii="Arial" w:hAnsi="Arial" w:cs="Arial"/>
          <w:sz w:val="24"/>
          <w:szCs w:val="24"/>
        </w:rPr>
      </w:pPr>
      <w:bookmarkStart w:id="4" w:name="_Toc86071253"/>
      <w:bookmarkStart w:id="5" w:name="_Toc86327576"/>
      <w:r w:rsidRPr="007234FD">
        <w:rPr>
          <w:rFonts w:ascii="Arial" w:hAnsi="Arial" w:cs="Arial"/>
          <w:sz w:val="24"/>
          <w:szCs w:val="24"/>
        </w:rPr>
        <w:t>L</w:t>
      </w:r>
      <w:r>
        <w:rPr>
          <w:rFonts w:ascii="Arial" w:hAnsi="Arial" w:cs="Arial"/>
          <w:sz w:val="24"/>
          <w:szCs w:val="24"/>
        </w:rPr>
        <w:t xml:space="preserve">a Guinée est </w:t>
      </w:r>
      <w:r w:rsidRPr="007234FD">
        <w:rPr>
          <w:rFonts w:ascii="Arial" w:hAnsi="Arial" w:cs="Arial"/>
          <w:sz w:val="24"/>
          <w:szCs w:val="24"/>
        </w:rPr>
        <w:t xml:space="preserve">un pays de l'Afrique de l’Ouest. </w:t>
      </w:r>
      <w:r w:rsidR="009D1661">
        <w:rPr>
          <w:rFonts w:ascii="Arial" w:hAnsi="Arial" w:cs="Arial"/>
          <w:sz w:val="24"/>
          <w:szCs w:val="24"/>
        </w:rPr>
        <w:t>Elle</w:t>
      </w:r>
      <w:r w:rsidR="009D1661" w:rsidRPr="007234FD">
        <w:rPr>
          <w:rFonts w:ascii="Arial" w:hAnsi="Arial" w:cs="Arial"/>
          <w:sz w:val="24"/>
          <w:szCs w:val="24"/>
        </w:rPr>
        <w:t xml:space="preserve"> </w:t>
      </w:r>
      <w:r w:rsidRPr="007234FD">
        <w:rPr>
          <w:rFonts w:ascii="Arial" w:hAnsi="Arial" w:cs="Arial"/>
          <w:sz w:val="24"/>
          <w:szCs w:val="24"/>
        </w:rPr>
        <w:t>est situé</w:t>
      </w:r>
      <w:r w:rsidR="009D1661">
        <w:rPr>
          <w:rFonts w:ascii="Arial" w:hAnsi="Arial" w:cs="Arial"/>
          <w:sz w:val="24"/>
          <w:szCs w:val="24"/>
        </w:rPr>
        <w:t>e</w:t>
      </w:r>
      <w:r w:rsidRPr="007234FD">
        <w:rPr>
          <w:rFonts w:ascii="Arial" w:hAnsi="Arial" w:cs="Arial"/>
          <w:sz w:val="24"/>
          <w:szCs w:val="24"/>
        </w:rPr>
        <w:t xml:space="preserve"> dans </w:t>
      </w:r>
      <w:r w:rsidRPr="00983F22">
        <w:rPr>
          <w:rFonts w:ascii="Arial" w:hAnsi="Arial" w:cs="Arial"/>
          <w:sz w:val="24"/>
          <w:szCs w:val="24"/>
        </w:rPr>
        <w:t>9° 30′ N, 13° 43′ O</w:t>
      </w:r>
      <w:r w:rsidRPr="007234FD">
        <w:rPr>
          <w:rFonts w:ascii="Arial" w:hAnsi="Arial" w:cs="Arial"/>
          <w:sz w:val="24"/>
          <w:szCs w:val="24"/>
        </w:rPr>
        <w:t xml:space="preserve"> avec une superficie totale de </w:t>
      </w:r>
      <w:r w:rsidRPr="00983F22">
        <w:rPr>
          <w:rFonts w:ascii="Arial" w:hAnsi="Arial" w:cs="Arial"/>
          <w:sz w:val="24"/>
          <w:szCs w:val="24"/>
        </w:rPr>
        <w:t>245 857 km</w:t>
      </w:r>
      <w:r w:rsidRPr="00900412">
        <w:rPr>
          <w:rFonts w:ascii="Arial" w:hAnsi="Arial" w:cs="Arial"/>
          <w:sz w:val="24"/>
          <w:szCs w:val="24"/>
          <w:vertAlign w:val="superscript"/>
        </w:rPr>
        <w:t>2</w:t>
      </w:r>
      <w:r w:rsidRPr="007234FD">
        <w:rPr>
          <w:rFonts w:ascii="Arial" w:hAnsi="Arial" w:cs="Arial"/>
          <w:sz w:val="24"/>
          <w:szCs w:val="24"/>
        </w:rPr>
        <w:t xml:space="preserve">. </w:t>
      </w:r>
      <w:r w:rsidRPr="00983F22">
        <w:rPr>
          <w:rFonts w:ascii="Arial" w:hAnsi="Arial" w:cs="Arial"/>
          <w:sz w:val="24"/>
          <w:szCs w:val="24"/>
        </w:rPr>
        <w:t>Elle est entourée de la Guinée-Bissau à l'ouest-nord-ouest, du Sénégal au nord-ouest, du Mali à l'est-nord-est, de la Côte d'Ivoire au sud-est, du Liberia au sud-sud-est</w:t>
      </w:r>
      <w:r w:rsidR="00347247">
        <w:rPr>
          <w:rFonts w:ascii="Arial" w:hAnsi="Arial" w:cs="Arial"/>
          <w:sz w:val="24"/>
          <w:szCs w:val="24"/>
        </w:rPr>
        <w:t>,</w:t>
      </w:r>
      <w:r w:rsidRPr="00983F22">
        <w:rPr>
          <w:rFonts w:ascii="Arial" w:hAnsi="Arial" w:cs="Arial"/>
          <w:sz w:val="24"/>
          <w:szCs w:val="24"/>
        </w:rPr>
        <w:t xml:space="preserve"> de la Sierra Leone à l'ouest-sud-ouest et de l'océan Atlantique à l'ouest.</w:t>
      </w:r>
      <w:r>
        <w:rPr>
          <w:rFonts w:ascii="Arial" w:hAnsi="Arial" w:cs="Arial"/>
          <w:sz w:val="24"/>
          <w:szCs w:val="24"/>
        </w:rPr>
        <w:t xml:space="preserve"> </w:t>
      </w:r>
      <w:r w:rsidRPr="007234FD">
        <w:rPr>
          <w:rFonts w:ascii="Arial" w:hAnsi="Arial" w:cs="Arial"/>
          <w:sz w:val="24"/>
          <w:szCs w:val="24"/>
        </w:rPr>
        <w:t xml:space="preserve">Sa population est estimée à </w:t>
      </w:r>
      <w:r w:rsidRPr="00983F22">
        <w:rPr>
          <w:rFonts w:ascii="Arial" w:hAnsi="Arial" w:cs="Arial"/>
          <w:sz w:val="24"/>
          <w:szCs w:val="24"/>
        </w:rPr>
        <w:t>13</w:t>
      </w:r>
      <w:r>
        <w:rPr>
          <w:rFonts w:ascii="Arial" w:hAnsi="Arial" w:cs="Arial"/>
          <w:sz w:val="24"/>
          <w:szCs w:val="24"/>
        </w:rPr>
        <w:t>,</w:t>
      </w:r>
      <w:r w:rsidRPr="00983F22">
        <w:rPr>
          <w:rFonts w:ascii="Arial" w:hAnsi="Arial" w:cs="Arial"/>
          <w:sz w:val="24"/>
          <w:szCs w:val="24"/>
        </w:rPr>
        <w:t>13 millions</w:t>
      </w:r>
      <w:r w:rsidRPr="007234FD">
        <w:rPr>
          <w:rFonts w:ascii="Arial" w:hAnsi="Arial" w:cs="Arial"/>
          <w:sz w:val="24"/>
          <w:szCs w:val="24"/>
        </w:rPr>
        <w:t xml:space="preserve"> habitants en </w:t>
      </w:r>
      <w:r>
        <w:rPr>
          <w:rFonts w:ascii="Arial" w:hAnsi="Arial" w:cs="Arial"/>
          <w:sz w:val="24"/>
          <w:szCs w:val="24"/>
        </w:rPr>
        <w:t>2020</w:t>
      </w:r>
      <w:r w:rsidRPr="007234FD">
        <w:rPr>
          <w:rFonts w:ascii="Arial" w:hAnsi="Arial" w:cs="Arial"/>
          <w:sz w:val="24"/>
          <w:szCs w:val="24"/>
        </w:rPr>
        <w:t xml:space="preserve">. </w:t>
      </w:r>
    </w:p>
    <w:p w14:paraId="49D0D322" w14:textId="1888EA92" w:rsidR="007053E3" w:rsidRPr="007053E3" w:rsidRDefault="007053E3" w:rsidP="007053E3">
      <w:pPr>
        <w:spacing w:line="360" w:lineRule="auto"/>
        <w:jc w:val="both"/>
        <w:rPr>
          <w:rFonts w:ascii="Arial" w:hAnsi="Arial" w:cs="Arial"/>
          <w:sz w:val="24"/>
          <w:szCs w:val="24"/>
        </w:rPr>
      </w:pPr>
      <w:r>
        <w:rPr>
          <w:rFonts w:ascii="Arial" w:hAnsi="Arial" w:cs="Arial"/>
          <w:sz w:val="24"/>
          <w:szCs w:val="24"/>
        </w:rPr>
        <w:t>Sur le plan administratif</w:t>
      </w:r>
      <w:r w:rsidR="00686AF0">
        <w:rPr>
          <w:rFonts w:ascii="Arial" w:hAnsi="Arial" w:cs="Arial"/>
          <w:sz w:val="24"/>
          <w:szCs w:val="24"/>
        </w:rPr>
        <w:t>,</w:t>
      </w:r>
      <w:r>
        <w:rPr>
          <w:rFonts w:ascii="Arial" w:hAnsi="Arial" w:cs="Arial"/>
          <w:sz w:val="24"/>
          <w:szCs w:val="24"/>
        </w:rPr>
        <w:t xml:space="preserve"> l</w:t>
      </w:r>
      <w:r w:rsidRPr="007234FD">
        <w:rPr>
          <w:rFonts w:ascii="Arial" w:hAnsi="Arial" w:cs="Arial"/>
          <w:sz w:val="24"/>
          <w:szCs w:val="24"/>
        </w:rPr>
        <w:t xml:space="preserve">e pays est divisé en </w:t>
      </w:r>
      <w:r>
        <w:rPr>
          <w:rFonts w:ascii="Arial" w:hAnsi="Arial" w:cs="Arial"/>
          <w:sz w:val="24"/>
          <w:szCs w:val="24"/>
        </w:rPr>
        <w:t>8</w:t>
      </w:r>
      <w:r w:rsidRPr="007234FD">
        <w:rPr>
          <w:rFonts w:ascii="Arial" w:hAnsi="Arial" w:cs="Arial"/>
          <w:sz w:val="24"/>
          <w:szCs w:val="24"/>
        </w:rPr>
        <w:t xml:space="preserve"> régions</w:t>
      </w:r>
      <w:r w:rsidR="00347247">
        <w:rPr>
          <w:rFonts w:ascii="Arial" w:hAnsi="Arial" w:cs="Arial"/>
          <w:sz w:val="24"/>
          <w:szCs w:val="24"/>
        </w:rPr>
        <w:t xml:space="preserve"> qui</w:t>
      </w:r>
      <w:r>
        <w:rPr>
          <w:rFonts w:ascii="Arial" w:hAnsi="Arial" w:cs="Arial"/>
          <w:sz w:val="24"/>
          <w:szCs w:val="24"/>
        </w:rPr>
        <w:t xml:space="preserve"> sont subdivisées en 33 </w:t>
      </w:r>
      <w:proofErr w:type="gramStart"/>
      <w:r>
        <w:rPr>
          <w:rFonts w:ascii="Arial" w:hAnsi="Arial" w:cs="Arial"/>
          <w:sz w:val="24"/>
          <w:szCs w:val="24"/>
        </w:rPr>
        <w:t xml:space="preserve">préfectures </w:t>
      </w:r>
      <w:r w:rsidR="00347247">
        <w:rPr>
          <w:rFonts w:ascii="Arial" w:hAnsi="Arial" w:cs="Arial"/>
          <w:sz w:val="24"/>
          <w:szCs w:val="24"/>
        </w:rPr>
        <w:t xml:space="preserve"> et</w:t>
      </w:r>
      <w:proofErr w:type="gramEnd"/>
      <w:r w:rsidR="00347247">
        <w:rPr>
          <w:rFonts w:ascii="Arial" w:hAnsi="Arial" w:cs="Arial"/>
          <w:sz w:val="24"/>
          <w:szCs w:val="24"/>
        </w:rPr>
        <w:t xml:space="preserve"> </w:t>
      </w:r>
      <w:r>
        <w:rPr>
          <w:rFonts w:ascii="Arial" w:hAnsi="Arial" w:cs="Arial"/>
          <w:sz w:val="24"/>
          <w:szCs w:val="24"/>
        </w:rPr>
        <w:t>5</w:t>
      </w:r>
      <w:r w:rsidRPr="007234FD">
        <w:rPr>
          <w:rFonts w:ascii="Arial" w:hAnsi="Arial" w:cs="Arial"/>
          <w:sz w:val="24"/>
          <w:szCs w:val="24"/>
        </w:rPr>
        <w:t xml:space="preserve"> communes.</w:t>
      </w:r>
      <w:r>
        <w:rPr>
          <w:rFonts w:ascii="Arial" w:hAnsi="Arial" w:cs="Arial"/>
          <w:sz w:val="24"/>
          <w:szCs w:val="24"/>
        </w:rPr>
        <w:t xml:space="preserve"> </w:t>
      </w:r>
      <w:r w:rsidRPr="007234FD">
        <w:rPr>
          <w:rFonts w:ascii="Arial" w:hAnsi="Arial" w:cs="Arial"/>
          <w:sz w:val="24"/>
          <w:szCs w:val="24"/>
        </w:rPr>
        <w:t xml:space="preserve">  </w:t>
      </w:r>
    </w:p>
    <w:bookmarkEnd w:id="4"/>
    <w:bookmarkEnd w:id="5"/>
    <w:p w14:paraId="1F07964E" w14:textId="119B9E0E" w:rsidR="007053E3" w:rsidRPr="00956EF2" w:rsidRDefault="007053E3" w:rsidP="007053E3">
      <w:pPr>
        <w:spacing w:line="360" w:lineRule="auto"/>
        <w:jc w:val="both"/>
        <w:rPr>
          <w:rFonts w:ascii="Arial" w:hAnsi="Arial" w:cs="Arial"/>
          <w:sz w:val="24"/>
          <w:szCs w:val="24"/>
        </w:rPr>
      </w:pPr>
      <w:r w:rsidRPr="003665D4">
        <w:rPr>
          <w:rFonts w:ascii="Arial" w:hAnsi="Arial" w:cs="Arial"/>
          <w:sz w:val="24"/>
          <w:szCs w:val="24"/>
        </w:rPr>
        <w:t>Le paludisme représente 40,82% des consultations et 36% des causes de décès hospitaliers</w:t>
      </w:r>
      <w:r>
        <w:rPr>
          <w:rFonts w:ascii="Arial" w:hAnsi="Arial" w:cs="Arial"/>
          <w:sz w:val="24"/>
          <w:szCs w:val="24"/>
        </w:rPr>
        <w:t xml:space="preserve">. </w:t>
      </w:r>
      <w:r w:rsidRPr="003665D4">
        <w:rPr>
          <w:rFonts w:ascii="Arial" w:hAnsi="Arial" w:cs="Arial"/>
          <w:sz w:val="24"/>
          <w:szCs w:val="24"/>
        </w:rPr>
        <w:t>Par ailleurs, le pays est également confronté à des épidémies de maladies émergentes tel</w:t>
      </w:r>
      <w:r w:rsidR="00347247">
        <w:rPr>
          <w:rFonts w:ascii="Arial" w:hAnsi="Arial" w:cs="Arial"/>
          <w:sz w:val="24"/>
          <w:szCs w:val="24"/>
        </w:rPr>
        <w:t>les</w:t>
      </w:r>
      <w:r w:rsidRPr="003665D4">
        <w:rPr>
          <w:rFonts w:ascii="Arial" w:hAnsi="Arial" w:cs="Arial"/>
          <w:sz w:val="24"/>
          <w:szCs w:val="24"/>
        </w:rPr>
        <w:t xml:space="preserve"> que</w:t>
      </w:r>
      <w:r>
        <w:rPr>
          <w:rFonts w:ascii="Arial" w:hAnsi="Arial" w:cs="Arial"/>
          <w:sz w:val="24"/>
          <w:szCs w:val="24"/>
        </w:rPr>
        <w:t xml:space="preserve"> l</w:t>
      </w:r>
      <w:r w:rsidRPr="003665D4">
        <w:rPr>
          <w:rFonts w:ascii="Arial" w:hAnsi="Arial" w:cs="Arial"/>
          <w:sz w:val="24"/>
          <w:szCs w:val="24"/>
        </w:rPr>
        <w:t>'épidémie de la maladie à virus Ebola (MVE)</w:t>
      </w:r>
      <w:r>
        <w:rPr>
          <w:rFonts w:ascii="Arial" w:hAnsi="Arial" w:cs="Arial"/>
          <w:sz w:val="24"/>
          <w:szCs w:val="24"/>
        </w:rPr>
        <w:t xml:space="preserve"> qui est survenu</w:t>
      </w:r>
      <w:r w:rsidR="00686AF0">
        <w:rPr>
          <w:rFonts w:ascii="Arial" w:hAnsi="Arial" w:cs="Arial"/>
          <w:sz w:val="24"/>
          <w:szCs w:val="24"/>
        </w:rPr>
        <w:t>e</w:t>
      </w:r>
      <w:r>
        <w:rPr>
          <w:rFonts w:ascii="Arial" w:hAnsi="Arial" w:cs="Arial"/>
          <w:sz w:val="24"/>
          <w:szCs w:val="24"/>
        </w:rPr>
        <w:t xml:space="preserve"> entre mars 2014 et avril 2016 (environ 3814 décès)</w:t>
      </w:r>
      <w:r w:rsidRPr="003665D4">
        <w:rPr>
          <w:rFonts w:ascii="Arial" w:hAnsi="Arial" w:cs="Arial"/>
          <w:sz w:val="24"/>
          <w:szCs w:val="24"/>
        </w:rPr>
        <w:t>, et la Covid-19</w:t>
      </w:r>
      <w:r>
        <w:rPr>
          <w:rFonts w:ascii="Arial" w:hAnsi="Arial" w:cs="Arial"/>
          <w:sz w:val="24"/>
          <w:szCs w:val="24"/>
        </w:rPr>
        <w:t xml:space="preserve"> depuis 2020.</w:t>
      </w:r>
      <w:r w:rsidRPr="003665D4">
        <w:rPr>
          <w:rFonts w:ascii="Arial" w:hAnsi="Arial" w:cs="Arial"/>
          <w:sz w:val="24"/>
          <w:szCs w:val="24"/>
        </w:rPr>
        <w:t xml:space="preserve"> </w:t>
      </w:r>
      <w:r>
        <w:rPr>
          <w:rFonts w:ascii="Arial" w:hAnsi="Arial" w:cs="Arial"/>
          <w:sz w:val="24"/>
          <w:szCs w:val="24"/>
        </w:rPr>
        <w:t>La p</w:t>
      </w:r>
      <w:r w:rsidRPr="003665D4">
        <w:rPr>
          <w:rFonts w:ascii="Arial" w:hAnsi="Arial" w:cs="Arial"/>
          <w:sz w:val="24"/>
          <w:szCs w:val="24"/>
        </w:rPr>
        <w:t>révalence d’insécurité alimentaire</w:t>
      </w:r>
      <w:r>
        <w:rPr>
          <w:rFonts w:ascii="Arial" w:hAnsi="Arial" w:cs="Arial"/>
          <w:sz w:val="24"/>
          <w:szCs w:val="24"/>
        </w:rPr>
        <w:t>, le t</w:t>
      </w:r>
      <w:r w:rsidRPr="003665D4">
        <w:rPr>
          <w:rFonts w:ascii="Arial" w:hAnsi="Arial" w:cs="Arial"/>
          <w:sz w:val="24"/>
          <w:szCs w:val="24"/>
        </w:rPr>
        <w:t>aux de prévalence du VIH/SIDA</w:t>
      </w:r>
      <w:r>
        <w:rPr>
          <w:rFonts w:ascii="Arial" w:hAnsi="Arial" w:cs="Arial"/>
          <w:sz w:val="24"/>
          <w:szCs w:val="24"/>
        </w:rPr>
        <w:t>, et la p</w:t>
      </w:r>
      <w:r w:rsidRPr="003665D4">
        <w:rPr>
          <w:rFonts w:ascii="Arial" w:hAnsi="Arial" w:cs="Arial"/>
          <w:sz w:val="24"/>
          <w:szCs w:val="24"/>
        </w:rPr>
        <w:t>révalence de l’insuffisance pondérale chez les enfants de moins de 5 ans</w:t>
      </w:r>
      <w:r>
        <w:rPr>
          <w:rFonts w:ascii="Arial" w:hAnsi="Arial" w:cs="Arial"/>
          <w:sz w:val="24"/>
          <w:szCs w:val="24"/>
        </w:rPr>
        <w:t xml:space="preserve"> sont </w:t>
      </w:r>
      <w:r w:rsidR="00347247">
        <w:rPr>
          <w:rFonts w:ascii="Arial" w:hAnsi="Arial" w:cs="Arial"/>
          <w:sz w:val="24"/>
          <w:szCs w:val="24"/>
        </w:rPr>
        <w:t xml:space="preserve">respectivement </w:t>
      </w:r>
      <w:r>
        <w:rPr>
          <w:rFonts w:ascii="Arial" w:hAnsi="Arial" w:cs="Arial"/>
          <w:sz w:val="24"/>
          <w:szCs w:val="24"/>
        </w:rPr>
        <w:t>resté</w:t>
      </w:r>
      <w:r w:rsidR="00686AF0">
        <w:rPr>
          <w:rFonts w:ascii="Arial" w:hAnsi="Arial" w:cs="Arial"/>
          <w:sz w:val="24"/>
          <w:szCs w:val="24"/>
        </w:rPr>
        <w:t>s</w:t>
      </w:r>
      <w:r>
        <w:rPr>
          <w:rFonts w:ascii="Arial" w:hAnsi="Arial" w:cs="Arial"/>
          <w:sz w:val="24"/>
          <w:szCs w:val="24"/>
        </w:rPr>
        <w:t xml:space="preserve"> stable</w:t>
      </w:r>
      <w:r w:rsidR="00686AF0">
        <w:rPr>
          <w:rFonts w:ascii="Arial" w:hAnsi="Arial" w:cs="Arial"/>
          <w:sz w:val="24"/>
          <w:szCs w:val="24"/>
        </w:rPr>
        <w:t>s</w:t>
      </w:r>
      <w:r>
        <w:rPr>
          <w:rFonts w:ascii="Arial" w:hAnsi="Arial" w:cs="Arial"/>
          <w:sz w:val="24"/>
          <w:szCs w:val="24"/>
        </w:rPr>
        <w:t xml:space="preserve"> sur la même période </w:t>
      </w:r>
      <w:r w:rsidR="0021723B">
        <w:rPr>
          <w:rFonts w:ascii="Arial" w:hAnsi="Arial" w:cs="Arial"/>
          <w:sz w:val="24"/>
          <w:szCs w:val="24"/>
        </w:rPr>
        <w:t xml:space="preserve">de mars 2014 à avril 2016 </w:t>
      </w:r>
      <w:r>
        <w:rPr>
          <w:rFonts w:ascii="Arial" w:hAnsi="Arial" w:cs="Arial"/>
          <w:sz w:val="24"/>
          <w:szCs w:val="24"/>
        </w:rPr>
        <w:t>(</w:t>
      </w:r>
      <w:r w:rsidR="00347247">
        <w:rPr>
          <w:rFonts w:ascii="Arial" w:hAnsi="Arial" w:cs="Arial"/>
          <w:sz w:val="24"/>
          <w:szCs w:val="24"/>
        </w:rPr>
        <w:t>respectivement</w:t>
      </w:r>
      <w:r w:rsidR="00347247" w:rsidRPr="003665D4">
        <w:rPr>
          <w:rFonts w:ascii="Arial" w:hAnsi="Arial" w:cs="Arial"/>
          <w:sz w:val="24"/>
          <w:szCs w:val="24"/>
        </w:rPr>
        <w:t xml:space="preserve"> </w:t>
      </w:r>
      <w:r w:rsidRPr="003665D4">
        <w:rPr>
          <w:rFonts w:ascii="Arial" w:hAnsi="Arial" w:cs="Arial"/>
          <w:sz w:val="24"/>
          <w:szCs w:val="24"/>
        </w:rPr>
        <w:t>21,8</w:t>
      </w:r>
      <w:r>
        <w:rPr>
          <w:rFonts w:ascii="Arial" w:hAnsi="Arial" w:cs="Arial"/>
          <w:sz w:val="24"/>
          <w:szCs w:val="24"/>
        </w:rPr>
        <w:t xml:space="preserve"> ; 1,7 et 16,3). </w:t>
      </w:r>
      <w:r w:rsidRPr="00956EF2">
        <w:rPr>
          <w:rFonts w:ascii="Arial" w:hAnsi="Arial" w:cs="Arial"/>
          <w:sz w:val="24"/>
          <w:szCs w:val="24"/>
        </w:rPr>
        <w:t>Les principales causes de morbidité et de mortalité sont les maladies infectieuses.</w:t>
      </w:r>
    </w:p>
    <w:p w14:paraId="5A09560B" w14:textId="42CAF48C" w:rsidR="00160D8B" w:rsidRDefault="007053E3" w:rsidP="00160D8B">
      <w:pPr>
        <w:spacing w:line="360" w:lineRule="auto"/>
        <w:jc w:val="both"/>
        <w:rPr>
          <w:rFonts w:ascii="Arial" w:hAnsi="Arial" w:cs="Arial"/>
          <w:sz w:val="24"/>
          <w:szCs w:val="24"/>
        </w:rPr>
      </w:pPr>
      <w:r w:rsidRPr="00956EF2">
        <w:rPr>
          <w:rFonts w:ascii="Arial" w:hAnsi="Arial" w:cs="Arial"/>
          <w:sz w:val="24"/>
          <w:szCs w:val="24"/>
        </w:rPr>
        <w:t xml:space="preserve">L’évolution des indicateurs de santé montre que l’état de santé général de la population </w:t>
      </w:r>
      <w:r>
        <w:rPr>
          <w:rFonts w:ascii="Arial" w:hAnsi="Arial" w:cs="Arial"/>
          <w:sz w:val="24"/>
          <w:szCs w:val="24"/>
        </w:rPr>
        <w:t>n’a pas connu de changement significatif ces trois dernières années</w:t>
      </w:r>
      <w:r w:rsidRPr="00956EF2">
        <w:rPr>
          <w:rFonts w:ascii="Arial" w:hAnsi="Arial" w:cs="Arial"/>
          <w:sz w:val="24"/>
          <w:szCs w:val="24"/>
        </w:rPr>
        <w:t xml:space="preserve">. En effet, </w:t>
      </w:r>
      <w:r>
        <w:rPr>
          <w:rFonts w:ascii="Arial" w:hAnsi="Arial" w:cs="Arial"/>
          <w:sz w:val="24"/>
          <w:szCs w:val="24"/>
        </w:rPr>
        <w:t>selon les indicateurs clé</w:t>
      </w:r>
      <w:r w:rsidR="00686AF0">
        <w:rPr>
          <w:rFonts w:ascii="Arial" w:hAnsi="Arial" w:cs="Arial"/>
          <w:sz w:val="24"/>
          <w:szCs w:val="24"/>
        </w:rPr>
        <w:t>s</w:t>
      </w:r>
      <w:r>
        <w:rPr>
          <w:rFonts w:ascii="Arial" w:hAnsi="Arial" w:cs="Arial"/>
          <w:sz w:val="24"/>
          <w:szCs w:val="24"/>
        </w:rPr>
        <w:t xml:space="preserve"> du PNDS, </w:t>
      </w:r>
      <w:r w:rsidRPr="00956EF2">
        <w:rPr>
          <w:rFonts w:ascii="Arial" w:hAnsi="Arial" w:cs="Arial"/>
          <w:sz w:val="24"/>
          <w:szCs w:val="24"/>
        </w:rPr>
        <w:t xml:space="preserve">l’espérance de vie à la naissance est passée de </w:t>
      </w:r>
      <w:r>
        <w:rPr>
          <w:rFonts w:ascii="Arial" w:hAnsi="Arial" w:cs="Arial"/>
          <w:sz w:val="24"/>
          <w:szCs w:val="24"/>
        </w:rPr>
        <w:t>60,3</w:t>
      </w:r>
      <w:r w:rsidRPr="00956EF2">
        <w:rPr>
          <w:rFonts w:ascii="Arial" w:hAnsi="Arial" w:cs="Arial"/>
          <w:sz w:val="24"/>
          <w:szCs w:val="24"/>
        </w:rPr>
        <w:t xml:space="preserve"> ans en </w:t>
      </w:r>
      <w:r>
        <w:rPr>
          <w:rFonts w:ascii="Arial" w:hAnsi="Arial" w:cs="Arial"/>
          <w:sz w:val="24"/>
          <w:szCs w:val="24"/>
        </w:rPr>
        <w:t>2018</w:t>
      </w:r>
      <w:r w:rsidRPr="00956EF2">
        <w:rPr>
          <w:rFonts w:ascii="Arial" w:hAnsi="Arial" w:cs="Arial"/>
          <w:sz w:val="24"/>
          <w:szCs w:val="24"/>
        </w:rPr>
        <w:t xml:space="preserve"> à </w:t>
      </w:r>
      <w:r>
        <w:rPr>
          <w:rFonts w:ascii="Arial" w:hAnsi="Arial" w:cs="Arial"/>
          <w:sz w:val="24"/>
          <w:szCs w:val="24"/>
        </w:rPr>
        <w:t>60,6</w:t>
      </w:r>
      <w:r w:rsidRPr="00956EF2">
        <w:rPr>
          <w:rFonts w:ascii="Arial" w:hAnsi="Arial" w:cs="Arial"/>
          <w:sz w:val="24"/>
          <w:szCs w:val="24"/>
        </w:rPr>
        <w:t xml:space="preserve"> ans en </w:t>
      </w:r>
      <w:r>
        <w:rPr>
          <w:rFonts w:ascii="Arial" w:hAnsi="Arial" w:cs="Arial"/>
          <w:sz w:val="24"/>
          <w:szCs w:val="24"/>
        </w:rPr>
        <w:t>2019</w:t>
      </w:r>
      <w:r w:rsidRPr="00956EF2">
        <w:rPr>
          <w:rFonts w:ascii="Arial" w:hAnsi="Arial" w:cs="Arial"/>
          <w:sz w:val="24"/>
          <w:szCs w:val="24"/>
        </w:rPr>
        <w:t xml:space="preserve">. </w:t>
      </w:r>
    </w:p>
    <w:p w14:paraId="3ECB83B4" w14:textId="49FA2307" w:rsidR="00160D8B" w:rsidRDefault="00160D8B" w:rsidP="00160D8B">
      <w:pPr>
        <w:spacing w:line="360" w:lineRule="auto"/>
        <w:jc w:val="both"/>
        <w:rPr>
          <w:rFonts w:ascii="Arial" w:hAnsi="Arial" w:cs="Arial"/>
          <w:sz w:val="24"/>
          <w:szCs w:val="24"/>
        </w:rPr>
      </w:pPr>
      <w:r>
        <w:rPr>
          <w:rFonts w:ascii="Arial" w:hAnsi="Arial" w:cs="Arial"/>
          <w:sz w:val="24"/>
          <w:szCs w:val="24"/>
        </w:rPr>
        <w:t>La Guinée dispose d’un r</w:t>
      </w:r>
      <w:r w:rsidRPr="00160D8B">
        <w:rPr>
          <w:rFonts w:ascii="Arial" w:hAnsi="Arial" w:cs="Arial"/>
          <w:sz w:val="24"/>
          <w:szCs w:val="24"/>
        </w:rPr>
        <w:t>éseau métropolitain</w:t>
      </w:r>
      <w:r>
        <w:rPr>
          <w:rFonts w:ascii="Arial" w:hAnsi="Arial" w:cs="Arial"/>
          <w:sz w:val="24"/>
          <w:szCs w:val="24"/>
        </w:rPr>
        <w:t xml:space="preserve"> r</w:t>
      </w:r>
      <w:r w:rsidRPr="00160D8B">
        <w:rPr>
          <w:rFonts w:ascii="Arial" w:hAnsi="Arial" w:cs="Arial"/>
          <w:sz w:val="24"/>
          <w:szCs w:val="24"/>
        </w:rPr>
        <w:t>éalisé sur une infrastructure à fibre optique en deux boucles qui couvrent la capitale et les banlieues sur près de 100 km</w:t>
      </w:r>
      <w:r>
        <w:rPr>
          <w:rFonts w:ascii="Arial" w:hAnsi="Arial" w:cs="Arial"/>
          <w:sz w:val="24"/>
          <w:szCs w:val="24"/>
        </w:rPr>
        <w:t>. Le taux de pénétration de la téléphonie mobile est estimé à</w:t>
      </w:r>
      <w:r w:rsidRPr="00160D8B">
        <w:rPr>
          <w:rFonts w:ascii="Arial" w:hAnsi="Arial" w:cs="Arial"/>
          <w:sz w:val="24"/>
          <w:szCs w:val="24"/>
        </w:rPr>
        <w:t xml:space="preserve"> 95,33 %</w:t>
      </w:r>
      <w:r>
        <w:rPr>
          <w:rFonts w:ascii="Arial" w:hAnsi="Arial" w:cs="Arial"/>
          <w:sz w:val="24"/>
          <w:szCs w:val="24"/>
        </w:rPr>
        <w:t>.</w:t>
      </w:r>
    </w:p>
    <w:p w14:paraId="6D875DE9" w14:textId="0F9B9447" w:rsid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 xml:space="preserve">L’utilisation des technologies de l’information et de la communication (TIC) constitue une alternative pour améliorer les capacités du système de santé à offrir de meilleures prestations, tout en fournissant une information sanitaire de qualité en temps réel. Le </w:t>
      </w:r>
      <w:r w:rsidR="00686AF0">
        <w:rPr>
          <w:rFonts w:ascii="Arial" w:hAnsi="Arial" w:cs="Arial"/>
          <w:sz w:val="24"/>
          <w:szCs w:val="24"/>
        </w:rPr>
        <w:t>m</w:t>
      </w:r>
      <w:r w:rsidRPr="007053E3">
        <w:rPr>
          <w:rFonts w:ascii="Arial" w:hAnsi="Arial" w:cs="Arial"/>
          <w:sz w:val="24"/>
          <w:szCs w:val="24"/>
        </w:rPr>
        <w:t xml:space="preserve">inistère de la Santé </w:t>
      </w:r>
      <w:r w:rsidR="00686AF0">
        <w:rPr>
          <w:rFonts w:ascii="Arial" w:hAnsi="Arial" w:cs="Arial"/>
          <w:sz w:val="24"/>
          <w:szCs w:val="24"/>
        </w:rPr>
        <w:t>p</w:t>
      </w:r>
      <w:r w:rsidRPr="007053E3">
        <w:rPr>
          <w:rFonts w:ascii="Arial" w:hAnsi="Arial" w:cs="Arial"/>
          <w:sz w:val="24"/>
          <w:szCs w:val="24"/>
        </w:rPr>
        <w:t>ublique de la Guinée compte alors utiliser les outils numériques en vue de contribuer à l’atteinte des objectifs du</w:t>
      </w:r>
      <w:r w:rsidR="005E71FF">
        <w:rPr>
          <w:rFonts w:ascii="Arial" w:hAnsi="Arial" w:cs="Arial"/>
          <w:sz w:val="24"/>
          <w:szCs w:val="24"/>
        </w:rPr>
        <w:t xml:space="preserve"> </w:t>
      </w:r>
      <w:r w:rsidR="005E71FF" w:rsidRPr="005E71FF">
        <w:rPr>
          <w:rFonts w:ascii="Arial" w:hAnsi="Arial" w:cs="Arial"/>
          <w:sz w:val="24"/>
          <w:szCs w:val="24"/>
        </w:rPr>
        <w:t xml:space="preserve">Plan </w:t>
      </w:r>
      <w:r w:rsidR="00686AF0">
        <w:rPr>
          <w:rFonts w:ascii="Arial" w:hAnsi="Arial" w:cs="Arial"/>
          <w:sz w:val="24"/>
          <w:szCs w:val="24"/>
        </w:rPr>
        <w:t>n</w:t>
      </w:r>
      <w:r w:rsidR="005E71FF" w:rsidRPr="005E71FF">
        <w:rPr>
          <w:rFonts w:ascii="Arial" w:hAnsi="Arial" w:cs="Arial"/>
          <w:sz w:val="24"/>
          <w:szCs w:val="24"/>
        </w:rPr>
        <w:t xml:space="preserve">ational de Développement Sanitaire </w:t>
      </w:r>
      <w:r w:rsidR="005E71FF">
        <w:rPr>
          <w:rFonts w:ascii="Arial" w:hAnsi="Arial" w:cs="Arial"/>
          <w:sz w:val="24"/>
          <w:szCs w:val="24"/>
        </w:rPr>
        <w:t>(</w:t>
      </w:r>
      <w:r w:rsidRPr="007053E3">
        <w:rPr>
          <w:rFonts w:ascii="Arial" w:hAnsi="Arial" w:cs="Arial"/>
          <w:sz w:val="24"/>
          <w:szCs w:val="24"/>
        </w:rPr>
        <w:t>PNDS</w:t>
      </w:r>
      <w:r w:rsidR="005E71FF">
        <w:rPr>
          <w:rFonts w:ascii="Arial" w:hAnsi="Arial" w:cs="Arial"/>
          <w:sz w:val="24"/>
          <w:szCs w:val="24"/>
        </w:rPr>
        <w:t>)</w:t>
      </w:r>
      <w:r w:rsidRPr="007053E3">
        <w:rPr>
          <w:rFonts w:ascii="Arial" w:hAnsi="Arial" w:cs="Arial"/>
          <w:sz w:val="24"/>
          <w:szCs w:val="24"/>
        </w:rPr>
        <w:t xml:space="preserve"> et particulièrement la couverture sanitaire universelle.</w:t>
      </w:r>
    </w:p>
    <w:p w14:paraId="02171235" w14:textId="77777777" w:rsidR="007053E3" w:rsidRPr="007053E3" w:rsidRDefault="007053E3" w:rsidP="007053E3">
      <w:pPr>
        <w:spacing w:after="0" w:line="360" w:lineRule="auto"/>
        <w:jc w:val="both"/>
        <w:rPr>
          <w:rFonts w:ascii="Arial" w:hAnsi="Arial" w:cs="Arial"/>
          <w:sz w:val="24"/>
          <w:szCs w:val="24"/>
        </w:rPr>
      </w:pPr>
    </w:p>
    <w:p w14:paraId="6F89BA1E" w14:textId="4A01E99F" w:rsid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C’est dans cette optique que le plan stratégique de la santé numérique</w:t>
      </w:r>
      <w:r>
        <w:rPr>
          <w:rFonts w:ascii="Arial" w:hAnsi="Arial" w:cs="Arial"/>
          <w:sz w:val="24"/>
          <w:szCs w:val="24"/>
        </w:rPr>
        <w:t xml:space="preserve"> (</w:t>
      </w:r>
      <w:r w:rsidRPr="00EB30A7">
        <w:rPr>
          <w:rFonts w:ascii="Arial" w:hAnsi="Arial" w:cs="Arial"/>
          <w:sz w:val="24"/>
          <w:szCs w:val="24"/>
        </w:rPr>
        <w:t>2021-2025</w:t>
      </w:r>
      <w:r>
        <w:rPr>
          <w:rFonts w:ascii="Arial" w:hAnsi="Arial" w:cs="Arial"/>
          <w:sz w:val="24"/>
          <w:szCs w:val="24"/>
        </w:rPr>
        <w:t>)</w:t>
      </w:r>
      <w:r w:rsidRPr="007053E3">
        <w:rPr>
          <w:rFonts w:ascii="Arial" w:hAnsi="Arial" w:cs="Arial"/>
          <w:sz w:val="24"/>
          <w:szCs w:val="24"/>
        </w:rPr>
        <w:t xml:space="preserve"> ambitionne de mettre en place un cadre d’urbanisation des systèmes d’information afin de créer de nouvelles conditions pour améliorer les performances du système d’information sanitaire dans une dynamique de développement durable à tous les échelons du système de santé.</w:t>
      </w:r>
      <w:r>
        <w:rPr>
          <w:rFonts w:ascii="Arial" w:hAnsi="Arial" w:cs="Arial"/>
          <w:sz w:val="24"/>
          <w:szCs w:val="24"/>
        </w:rPr>
        <w:t xml:space="preserve"> </w:t>
      </w:r>
      <w:r w:rsidR="00EB30A7" w:rsidRPr="00EB30A7">
        <w:rPr>
          <w:rFonts w:ascii="Arial" w:hAnsi="Arial" w:cs="Arial"/>
          <w:sz w:val="24"/>
          <w:szCs w:val="24"/>
        </w:rPr>
        <w:t xml:space="preserve">Ce plan stratégique est articulé </w:t>
      </w:r>
      <w:r w:rsidR="00347247" w:rsidRPr="00EB30A7">
        <w:rPr>
          <w:rFonts w:ascii="Arial" w:hAnsi="Arial" w:cs="Arial"/>
          <w:sz w:val="24"/>
          <w:szCs w:val="24"/>
        </w:rPr>
        <w:t>autour</w:t>
      </w:r>
      <w:r w:rsidR="00EB30A7" w:rsidRPr="00EB30A7">
        <w:rPr>
          <w:rFonts w:ascii="Arial" w:hAnsi="Arial" w:cs="Arial"/>
          <w:sz w:val="24"/>
          <w:szCs w:val="24"/>
        </w:rPr>
        <w:t xml:space="preserve"> de 19 projets structurants dont 3 sont étroitement liés au processus de dématérialisation.</w:t>
      </w:r>
    </w:p>
    <w:p w14:paraId="0E33D0BE" w14:textId="12660991" w:rsidR="00EB30A7" w:rsidRPr="00EB30A7" w:rsidRDefault="00EB30A7" w:rsidP="007053E3">
      <w:pPr>
        <w:spacing w:after="0" w:line="276" w:lineRule="auto"/>
        <w:jc w:val="both"/>
        <w:rPr>
          <w:rFonts w:ascii="Arial" w:hAnsi="Arial" w:cs="Arial"/>
          <w:sz w:val="24"/>
          <w:szCs w:val="24"/>
        </w:rPr>
      </w:pPr>
      <w:r w:rsidRPr="00EB30A7">
        <w:rPr>
          <w:rFonts w:ascii="Arial" w:hAnsi="Arial" w:cs="Arial"/>
          <w:sz w:val="24"/>
          <w:szCs w:val="24"/>
        </w:rPr>
        <w:t xml:space="preserve">  </w:t>
      </w:r>
    </w:p>
    <w:p w14:paraId="6C7208EF" w14:textId="138D3FA5" w:rsidR="007053E3" w:rsidRPr="007053E3" w:rsidRDefault="002C6EC5" w:rsidP="007053E3">
      <w:pPr>
        <w:spacing w:after="0" w:line="360" w:lineRule="auto"/>
        <w:jc w:val="both"/>
        <w:rPr>
          <w:rFonts w:ascii="Arial" w:hAnsi="Arial" w:cs="Arial"/>
          <w:sz w:val="24"/>
          <w:szCs w:val="24"/>
        </w:rPr>
      </w:pPr>
      <w:r>
        <w:rPr>
          <w:rFonts w:ascii="Arial" w:hAnsi="Arial" w:cs="Arial"/>
          <w:sz w:val="24"/>
          <w:szCs w:val="24"/>
        </w:rPr>
        <w:t>A</w:t>
      </w:r>
      <w:r w:rsidR="00FC01B4">
        <w:rPr>
          <w:rFonts w:ascii="Arial" w:hAnsi="Arial" w:cs="Arial"/>
          <w:sz w:val="24"/>
          <w:szCs w:val="24"/>
        </w:rPr>
        <w:t>vec l’appui de la GIZ et de l’OMS</w:t>
      </w:r>
      <w:r>
        <w:rPr>
          <w:rFonts w:ascii="Arial" w:hAnsi="Arial" w:cs="Arial"/>
          <w:sz w:val="24"/>
          <w:szCs w:val="24"/>
        </w:rPr>
        <w:t xml:space="preserve">, le </w:t>
      </w:r>
      <w:r w:rsidR="007053E3">
        <w:rPr>
          <w:rFonts w:ascii="Arial" w:hAnsi="Arial" w:cs="Arial"/>
          <w:sz w:val="24"/>
          <w:szCs w:val="24"/>
        </w:rPr>
        <w:t xml:space="preserve">présent document montre </w:t>
      </w:r>
      <w:r w:rsidR="00FC01B4">
        <w:rPr>
          <w:rFonts w:ascii="Arial" w:hAnsi="Arial" w:cs="Arial"/>
          <w:sz w:val="24"/>
          <w:szCs w:val="24"/>
        </w:rPr>
        <w:t>l’état des lieux</w:t>
      </w:r>
      <w:r w:rsidR="007053E3">
        <w:rPr>
          <w:rFonts w:ascii="Arial" w:hAnsi="Arial" w:cs="Arial"/>
          <w:sz w:val="24"/>
          <w:szCs w:val="24"/>
        </w:rPr>
        <w:t xml:space="preserve"> actualisé</w:t>
      </w:r>
      <w:r w:rsidR="00FC01B4">
        <w:rPr>
          <w:rFonts w:ascii="Arial" w:hAnsi="Arial" w:cs="Arial"/>
          <w:sz w:val="24"/>
          <w:szCs w:val="24"/>
        </w:rPr>
        <w:t xml:space="preserve"> </w:t>
      </w:r>
      <w:r w:rsidR="007053E3">
        <w:rPr>
          <w:rFonts w:ascii="Arial" w:hAnsi="Arial" w:cs="Arial"/>
          <w:sz w:val="24"/>
          <w:szCs w:val="24"/>
        </w:rPr>
        <w:t xml:space="preserve">du système d’information sanitaire </w:t>
      </w:r>
      <w:r w:rsidR="00FC01B4">
        <w:rPr>
          <w:rFonts w:ascii="Arial" w:hAnsi="Arial" w:cs="Arial"/>
          <w:sz w:val="24"/>
          <w:szCs w:val="24"/>
        </w:rPr>
        <w:t xml:space="preserve">et propose un modèle architectural urbanisé </w:t>
      </w:r>
      <w:r w:rsidR="007053E3">
        <w:rPr>
          <w:rFonts w:ascii="Arial" w:hAnsi="Arial" w:cs="Arial"/>
          <w:sz w:val="24"/>
          <w:szCs w:val="24"/>
        </w:rPr>
        <w:t xml:space="preserve">pour l’implémentation de base de données décisionnelle pour </w:t>
      </w:r>
      <w:r w:rsidR="00FC1E2B">
        <w:rPr>
          <w:rFonts w:ascii="Arial" w:hAnsi="Arial" w:cs="Arial"/>
          <w:sz w:val="24"/>
          <w:szCs w:val="24"/>
        </w:rPr>
        <w:t xml:space="preserve">guider la prise de décision sur </w:t>
      </w:r>
      <w:r w:rsidR="00C76B4C">
        <w:rPr>
          <w:rFonts w:ascii="Arial" w:hAnsi="Arial" w:cs="Arial"/>
          <w:sz w:val="24"/>
          <w:szCs w:val="24"/>
        </w:rPr>
        <w:t>des</w:t>
      </w:r>
      <w:r w:rsidR="00FC1E2B">
        <w:rPr>
          <w:rFonts w:ascii="Arial" w:hAnsi="Arial" w:cs="Arial"/>
          <w:sz w:val="24"/>
          <w:szCs w:val="24"/>
        </w:rPr>
        <w:t xml:space="preserve"> base</w:t>
      </w:r>
      <w:r w:rsidR="00C76B4C">
        <w:rPr>
          <w:rFonts w:ascii="Arial" w:hAnsi="Arial" w:cs="Arial"/>
          <w:sz w:val="24"/>
          <w:szCs w:val="24"/>
        </w:rPr>
        <w:t>s</w:t>
      </w:r>
      <w:r w:rsidR="00FC1E2B">
        <w:rPr>
          <w:rFonts w:ascii="Arial" w:hAnsi="Arial" w:cs="Arial"/>
          <w:sz w:val="24"/>
          <w:szCs w:val="24"/>
        </w:rPr>
        <w:t xml:space="preserve"> plus factuelle</w:t>
      </w:r>
      <w:r w:rsidR="00C76B4C">
        <w:rPr>
          <w:rFonts w:ascii="Arial" w:hAnsi="Arial" w:cs="Arial"/>
          <w:sz w:val="24"/>
          <w:szCs w:val="24"/>
        </w:rPr>
        <w:t>s</w:t>
      </w:r>
      <w:r w:rsidR="00FC1E2B">
        <w:rPr>
          <w:rFonts w:ascii="Arial" w:hAnsi="Arial" w:cs="Arial"/>
          <w:sz w:val="24"/>
          <w:szCs w:val="24"/>
        </w:rPr>
        <w:t xml:space="preserve">. </w:t>
      </w:r>
      <w:r w:rsidR="007053E3">
        <w:rPr>
          <w:rFonts w:ascii="Arial" w:hAnsi="Arial" w:cs="Arial"/>
          <w:sz w:val="24"/>
          <w:szCs w:val="24"/>
        </w:rPr>
        <w:t>Il s’agit essentiellement de r</w:t>
      </w:r>
      <w:r w:rsidR="007053E3" w:rsidRPr="007053E3">
        <w:rPr>
          <w:rFonts w:ascii="Arial" w:hAnsi="Arial" w:cs="Arial"/>
          <w:sz w:val="24"/>
          <w:szCs w:val="24"/>
        </w:rPr>
        <w:t xml:space="preserve">enforcer les capacités du </w:t>
      </w:r>
      <w:r w:rsidR="00686AF0">
        <w:rPr>
          <w:rFonts w:ascii="Arial" w:hAnsi="Arial" w:cs="Arial"/>
          <w:sz w:val="24"/>
          <w:szCs w:val="24"/>
        </w:rPr>
        <w:t>m</w:t>
      </w:r>
      <w:r w:rsidR="007053E3" w:rsidRPr="007053E3">
        <w:rPr>
          <w:rFonts w:ascii="Arial" w:hAnsi="Arial" w:cs="Arial"/>
          <w:sz w:val="24"/>
          <w:szCs w:val="24"/>
        </w:rPr>
        <w:t xml:space="preserve">inistère de la </w:t>
      </w:r>
      <w:r w:rsidR="00686AF0">
        <w:rPr>
          <w:rFonts w:ascii="Arial" w:hAnsi="Arial" w:cs="Arial"/>
          <w:sz w:val="24"/>
          <w:szCs w:val="24"/>
        </w:rPr>
        <w:t>S</w:t>
      </w:r>
      <w:r w:rsidR="007053E3" w:rsidRPr="007053E3">
        <w:rPr>
          <w:rFonts w:ascii="Arial" w:hAnsi="Arial" w:cs="Arial"/>
          <w:sz w:val="24"/>
          <w:szCs w:val="24"/>
        </w:rPr>
        <w:t>anté</w:t>
      </w:r>
      <w:r w:rsidR="00686AF0">
        <w:rPr>
          <w:rFonts w:ascii="Arial" w:hAnsi="Arial" w:cs="Arial"/>
          <w:sz w:val="24"/>
          <w:szCs w:val="24"/>
        </w:rPr>
        <w:t xml:space="preserve"> (MS)</w:t>
      </w:r>
      <w:r w:rsidR="007053E3" w:rsidRPr="007053E3">
        <w:rPr>
          <w:rFonts w:ascii="Arial" w:hAnsi="Arial" w:cs="Arial"/>
          <w:sz w:val="24"/>
          <w:szCs w:val="24"/>
        </w:rPr>
        <w:t xml:space="preserve"> de la Guinée à améliorer la santé de la population sur la base de données probantes.</w:t>
      </w:r>
      <w:r w:rsidR="007053E3">
        <w:rPr>
          <w:rFonts w:ascii="Arial" w:hAnsi="Arial" w:cs="Arial"/>
          <w:sz w:val="24"/>
          <w:szCs w:val="24"/>
        </w:rPr>
        <w:t xml:space="preserve"> Plus spécifiquement, le document :</w:t>
      </w:r>
    </w:p>
    <w:p w14:paraId="6DCDAB3D" w14:textId="71EFAAC9"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w:t>
      </w:r>
      <w:r w:rsidR="00C51600">
        <w:rPr>
          <w:rFonts w:ascii="Arial" w:hAnsi="Arial" w:cs="Arial"/>
          <w:sz w:val="24"/>
          <w:szCs w:val="24"/>
        </w:rPr>
        <w:t xml:space="preserve">fait </w:t>
      </w:r>
      <w:r w:rsidRPr="007053E3">
        <w:rPr>
          <w:rFonts w:ascii="Arial" w:hAnsi="Arial" w:cs="Arial"/>
          <w:sz w:val="24"/>
          <w:szCs w:val="24"/>
        </w:rPr>
        <w:t>l’état des lieux du système national d’information sanitaire et des bases de données opérationnelles existantes</w:t>
      </w:r>
      <w:r w:rsidR="00347247">
        <w:rPr>
          <w:rFonts w:ascii="Arial" w:hAnsi="Arial" w:cs="Arial"/>
          <w:sz w:val="24"/>
          <w:szCs w:val="24"/>
        </w:rPr>
        <w:t> ;</w:t>
      </w:r>
    </w:p>
    <w:p w14:paraId="062F2B17" w14:textId="5B5CEFF4"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i</w:t>
      </w:r>
      <w:r w:rsidRPr="007053E3">
        <w:rPr>
          <w:rFonts w:ascii="Arial" w:hAnsi="Arial" w:cs="Arial"/>
          <w:sz w:val="24"/>
          <w:szCs w:val="24"/>
        </w:rPr>
        <w:t xml:space="preserve">dentifie les bases de données (BD) à constituer au niveau du MS pour la prise de décision sur des bases </w:t>
      </w:r>
      <w:proofErr w:type="gramStart"/>
      <w:r w:rsidRPr="007053E3">
        <w:rPr>
          <w:rFonts w:ascii="Arial" w:hAnsi="Arial" w:cs="Arial"/>
          <w:sz w:val="24"/>
          <w:szCs w:val="24"/>
        </w:rPr>
        <w:t>factuelles</w:t>
      </w:r>
      <w:r w:rsidR="00347247">
        <w:rPr>
          <w:rFonts w:ascii="Arial" w:hAnsi="Arial" w:cs="Arial"/>
          <w:sz w:val="24"/>
          <w:szCs w:val="24"/>
        </w:rPr>
        <w:t>;</w:t>
      </w:r>
      <w:proofErr w:type="gramEnd"/>
    </w:p>
    <w:p w14:paraId="5A94C26F" w14:textId="7CEB75D3"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f</w:t>
      </w:r>
      <w:r w:rsidRPr="007053E3">
        <w:rPr>
          <w:rFonts w:ascii="Arial" w:hAnsi="Arial" w:cs="Arial"/>
          <w:sz w:val="24"/>
          <w:szCs w:val="24"/>
        </w:rPr>
        <w:t>ai</w:t>
      </w:r>
      <w:r>
        <w:rPr>
          <w:rFonts w:ascii="Arial" w:hAnsi="Arial" w:cs="Arial"/>
          <w:sz w:val="24"/>
          <w:szCs w:val="24"/>
        </w:rPr>
        <w:t>t</w:t>
      </w:r>
      <w:r w:rsidRPr="007053E3">
        <w:rPr>
          <w:rFonts w:ascii="Arial" w:hAnsi="Arial" w:cs="Arial"/>
          <w:sz w:val="24"/>
          <w:szCs w:val="24"/>
        </w:rPr>
        <w:t xml:space="preserve"> une description des bases de données avec les professionnels de la santé (structure, champs, procédure de création, de mise à jour et de suppression)</w:t>
      </w:r>
      <w:r w:rsidR="00347247" w:rsidRPr="00347247">
        <w:rPr>
          <w:rFonts w:ascii="Arial" w:hAnsi="Arial" w:cs="Arial"/>
          <w:sz w:val="24"/>
          <w:szCs w:val="24"/>
        </w:rPr>
        <w:t xml:space="preserve"> </w:t>
      </w:r>
      <w:r w:rsidR="00347247">
        <w:rPr>
          <w:rFonts w:ascii="Arial" w:hAnsi="Arial" w:cs="Arial"/>
          <w:sz w:val="24"/>
          <w:szCs w:val="24"/>
        </w:rPr>
        <w:t>;</w:t>
      </w:r>
    </w:p>
    <w:p w14:paraId="17F3F531" w14:textId="701416F0"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f</w:t>
      </w:r>
      <w:r w:rsidRPr="007053E3">
        <w:rPr>
          <w:rFonts w:ascii="Arial" w:hAnsi="Arial" w:cs="Arial"/>
          <w:sz w:val="24"/>
          <w:szCs w:val="24"/>
        </w:rPr>
        <w:t>ai</w:t>
      </w:r>
      <w:r>
        <w:rPr>
          <w:rFonts w:ascii="Arial" w:hAnsi="Arial" w:cs="Arial"/>
          <w:sz w:val="24"/>
          <w:szCs w:val="24"/>
        </w:rPr>
        <w:t>t</w:t>
      </w:r>
      <w:r w:rsidRPr="007053E3">
        <w:rPr>
          <w:rFonts w:ascii="Arial" w:hAnsi="Arial" w:cs="Arial"/>
          <w:sz w:val="24"/>
          <w:szCs w:val="24"/>
        </w:rPr>
        <w:t xml:space="preserve"> une proposition de consolidation (environnement de développement, maintenance) des bases de données opérationnelles à </w:t>
      </w:r>
      <w:proofErr w:type="gramStart"/>
      <w:r w:rsidRPr="007053E3">
        <w:rPr>
          <w:rFonts w:ascii="Arial" w:hAnsi="Arial" w:cs="Arial"/>
          <w:sz w:val="24"/>
          <w:szCs w:val="24"/>
        </w:rPr>
        <w:t>retenir</w:t>
      </w:r>
      <w:r w:rsidR="00347247">
        <w:rPr>
          <w:rFonts w:ascii="Arial" w:hAnsi="Arial" w:cs="Arial"/>
          <w:sz w:val="24"/>
          <w:szCs w:val="24"/>
        </w:rPr>
        <w:t>;</w:t>
      </w:r>
      <w:proofErr w:type="gramEnd"/>
    </w:p>
    <w:p w14:paraId="05121C9D" w14:textId="79D005E8"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p</w:t>
      </w:r>
      <w:r w:rsidRPr="007053E3">
        <w:rPr>
          <w:rFonts w:ascii="Arial" w:hAnsi="Arial" w:cs="Arial"/>
          <w:sz w:val="24"/>
          <w:szCs w:val="24"/>
        </w:rPr>
        <w:t>ropose</w:t>
      </w:r>
      <w:r>
        <w:rPr>
          <w:rFonts w:ascii="Arial" w:hAnsi="Arial" w:cs="Arial"/>
          <w:sz w:val="24"/>
          <w:szCs w:val="24"/>
        </w:rPr>
        <w:t xml:space="preserve"> </w:t>
      </w:r>
      <w:r w:rsidRPr="007053E3">
        <w:rPr>
          <w:rFonts w:ascii="Arial" w:hAnsi="Arial" w:cs="Arial"/>
          <w:sz w:val="24"/>
          <w:szCs w:val="24"/>
        </w:rPr>
        <w:t>un modèle architectural d’une base de données décisionnelle (un entrepôt de données)</w:t>
      </w:r>
      <w:r w:rsidR="00347247" w:rsidRPr="00347247">
        <w:rPr>
          <w:rFonts w:ascii="Arial" w:hAnsi="Arial" w:cs="Arial"/>
          <w:sz w:val="24"/>
          <w:szCs w:val="24"/>
        </w:rPr>
        <w:t xml:space="preserve"> </w:t>
      </w:r>
      <w:r w:rsidR="00347247">
        <w:rPr>
          <w:rFonts w:ascii="Arial" w:hAnsi="Arial" w:cs="Arial"/>
          <w:sz w:val="24"/>
          <w:szCs w:val="24"/>
        </w:rPr>
        <w:t>;</w:t>
      </w:r>
    </w:p>
    <w:p w14:paraId="22E07546" w14:textId="03F5BA7A"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p</w:t>
      </w:r>
      <w:r w:rsidRPr="007053E3">
        <w:rPr>
          <w:rFonts w:ascii="Arial" w:hAnsi="Arial" w:cs="Arial"/>
          <w:sz w:val="24"/>
          <w:szCs w:val="24"/>
        </w:rPr>
        <w:t>ropose des spécifications techniques des normes et interface</w:t>
      </w:r>
      <w:r w:rsidR="00633F8D">
        <w:rPr>
          <w:rFonts w:ascii="Arial" w:hAnsi="Arial" w:cs="Arial"/>
          <w:sz w:val="24"/>
          <w:szCs w:val="24"/>
        </w:rPr>
        <w:t>s</w:t>
      </w:r>
      <w:r w:rsidRPr="007053E3">
        <w:rPr>
          <w:rFonts w:ascii="Arial" w:hAnsi="Arial" w:cs="Arial"/>
          <w:sz w:val="24"/>
          <w:szCs w:val="24"/>
        </w:rPr>
        <w:t xml:space="preserve"> à mettre en </w:t>
      </w:r>
      <w:proofErr w:type="gramStart"/>
      <w:r w:rsidRPr="007053E3">
        <w:rPr>
          <w:rFonts w:ascii="Arial" w:hAnsi="Arial" w:cs="Arial"/>
          <w:sz w:val="24"/>
          <w:szCs w:val="24"/>
        </w:rPr>
        <w:t>place</w:t>
      </w:r>
      <w:r w:rsidR="00347247">
        <w:rPr>
          <w:rFonts w:ascii="Arial" w:hAnsi="Arial" w:cs="Arial"/>
          <w:sz w:val="24"/>
          <w:szCs w:val="24"/>
        </w:rPr>
        <w:t>;</w:t>
      </w:r>
      <w:proofErr w:type="gramEnd"/>
    </w:p>
    <w:p w14:paraId="17FFC7CA" w14:textId="3C7F8A9F"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p</w:t>
      </w:r>
      <w:r w:rsidRPr="007053E3">
        <w:rPr>
          <w:rFonts w:ascii="Arial" w:hAnsi="Arial" w:cs="Arial"/>
          <w:sz w:val="24"/>
          <w:szCs w:val="24"/>
        </w:rPr>
        <w:t>ropose</w:t>
      </w:r>
      <w:r>
        <w:rPr>
          <w:rFonts w:ascii="Arial" w:hAnsi="Arial" w:cs="Arial"/>
          <w:sz w:val="24"/>
          <w:szCs w:val="24"/>
        </w:rPr>
        <w:t xml:space="preserve"> </w:t>
      </w:r>
      <w:r w:rsidRPr="007053E3">
        <w:rPr>
          <w:rFonts w:ascii="Arial" w:hAnsi="Arial" w:cs="Arial"/>
          <w:sz w:val="24"/>
          <w:szCs w:val="24"/>
        </w:rPr>
        <w:t xml:space="preserve">des systèmes de sécurités et d’exploitation des </w:t>
      </w:r>
      <w:proofErr w:type="gramStart"/>
      <w:r w:rsidRPr="007053E3">
        <w:rPr>
          <w:rFonts w:ascii="Arial" w:hAnsi="Arial" w:cs="Arial"/>
          <w:sz w:val="24"/>
          <w:szCs w:val="24"/>
        </w:rPr>
        <w:t>BD</w:t>
      </w:r>
      <w:r w:rsidR="00347247">
        <w:rPr>
          <w:rFonts w:ascii="Arial" w:hAnsi="Arial" w:cs="Arial"/>
          <w:sz w:val="24"/>
          <w:szCs w:val="24"/>
        </w:rPr>
        <w:t>;</w:t>
      </w:r>
      <w:proofErr w:type="gramEnd"/>
    </w:p>
    <w:p w14:paraId="4AA03D31" w14:textId="04FF7D17"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i</w:t>
      </w:r>
      <w:r w:rsidRPr="007053E3">
        <w:rPr>
          <w:rFonts w:ascii="Arial" w:hAnsi="Arial" w:cs="Arial"/>
          <w:sz w:val="24"/>
          <w:szCs w:val="24"/>
        </w:rPr>
        <w:t>dentifie les ressources humaines requises pour l</w:t>
      </w:r>
      <w:r w:rsidR="00686AF0">
        <w:rPr>
          <w:rFonts w:ascii="Arial" w:hAnsi="Arial" w:cs="Arial"/>
          <w:sz w:val="24"/>
          <w:szCs w:val="24"/>
        </w:rPr>
        <w:t>a conception</w:t>
      </w:r>
      <w:r w:rsidRPr="007053E3">
        <w:rPr>
          <w:rFonts w:ascii="Arial" w:hAnsi="Arial" w:cs="Arial"/>
          <w:sz w:val="24"/>
          <w:szCs w:val="24"/>
        </w:rPr>
        <w:t xml:space="preserve">, l’exploitation et la maintenance des BD ainsi que les </w:t>
      </w:r>
      <w:proofErr w:type="gramStart"/>
      <w:r w:rsidRPr="007053E3">
        <w:rPr>
          <w:rFonts w:ascii="Arial" w:hAnsi="Arial" w:cs="Arial"/>
          <w:sz w:val="24"/>
          <w:szCs w:val="24"/>
        </w:rPr>
        <w:t>profils</w:t>
      </w:r>
      <w:r w:rsidR="00347247">
        <w:rPr>
          <w:rFonts w:ascii="Arial" w:hAnsi="Arial" w:cs="Arial"/>
          <w:sz w:val="24"/>
          <w:szCs w:val="24"/>
        </w:rPr>
        <w:t>;</w:t>
      </w:r>
      <w:proofErr w:type="gramEnd"/>
    </w:p>
    <w:p w14:paraId="00584C1C" w14:textId="586E999F"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i</w:t>
      </w:r>
      <w:r w:rsidRPr="007053E3">
        <w:rPr>
          <w:rFonts w:ascii="Arial" w:hAnsi="Arial" w:cs="Arial"/>
          <w:sz w:val="24"/>
          <w:szCs w:val="24"/>
        </w:rPr>
        <w:t xml:space="preserve">dentifie les modules de formation pour les équipes </w:t>
      </w:r>
      <w:proofErr w:type="gramStart"/>
      <w:r w:rsidRPr="007053E3">
        <w:rPr>
          <w:rFonts w:ascii="Arial" w:hAnsi="Arial" w:cs="Arial"/>
          <w:sz w:val="24"/>
          <w:szCs w:val="24"/>
        </w:rPr>
        <w:t>techniques</w:t>
      </w:r>
      <w:r w:rsidR="00347247">
        <w:rPr>
          <w:rFonts w:ascii="Arial" w:hAnsi="Arial" w:cs="Arial"/>
          <w:sz w:val="24"/>
          <w:szCs w:val="24"/>
        </w:rPr>
        <w:t>;</w:t>
      </w:r>
      <w:proofErr w:type="gramEnd"/>
    </w:p>
    <w:p w14:paraId="566C7057" w14:textId="2608406E"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i</w:t>
      </w:r>
      <w:r w:rsidRPr="007053E3">
        <w:rPr>
          <w:rFonts w:ascii="Arial" w:hAnsi="Arial" w:cs="Arial"/>
          <w:sz w:val="24"/>
          <w:szCs w:val="24"/>
        </w:rPr>
        <w:t>dentifie les ressources humaines nécessaires pour l</w:t>
      </w:r>
      <w:r w:rsidR="00686AF0">
        <w:rPr>
          <w:rFonts w:ascii="Arial" w:hAnsi="Arial" w:cs="Arial"/>
          <w:sz w:val="24"/>
          <w:szCs w:val="24"/>
        </w:rPr>
        <w:t>a conception</w:t>
      </w:r>
      <w:r w:rsidRPr="007053E3">
        <w:rPr>
          <w:rFonts w:ascii="Arial" w:hAnsi="Arial" w:cs="Arial"/>
          <w:sz w:val="24"/>
          <w:szCs w:val="24"/>
        </w:rPr>
        <w:t xml:space="preserve">, l’exploitation et la maintenance de l’entrepôt de données </w:t>
      </w:r>
      <w:proofErr w:type="gramStart"/>
      <w:r w:rsidRPr="007053E3">
        <w:rPr>
          <w:rFonts w:ascii="Arial" w:hAnsi="Arial" w:cs="Arial"/>
          <w:sz w:val="24"/>
          <w:szCs w:val="24"/>
        </w:rPr>
        <w:t>sanitaire</w:t>
      </w:r>
      <w:r w:rsidR="00347247">
        <w:rPr>
          <w:rFonts w:ascii="Arial" w:hAnsi="Arial" w:cs="Arial"/>
          <w:sz w:val="24"/>
          <w:szCs w:val="24"/>
        </w:rPr>
        <w:t>;</w:t>
      </w:r>
      <w:proofErr w:type="gramEnd"/>
    </w:p>
    <w:p w14:paraId="191E8CDB" w14:textId="259C835F" w:rsidR="007053E3" w:rsidRP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f</w:t>
      </w:r>
      <w:r w:rsidRPr="007053E3">
        <w:rPr>
          <w:rFonts w:ascii="Arial" w:hAnsi="Arial" w:cs="Arial"/>
          <w:sz w:val="24"/>
          <w:szCs w:val="24"/>
        </w:rPr>
        <w:t>ai</w:t>
      </w:r>
      <w:r>
        <w:rPr>
          <w:rFonts w:ascii="Arial" w:hAnsi="Arial" w:cs="Arial"/>
          <w:sz w:val="24"/>
          <w:szCs w:val="24"/>
        </w:rPr>
        <w:t>t</w:t>
      </w:r>
      <w:r w:rsidRPr="007053E3">
        <w:rPr>
          <w:rFonts w:ascii="Arial" w:hAnsi="Arial" w:cs="Arial"/>
          <w:sz w:val="24"/>
          <w:szCs w:val="24"/>
        </w:rPr>
        <w:t xml:space="preserve"> une estimation des </w:t>
      </w:r>
      <w:r w:rsidR="00686AF0">
        <w:rPr>
          <w:rFonts w:ascii="Arial" w:hAnsi="Arial" w:cs="Arial"/>
          <w:sz w:val="24"/>
          <w:szCs w:val="24"/>
        </w:rPr>
        <w:t>coûts</w:t>
      </w:r>
      <w:r w:rsidRPr="007053E3">
        <w:rPr>
          <w:rFonts w:ascii="Arial" w:hAnsi="Arial" w:cs="Arial"/>
          <w:sz w:val="24"/>
          <w:szCs w:val="24"/>
        </w:rPr>
        <w:t xml:space="preserve"> financiers de renforcement des compétences et d’implémentation de l’entrepôt de </w:t>
      </w:r>
      <w:proofErr w:type="gramStart"/>
      <w:r w:rsidRPr="007053E3">
        <w:rPr>
          <w:rFonts w:ascii="Arial" w:hAnsi="Arial" w:cs="Arial"/>
          <w:sz w:val="24"/>
          <w:szCs w:val="24"/>
        </w:rPr>
        <w:t>données</w:t>
      </w:r>
      <w:r w:rsidR="00347247">
        <w:rPr>
          <w:rFonts w:ascii="Arial" w:hAnsi="Arial" w:cs="Arial"/>
          <w:sz w:val="24"/>
          <w:szCs w:val="24"/>
        </w:rPr>
        <w:t>;</w:t>
      </w:r>
      <w:proofErr w:type="gramEnd"/>
    </w:p>
    <w:p w14:paraId="487C0D2D" w14:textId="00688AF6" w:rsidR="007053E3" w:rsidRDefault="007053E3" w:rsidP="007053E3">
      <w:pPr>
        <w:spacing w:after="0" w:line="360" w:lineRule="auto"/>
        <w:jc w:val="both"/>
        <w:rPr>
          <w:rFonts w:ascii="Arial" w:hAnsi="Arial" w:cs="Arial"/>
          <w:sz w:val="24"/>
          <w:szCs w:val="24"/>
        </w:rPr>
      </w:pPr>
      <w:r w:rsidRPr="007053E3">
        <w:rPr>
          <w:rFonts w:ascii="Arial" w:hAnsi="Arial" w:cs="Arial"/>
          <w:sz w:val="24"/>
          <w:szCs w:val="24"/>
        </w:rPr>
        <w:t>•</w:t>
      </w:r>
      <w:r>
        <w:rPr>
          <w:rFonts w:ascii="Arial" w:hAnsi="Arial" w:cs="Arial"/>
          <w:sz w:val="24"/>
          <w:szCs w:val="24"/>
        </w:rPr>
        <w:t xml:space="preserve"> p</w:t>
      </w:r>
      <w:r w:rsidRPr="007053E3">
        <w:rPr>
          <w:rFonts w:ascii="Arial" w:hAnsi="Arial" w:cs="Arial"/>
          <w:sz w:val="24"/>
          <w:szCs w:val="24"/>
        </w:rPr>
        <w:t xml:space="preserve">ropose un calendrier </w:t>
      </w:r>
      <w:r>
        <w:rPr>
          <w:rFonts w:ascii="Arial" w:hAnsi="Arial" w:cs="Arial"/>
          <w:sz w:val="24"/>
          <w:szCs w:val="24"/>
        </w:rPr>
        <w:t>de</w:t>
      </w:r>
      <w:r w:rsidRPr="007053E3">
        <w:rPr>
          <w:rFonts w:ascii="Arial" w:hAnsi="Arial" w:cs="Arial"/>
          <w:sz w:val="24"/>
          <w:szCs w:val="24"/>
        </w:rPr>
        <w:t xml:space="preserve"> mise en œuvre</w:t>
      </w:r>
      <w:r w:rsidR="00347247">
        <w:rPr>
          <w:rFonts w:ascii="Arial" w:hAnsi="Arial" w:cs="Arial"/>
          <w:sz w:val="24"/>
          <w:szCs w:val="24"/>
        </w:rPr>
        <w:t>.</w:t>
      </w:r>
    </w:p>
    <w:p w14:paraId="0D623D5C" w14:textId="77777777" w:rsidR="00426FC3" w:rsidRDefault="00426FC3" w:rsidP="007053E3">
      <w:pPr>
        <w:spacing w:after="0" w:line="360" w:lineRule="auto"/>
        <w:jc w:val="both"/>
        <w:rPr>
          <w:rFonts w:ascii="Arial" w:hAnsi="Arial" w:cs="Arial"/>
          <w:sz w:val="24"/>
          <w:szCs w:val="24"/>
        </w:rPr>
      </w:pPr>
    </w:p>
    <w:p w14:paraId="01E4C430" w14:textId="3033FE47" w:rsidR="00426FC3" w:rsidRPr="007234FD" w:rsidRDefault="00426FC3" w:rsidP="00426FC3">
      <w:pPr>
        <w:spacing w:line="360" w:lineRule="auto"/>
        <w:jc w:val="both"/>
        <w:rPr>
          <w:rFonts w:ascii="Arial" w:hAnsi="Arial" w:cs="Arial"/>
          <w:sz w:val="24"/>
          <w:szCs w:val="24"/>
        </w:rPr>
      </w:pPr>
      <w:r>
        <w:rPr>
          <w:rFonts w:ascii="Arial" w:hAnsi="Arial" w:cs="Arial"/>
          <w:sz w:val="24"/>
          <w:szCs w:val="24"/>
        </w:rPr>
        <w:t>L</w:t>
      </w:r>
      <w:r w:rsidRPr="007234FD">
        <w:rPr>
          <w:rFonts w:ascii="Arial" w:hAnsi="Arial" w:cs="Arial"/>
          <w:sz w:val="24"/>
          <w:szCs w:val="24"/>
        </w:rPr>
        <w:t>’élaboration d</w:t>
      </w:r>
      <w:r>
        <w:rPr>
          <w:rFonts w:ascii="Arial" w:hAnsi="Arial" w:cs="Arial"/>
          <w:sz w:val="24"/>
          <w:szCs w:val="24"/>
        </w:rPr>
        <w:t xml:space="preserve">e ce document </w:t>
      </w:r>
      <w:r w:rsidR="00C51600">
        <w:rPr>
          <w:rFonts w:ascii="Arial" w:hAnsi="Arial" w:cs="Arial"/>
          <w:sz w:val="24"/>
          <w:szCs w:val="24"/>
        </w:rPr>
        <w:t xml:space="preserve">s’articule </w:t>
      </w:r>
      <w:r>
        <w:rPr>
          <w:rFonts w:ascii="Arial" w:hAnsi="Arial" w:cs="Arial"/>
          <w:sz w:val="24"/>
          <w:szCs w:val="24"/>
        </w:rPr>
        <w:t>en deux phase</w:t>
      </w:r>
      <w:r w:rsidRPr="007234FD">
        <w:rPr>
          <w:rFonts w:ascii="Arial" w:hAnsi="Arial" w:cs="Arial"/>
          <w:sz w:val="24"/>
          <w:szCs w:val="24"/>
        </w:rPr>
        <w:t>s :</w:t>
      </w:r>
    </w:p>
    <w:p w14:paraId="45A7C2BA" w14:textId="454AA860" w:rsidR="00347247" w:rsidRDefault="00426FC3" w:rsidP="00807493">
      <w:pPr>
        <w:spacing w:after="0" w:line="360" w:lineRule="auto"/>
        <w:jc w:val="both"/>
        <w:rPr>
          <w:rFonts w:ascii="Arial" w:hAnsi="Arial" w:cs="Arial"/>
          <w:sz w:val="24"/>
          <w:szCs w:val="24"/>
        </w:rPr>
      </w:pPr>
      <w:r w:rsidRPr="007234FD">
        <w:rPr>
          <w:rFonts w:ascii="Arial" w:hAnsi="Arial" w:cs="Arial"/>
          <w:sz w:val="24"/>
          <w:szCs w:val="24"/>
        </w:rPr>
        <w:t>-</w:t>
      </w:r>
      <w:r>
        <w:rPr>
          <w:rFonts w:ascii="Arial" w:hAnsi="Arial" w:cs="Arial"/>
          <w:sz w:val="24"/>
          <w:szCs w:val="24"/>
        </w:rPr>
        <w:t xml:space="preserve"> </w:t>
      </w:r>
      <w:r w:rsidR="00F03528">
        <w:rPr>
          <w:rFonts w:ascii="Arial" w:hAnsi="Arial" w:cs="Arial"/>
          <w:b/>
          <w:sz w:val="24"/>
          <w:szCs w:val="24"/>
        </w:rPr>
        <w:t>la p</w:t>
      </w:r>
      <w:r w:rsidR="00F03528" w:rsidRPr="00807493">
        <w:rPr>
          <w:rFonts w:ascii="Arial" w:hAnsi="Arial" w:cs="Arial"/>
          <w:b/>
          <w:sz w:val="24"/>
          <w:szCs w:val="24"/>
        </w:rPr>
        <w:t xml:space="preserve">hase </w:t>
      </w:r>
      <w:r w:rsidR="00742959" w:rsidRPr="00807493">
        <w:rPr>
          <w:rFonts w:ascii="Arial" w:hAnsi="Arial" w:cs="Arial"/>
          <w:b/>
          <w:sz w:val="24"/>
          <w:szCs w:val="24"/>
        </w:rPr>
        <w:t xml:space="preserve">de </w:t>
      </w:r>
      <w:r w:rsidR="00A45512" w:rsidRPr="00807493">
        <w:rPr>
          <w:rFonts w:ascii="Arial" w:hAnsi="Arial" w:cs="Arial"/>
          <w:b/>
          <w:sz w:val="24"/>
          <w:szCs w:val="24"/>
        </w:rPr>
        <w:t>diagnostic</w:t>
      </w:r>
      <w:r w:rsidRPr="00807493">
        <w:rPr>
          <w:rFonts w:ascii="Arial" w:hAnsi="Arial" w:cs="Arial"/>
          <w:b/>
          <w:sz w:val="24"/>
          <w:szCs w:val="24"/>
        </w:rPr>
        <w:t xml:space="preserve"> </w:t>
      </w:r>
      <w:r w:rsidR="00742959" w:rsidRPr="00807493">
        <w:rPr>
          <w:rFonts w:ascii="Arial" w:hAnsi="Arial" w:cs="Arial"/>
          <w:b/>
          <w:sz w:val="24"/>
          <w:szCs w:val="24"/>
        </w:rPr>
        <w:t>(</w:t>
      </w:r>
      <w:r w:rsidR="001813E5" w:rsidRPr="00807493">
        <w:rPr>
          <w:rFonts w:ascii="Arial" w:hAnsi="Arial" w:cs="Arial"/>
          <w:b/>
          <w:sz w:val="24"/>
          <w:szCs w:val="24"/>
        </w:rPr>
        <w:t>état des lieux</w:t>
      </w:r>
      <w:r w:rsidR="00742959" w:rsidRPr="00807493">
        <w:rPr>
          <w:rFonts w:ascii="Arial" w:hAnsi="Arial" w:cs="Arial"/>
          <w:b/>
          <w:sz w:val="24"/>
          <w:szCs w:val="24"/>
        </w:rPr>
        <w:t>)</w:t>
      </w:r>
      <w:r w:rsidR="00742959">
        <w:rPr>
          <w:rFonts w:ascii="Arial" w:hAnsi="Arial" w:cs="Arial"/>
          <w:sz w:val="24"/>
          <w:szCs w:val="24"/>
        </w:rPr>
        <w:t xml:space="preserve"> </w:t>
      </w:r>
    </w:p>
    <w:p w14:paraId="40470EB9" w14:textId="1435B035" w:rsidR="00426FC3" w:rsidRDefault="00742959" w:rsidP="00426FC3">
      <w:pPr>
        <w:spacing w:line="360" w:lineRule="auto"/>
        <w:jc w:val="both"/>
        <w:rPr>
          <w:rFonts w:ascii="Arial" w:hAnsi="Arial" w:cs="Arial"/>
          <w:sz w:val="24"/>
          <w:szCs w:val="24"/>
        </w:rPr>
      </w:pPr>
      <w:r>
        <w:rPr>
          <w:rFonts w:ascii="Arial" w:hAnsi="Arial" w:cs="Arial"/>
          <w:sz w:val="24"/>
          <w:szCs w:val="24"/>
        </w:rPr>
        <w:t>C</w:t>
      </w:r>
      <w:r w:rsidR="00426FC3" w:rsidRPr="007234FD">
        <w:rPr>
          <w:rFonts w:ascii="Arial" w:hAnsi="Arial" w:cs="Arial"/>
          <w:sz w:val="24"/>
          <w:szCs w:val="24"/>
        </w:rPr>
        <w:t>ette phase a consisté en une revue documentaire</w:t>
      </w:r>
      <w:r w:rsidR="00426FC3">
        <w:rPr>
          <w:rFonts w:ascii="Arial" w:hAnsi="Arial" w:cs="Arial"/>
          <w:sz w:val="24"/>
          <w:szCs w:val="24"/>
        </w:rPr>
        <w:t xml:space="preserve"> (</w:t>
      </w:r>
      <w:r w:rsidR="00426FC3" w:rsidRPr="0021723B">
        <w:rPr>
          <w:sz w:val="24"/>
          <w:szCs w:val="24"/>
          <w:shd w:val="clear" w:color="auto" w:fill="F7CAAC" w:themeFill="accent2" w:themeFillTint="66"/>
        </w:rPr>
        <w:t xml:space="preserve">voir </w:t>
      </w:r>
      <w:r w:rsidRPr="0021723B">
        <w:rPr>
          <w:sz w:val="24"/>
          <w:szCs w:val="24"/>
          <w:shd w:val="clear" w:color="auto" w:fill="F7CAAC" w:themeFill="accent2" w:themeFillTint="66"/>
        </w:rPr>
        <w:t xml:space="preserve">liste des documents utilisés </w:t>
      </w:r>
      <w:r w:rsidR="0021723B" w:rsidRPr="00DE04E1">
        <w:rPr>
          <w:shd w:val="clear" w:color="auto" w:fill="F7CAAC" w:themeFill="accent2" w:themeFillTint="66"/>
        </w:rPr>
        <w:t xml:space="preserve">dans le dossier </w:t>
      </w:r>
      <w:r w:rsidR="0021723B" w:rsidRPr="00DE04E1">
        <w:rPr>
          <w:b/>
          <w:bCs/>
          <w:i/>
          <w:iCs/>
          <w:shd w:val="clear" w:color="auto" w:fill="F7CAAC" w:themeFill="accent2" w:themeFillTint="66"/>
        </w:rPr>
        <w:t xml:space="preserve">Annexe </w:t>
      </w:r>
      <w:r w:rsidR="0021723B">
        <w:rPr>
          <w:b/>
          <w:bCs/>
          <w:i/>
          <w:iCs/>
          <w:shd w:val="clear" w:color="auto" w:fill="F7CAAC" w:themeFill="accent2" w:themeFillTint="66"/>
        </w:rPr>
        <w:t>1</w:t>
      </w:r>
      <w:r w:rsidR="00426FC3">
        <w:rPr>
          <w:rFonts w:ascii="Arial" w:hAnsi="Arial" w:cs="Arial"/>
          <w:sz w:val="24"/>
          <w:szCs w:val="24"/>
        </w:rPr>
        <w:t>)</w:t>
      </w:r>
      <w:r w:rsidR="00426FC3" w:rsidRPr="007234FD">
        <w:rPr>
          <w:rFonts w:ascii="Arial" w:hAnsi="Arial" w:cs="Arial"/>
          <w:sz w:val="24"/>
          <w:szCs w:val="24"/>
        </w:rPr>
        <w:t xml:space="preserve"> </w:t>
      </w:r>
      <w:r w:rsidR="00426FC3">
        <w:rPr>
          <w:rFonts w:ascii="Arial" w:hAnsi="Arial" w:cs="Arial"/>
          <w:sz w:val="24"/>
          <w:szCs w:val="24"/>
        </w:rPr>
        <w:t>et des entretiens avec les</w:t>
      </w:r>
      <w:r w:rsidR="00426FC3" w:rsidRPr="007234FD">
        <w:rPr>
          <w:rFonts w:ascii="Arial" w:hAnsi="Arial" w:cs="Arial"/>
          <w:sz w:val="24"/>
          <w:szCs w:val="24"/>
        </w:rPr>
        <w:t xml:space="preserve"> différents acteurs</w:t>
      </w:r>
      <w:r w:rsidR="00426FC3">
        <w:rPr>
          <w:rFonts w:ascii="Arial" w:hAnsi="Arial" w:cs="Arial"/>
          <w:sz w:val="24"/>
          <w:szCs w:val="24"/>
        </w:rPr>
        <w:t xml:space="preserve"> nationaux et des partenaires techniques (</w:t>
      </w:r>
      <w:r w:rsidRPr="0021723B">
        <w:rPr>
          <w:sz w:val="24"/>
          <w:szCs w:val="24"/>
          <w:shd w:val="clear" w:color="auto" w:fill="F7CAAC" w:themeFill="accent2" w:themeFillTint="66"/>
        </w:rPr>
        <w:t>v</w:t>
      </w:r>
      <w:r w:rsidR="00426FC3" w:rsidRPr="0021723B">
        <w:rPr>
          <w:sz w:val="24"/>
          <w:szCs w:val="24"/>
          <w:shd w:val="clear" w:color="auto" w:fill="F7CAAC" w:themeFill="accent2" w:themeFillTint="66"/>
        </w:rPr>
        <w:t xml:space="preserve">oir </w:t>
      </w:r>
      <w:r w:rsidRPr="0021723B">
        <w:rPr>
          <w:sz w:val="24"/>
          <w:szCs w:val="24"/>
          <w:shd w:val="clear" w:color="auto" w:fill="F7CAAC" w:themeFill="accent2" w:themeFillTint="66"/>
        </w:rPr>
        <w:t xml:space="preserve">liste des structures rencontrée </w:t>
      </w:r>
      <w:r w:rsidR="0021723B" w:rsidRPr="00DE04E1">
        <w:rPr>
          <w:shd w:val="clear" w:color="auto" w:fill="F7CAAC" w:themeFill="accent2" w:themeFillTint="66"/>
        </w:rPr>
        <w:t xml:space="preserve">dans le dossier </w:t>
      </w:r>
      <w:r w:rsidR="0021723B" w:rsidRPr="00DE04E1">
        <w:rPr>
          <w:b/>
          <w:bCs/>
          <w:i/>
          <w:iCs/>
          <w:shd w:val="clear" w:color="auto" w:fill="F7CAAC" w:themeFill="accent2" w:themeFillTint="66"/>
        </w:rPr>
        <w:t xml:space="preserve">Annexe </w:t>
      </w:r>
      <w:r w:rsidR="0021723B">
        <w:rPr>
          <w:b/>
          <w:bCs/>
          <w:i/>
          <w:iCs/>
          <w:shd w:val="clear" w:color="auto" w:fill="F7CAAC" w:themeFill="accent2" w:themeFillTint="66"/>
        </w:rPr>
        <w:t>1</w:t>
      </w:r>
      <w:r w:rsidR="00843A92" w:rsidRPr="0021723B">
        <w:rPr>
          <w:sz w:val="24"/>
          <w:szCs w:val="24"/>
          <w:shd w:val="clear" w:color="auto" w:fill="F7CAAC" w:themeFill="accent2" w:themeFillTint="66"/>
        </w:rPr>
        <w:t>)</w:t>
      </w:r>
      <w:r w:rsidR="00426FC3" w:rsidRPr="0021723B">
        <w:rPr>
          <w:sz w:val="24"/>
          <w:szCs w:val="24"/>
          <w:shd w:val="clear" w:color="auto" w:fill="F7CAAC" w:themeFill="accent2" w:themeFillTint="66"/>
        </w:rPr>
        <w:t>.</w:t>
      </w:r>
      <w:r w:rsidR="00426FC3">
        <w:rPr>
          <w:rFonts w:ascii="Arial" w:hAnsi="Arial" w:cs="Arial"/>
          <w:sz w:val="24"/>
          <w:szCs w:val="24"/>
        </w:rPr>
        <w:t xml:space="preserve"> Ces rencontres ont permis de recueillir l’état des lieux du système d’information (processus de collecte et de remontée des données</w:t>
      </w:r>
      <w:r>
        <w:rPr>
          <w:rFonts w:ascii="Arial" w:hAnsi="Arial" w:cs="Arial"/>
          <w:sz w:val="24"/>
          <w:szCs w:val="24"/>
        </w:rPr>
        <w:t> ;</w:t>
      </w:r>
      <w:r w:rsidR="00426FC3">
        <w:rPr>
          <w:rFonts w:ascii="Arial" w:hAnsi="Arial" w:cs="Arial"/>
          <w:sz w:val="24"/>
          <w:szCs w:val="24"/>
        </w:rPr>
        <w:t xml:space="preserve"> implémentations</w:t>
      </w:r>
      <w:r>
        <w:rPr>
          <w:rFonts w:ascii="Arial" w:hAnsi="Arial" w:cs="Arial"/>
          <w:sz w:val="24"/>
          <w:szCs w:val="24"/>
        </w:rPr>
        <w:t> ;</w:t>
      </w:r>
      <w:r w:rsidR="00843A92">
        <w:rPr>
          <w:rFonts w:ascii="Arial" w:hAnsi="Arial" w:cs="Arial"/>
          <w:sz w:val="24"/>
          <w:szCs w:val="24"/>
        </w:rPr>
        <w:t xml:space="preserve"> </w:t>
      </w:r>
      <w:r w:rsidR="00843A92" w:rsidRPr="00843A92">
        <w:rPr>
          <w:rFonts w:ascii="Arial" w:hAnsi="Arial" w:cs="Arial"/>
          <w:sz w:val="24"/>
          <w:szCs w:val="24"/>
        </w:rPr>
        <w:t>attentes et besoins des utilisateurs du système de santé</w:t>
      </w:r>
      <w:r w:rsidR="00426FC3">
        <w:rPr>
          <w:rFonts w:ascii="Arial" w:hAnsi="Arial" w:cs="Arial"/>
          <w:sz w:val="24"/>
          <w:szCs w:val="24"/>
        </w:rPr>
        <w:t>)</w:t>
      </w:r>
      <w:r w:rsidR="00426FC3" w:rsidRPr="007234FD">
        <w:rPr>
          <w:rFonts w:ascii="Arial" w:hAnsi="Arial" w:cs="Arial"/>
          <w:sz w:val="24"/>
          <w:szCs w:val="24"/>
        </w:rPr>
        <w:t xml:space="preserve">. </w:t>
      </w:r>
      <w:r w:rsidR="00426FC3">
        <w:rPr>
          <w:rFonts w:ascii="Arial" w:hAnsi="Arial" w:cs="Arial"/>
          <w:sz w:val="24"/>
          <w:szCs w:val="24"/>
        </w:rPr>
        <w:t xml:space="preserve">Tous les acteurs susceptibles d’intervenir dans la gouvernance du système d’information ont été interviewés. Les interviews avec l’ensemble des acteurs ont été réalisées </w:t>
      </w:r>
      <w:r>
        <w:rPr>
          <w:rFonts w:ascii="Arial" w:hAnsi="Arial" w:cs="Arial"/>
          <w:sz w:val="24"/>
          <w:szCs w:val="24"/>
        </w:rPr>
        <w:t xml:space="preserve">en </w:t>
      </w:r>
      <w:r w:rsidR="00426FC3">
        <w:rPr>
          <w:rFonts w:ascii="Arial" w:hAnsi="Arial" w:cs="Arial"/>
          <w:sz w:val="24"/>
          <w:szCs w:val="24"/>
        </w:rPr>
        <w:t>tenant compte de leur rôle direct ou indirect dans la stratégie numérique du ministère de la santé.</w:t>
      </w:r>
    </w:p>
    <w:p w14:paraId="5E39B479" w14:textId="6AB591F4" w:rsidR="00426FC3" w:rsidRPr="007234FD" w:rsidRDefault="00426FC3" w:rsidP="00426FC3">
      <w:pPr>
        <w:spacing w:line="360" w:lineRule="auto"/>
        <w:jc w:val="both"/>
        <w:rPr>
          <w:rFonts w:ascii="Arial" w:hAnsi="Arial" w:cs="Arial"/>
          <w:sz w:val="24"/>
          <w:szCs w:val="24"/>
        </w:rPr>
      </w:pPr>
      <w:r>
        <w:rPr>
          <w:rFonts w:ascii="Arial" w:hAnsi="Arial" w:cs="Arial"/>
          <w:sz w:val="24"/>
          <w:szCs w:val="24"/>
        </w:rPr>
        <w:t xml:space="preserve">La synthèse des résultats des entretiens et de la revue documentaire de </w:t>
      </w:r>
      <w:r w:rsidRPr="007234FD">
        <w:rPr>
          <w:rFonts w:ascii="Arial" w:hAnsi="Arial" w:cs="Arial"/>
          <w:sz w:val="24"/>
          <w:szCs w:val="24"/>
        </w:rPr>
        <w:t xml:space="preserve">cette phase diagnostique </w:t>
      </w:r>
      <w:r>
        <w:rPr>
          <w:rFonts w:ascii="Arial" w:hAnsi="Arial" w:cs="Arial"/>
          <w:sz w:val="24"/>
          <w:szCs w:val="24"/>
        </w:rPr>
        <w:t>est résumé</w:t>
      </w:r>
      <w:r w:rsidR="00686AF0">
        <w:rPr>
          <w:rFonts w:ascii="Arial" w:hAnsi="Arial" w:cs="Arial"/>
          <w:sz w:val="24"/>
          <w:szCs w:val="24"/>
        </w:rPr>
        <w:t>e</w:t>
      </w:r>
      <w:r>
        <w:rPr>
          <w:rFonts w:ascii="Arial" w:hAnsi="Arial" w:cs="Arial"/>
          <w:sz w:val="24"/>
          <w:szCs w:val="24"/>
        </w:rPr>
        <w:t xml:space="preserve"> dans </w:t>
      </w:r>
      <w:r w:rsidR="00E64DF4">
        <w:rPr>
          <w:rFonts w:ascii="Arial" w:hAnsi="Arial" w:cs="Arial"/>
          <w:sz w:val="24"/>
          <w:szCs w:val="24"/>
        </w:rPr>
        <w:t>une matrice</w:t>
      </w:r>
      <w:r w:rsidR="00F03528">
        <w:rPr>
          <w:rFonts w:ascii="Arial" w:hAnsi="Arial" w:cs="Arial"/>
          <w:sz w:val="24"/>
          <w:szCs w:val="24"/>
        </w:rPr>
        <w:t xml:space="preserve"> FFOM </w:t>
      </w:r>
      <w:r w:rsidR="00E64DF4">
        <w:rPr>
          <w:rFonts w:ascii="Arial" w:hAnsi="Arial" w:cs="Arial"/>
          <w:sz w:val="24"/>
          <w:szCs w:val="24"/>
        </w:rPr>
        <w:t>(fo</w:t>
      </w:r>
      <w:r>
        <w:rPr>
          <w:rFonts w:ascii="Arial" w:hAnsi="Arial" w:cs="Arial"/>
          <w:sz w:val="24"/>
          <w:szCs w:val="24"/>
        </w:rPr>
        <w:t>rces, faiblesses, opportunités et menaces</w:t>
      </w:r>
      <w:r w:rsidR="005E71FF">
        <w:rPr>
          <w:rFonts w:ascii="Arial" w:hAnsi="Arial" w:cs="Arial"/>
          <w:sz w:val="24"/>
          <w:szCs w:val="24"/>
        </w:rPr>
        <w:t>)</w:t>
      </w:r>
      <w:r w:rsidRPr="007234FD">
        <w:rPr>
          <w:rFonts w:ascii="Arial" w:hAnsi="Arial" w:cs="Arial"/>
          <w:sz w:val="24"/>
          <w:szCs w:val="24"/>
        </w:rPr>
        <w:t>.</w:t>
      </w:r>
    </w:p>
    <w:p w14:paraId="6B56B4BE" w14:textId="1D53E072" w:rsidR="00F03528" w:rsidRDefault="00426FC3" w:rsidP="00E64DF4">
      <w:pPr>
        <w:spacing w:line="360" w:lineRule="auto"/>
        <w:jc w:val="both"/>
        <w:rPr>
          <w:rFonts w:ascii="Arial" w:hAnsi="Arial" w:cs="Arial"/>
          <w:sz w:val="24"/>
          <w:szCs w:val="24"/>
        </w:rPr>
      </w:pPr>
      <w:r w:rsidRPr="007234FD">
        <w:rPr>
          <w:rFonts w:ascii="Arial" w:hAnsi="Arial" w:cs="Arial"/>
          <w:sz w:val="24"/>
          <w:szCs w:val="24"/>
        </w:rPr>
        <w:t>-</w:t>
      </w:r>
      <w:r w:rsidR="0021723B" w:rsidRPr="0021723B">
        <w:rPr>
          <w:rFonts w:ascii="Arial" w:hAnsi="Arial" w:cs="Arial"/>
          <w:b/>
          <w:bCs/>
          <w:sz w:val="24"/>
          <w:szCs w:val="24"/>
        </w:rPr>
        <w:t xml:space="preserve"> </w:t>
      </w:r>
      <w:r w:rsidR="00F03528" w:rsidRPr="0021723B">
        <w:rPr>
          <w:rFonts w:ascii="Arial" w:hAnsi="Arial" w:cs="Arial"/>
          <w:b/>
          <w:bCs/>
          <w:sz w:val="24"/>
          <w:szCs w:val="24"/>
        </w:rPr>
        <w:t>la</w:t>
      </w:r>
      <w:r w:rsidR="00F03528">
        <w:rPr>
          <w:rFonts w:ascii="Arial" w:hAnsi="Arial" w:cs="Arial"/>
          <w:sz w:val="24"/>
          <w:szCs w:val="24"/>
        </w:rPr>
        <w:t xml:space="preserve"> </w:t>
      </w:r>
      <w:r w:rsidR="00F03528" w:rsidRPr="00807493">
        <w:rPr>
          <w:rFonts w:ascii="Arial" w:hAnsi="Arial" w:cs="Arial"/>
          <w:b/>
          <w:sz w:val="24"/>
          <w:szCs w:val="24"/>
        </w:rPr>
        <w:t xml:space="preserve">phase </w:t>
      </w:r>
      <w:r w:rsidR="00742959" w:rsidRPr="00807493">
        <w:rPr>
          <w:rFonts w:ascii="Arial" w:hAnsi="Arial" w:cs="Arial"/>
          <w:b/>
          <w:sz w:val="24"/>
          <w:szCs w:val="24"/>
        </w:rPr>
        <w:t xml:space="preserve">de </w:t>
      </w:r>
      <w:r w:rsidR="0036488B" w:rsidRPr="00807493">
        <w:rPr>
          <w:rFonts w:ascii="Arial" w:hAnsi="Arial" w:cs="Arial"/>
          <w:b/>
          <w:sz w:val="24"/>
          <w:szCs w:val="24"/>
        </w:rPr>
        <w:t>proposition</w:t>
      </w:r>
      <w:r w:rsidRPr="00807493">
        <w:rPr>
          <w:rFonts w:ascii="Arial" w:hAnsi="Arial" w:cs="Arial"/>
          <w:b/>
          <w:sz w:val="24"/>
          <w:szCs w:val="24"/>
        </w:rPr>
        <w:t xml:space="preserve"> </w:t>
      </w:r>
      <w:r w:rsidR="008607FB" w:rsidRPr="00807493">
        <w:rPr>
          <w:rFonts w:ascii="Arial" w:hAnsi="Arial" w:cs="Arial"/>
          <w:b/>
          <w:sz w:val="24"/>
          <w:szCs w:val="24"/>
        </w:rPr>
        <w:t xml:space="preserve">pour le </w:t>
      </w:r>
      <w:r w:rsidRPr="00807493">
        <w:rPr>
          <w:rFonts w:ascii="Arial" w:hAnsi="Arial" w:cs="Arial"/>
          <w:b/>
          <w:sz w:val="24"/>
          <w:szCs w:val="24"/>
        </w:rPr>
        <w:t xml:space="preserve">renforcement et </w:t>
      </w:r>
      <w:r w:rsidR="00742959" w:rsidRPr="00807493">
        <w:rPr>
          <w:rFonts w:ascii="Arial" w:hAnsi="Arial" w:cs="Arial"/>
          <w:b/>
          <w:sz w:val="24"/>
          <w:szCs w:val="24"/>
        </w:rPr>
        <w:t>l</w:t>
      </w:r>
      <w:r w:rsidRPr="00807493">
        <w:rPr>
          <w:rFonts w:ascii="Arial" w:hAnsi="Arial" w:cs="Arial"/>
          <w:b/>
          <w:sz w:val="24"/>
          <w:szCs w:val="24"/>
        </w:rPr>
        <w:t>'extension du SNIS</w:t>
      </w:r>
    </w:p>
    <w:p w14:paraId="32A70CFC" w14:textId="5B8C14BE" w:rsidR="00E64DF4" w:rsidRDefault="00426FC3" w:rsidP="00E64DF4">
      <w:pPr>
        <w:spacing w:line="360" w:lineRule="auto"/>
        <w:jc w:val="both"/>
        <w:rPr>
          <w:rFonts w:ascii="Arial" w:hAnsi="Arial" w:cs="Arial"/>
          <w:sz w:val="24"/>
          <w:szCs w:val="24"/>
        </w:rPr>
      </w:pPr>
      <w:r>
        <w:rPr>
          <w:rFonts w:ascii="Arial" w:hAnsi="Arial" w:cs="Arial"/>
          <w:sz w:val="24"/>
          <w:szCs w:val="24"/>
        </w:rPr>
        <w:t xml:space="preserve"> Cette étape </w:t>
      </w:r>
      <w:r w:rsidR="00F03528">
        <w:rPr>
          <w:rFonts w:ascii="Arial" w:hAnsi="Arial" w:cs="Arial"/>
          <w:sz w:val="24"/>
          <w:szCs w:val="24"/>
        </w:rPr>
        <w:t xml:space="preserve">a </w:t>
      </w:r>
      <w:r w:rsidR="0021723B">
        <w:rPr>
          <w:rFonts w:ascii="Arial" w:hAnsi="Arial" w:cs="Arial"/>
          <w:sz w:val="24"/>
          <w:szCs w:val="24"/>
        </w:rPr>
        <w:t>consisté</w:t>
      </w:r>
      <w:r w:rsidR="00F03528">
        <w:rPr>
          <w:rFonts w:ascii="Arial" w:hAnsi="Arial" w:cs="Arial"/>
          <w:sz w:val="24"/>
          <w:szCs w:val="24"/>
        </w:rPr>
        <w:t xml:space="preserve"> à </w:t>
      </w:r>
      <w:r>
        <w:rPr>
          <w:rFonts w:ascii="Arial" w:hAnsi="Arial" w:cs="Arial"/>
          <w:sz w:val="24"/>
          <w:szCs w:val="24"/>
        </w:rPr>
        <w:t>analyse</w:t>
      </w:r>
      <w:r w:rsidR="00F03528">
        <w:rPr>
          <w:rFonts w:ascii="Arial" w:hAnsi="Arial" w:cs="Arial"/>
          <w:sz w:val="24"/>
          <w:szCs w:val="24"/>
        </w:rPr>
        <w:t>r</w:t>
      </w:r>
      <w:r>
        <w:rPr>
          <w:rFonts w:ascii="Arial" w:hAnsi="Arial" w:cs="Arial"/>
          <w:sz w:val="24"/>
          <w:szCs w:val="24"/>
        </w:rPr>
        <w:t xml:space="preserve"> </w:t>
      </w:r>
      <w:r w:rsidR="00C51600">
        <w:rPr>
          <w:rFonts w:ascii="Arial" w:hAnsi="Arial" w:cs="Arial"/>
          <w:sz w:val="24"/>
          <w:szCs w:val="24"/>
        </w:rPr>
        <w:t>l</w:t>
      </w:r>
      <w:r>
        <w:rPr>
          <w:rFonts w:ascii="Arial" w:hAnsi="Arial" w:cs="Arial"/>
          <w:sz w:val="24"/>
          <w:szCs w:val="24"/>
        </w:rPr>
        <w:t>es applications métiers déploy</w:t>
      </w:r>
      <w:r w:rsidR="00742959">
        <w:rPr>
          <w:rFonts w:ascii="Arial" w:hAnsi="Arial" w:cs="Arial"/>
          <w:sz w:val="24"/>
          <w:szCs w:val="24"/>
        </w:rPr>
        <w:t>ées</w:t>
      </w:r>
      <w:r>
        <w:rPr>
          <w:rFonts w:ascii="Arial" w:hAnsi="Arial" w:cs="Arial"/>
          <w:sz w:val="24"/>
          <w:szCs w:val="24"/>
        </w:rPr>
        <w:t xml:space="preserve"> et à propose</w:t>
      </w:r>
      <w:r w:rsidR="00F03528">
        <w:rPr>
          <w:rFonts w:ascii="Arial" w:hAnsi="Arial" w:cs="Arial"/>
          <w:sz w:val="24"/>
          <w:szCs w:val="24"/>
        </w:rPr>
        <w:t>r</w:t>
      </w:r>
      <w:r>
        <w:rPr>
          <w:rFonts w:ascii="Arial" w:hAnsi="Arial" w:cs="Arial"/>
          <w:sz w:val="24"/>
          <w:szCs w:val="24"/>
        </w:rPr>
        <w:t xml:space="preserve"> un modèle architectural pour la constitution d’un entrepôt de données. </w:t>
      </w:r>
      <w:r w:rsidR="00430121">
        <w:rPr>
          <w:rFonts w:ascii="Arial" w:hAnsi="Arial" w:cs="Arial"/>
          <w:sz w:val="24"/>
          <w:szCs w:val="24"/>
        </w:rPr>
        <w:t>C</w:t>
      </w:r>
      <w:r w:rsidR="00E64DF4">
        <w:rPr>
          <w:rFonts w:ascii="Arial" w:hAnsi="Arial" w:cs="Arial"/>
          <w:sz w:val="24"/>
          <w:szCs w:val="24"/>
        </w:rPr>
        <w:t>e document donne les détails des architectures technique</w:t>
      </w:r>
      <w:r w:rsidR="00686AF0">
        <w:rPr>
          <w:rFonts w:ascii="Arial" w:hAnsi="Arial" w:cs="Arial"/>
          <w:sz w:val="24"/>
          <w:szCs w:val="24"/>
        </w:rPr>
        <w:t>s</w:t>
      </w:r>
      <w:r w:rsidR="00E64DF4">
        <w:rPr>
          <w:rFonts w:ascii="Arial" w:hAnsi="Arial" w:cs="Arial"/>
          <w:sz w:val="24"/>
          <w:szCs w:val="24"/>
        </w:rPr>
        <w:t xml:space="preserve"> et fonctionnelle</w:t>
      </w:r>
      <w:r w:rsidR="00686AF0">
        <w:rPr>
          <w:rFonts w:ascii="Arial" w:hAnsi="Arial" w:cs="Arial"/>
          <w:sz w:val="24"/>
          <w:szCs w:val="24"/>
        </w:rPr>
        <w:t>s</w:t>
      </w:r>
      <w:r w:rsidR="00E64DF4">
        <w:rPr>
          <w:rFonts w:ascii="Arial" w:hAnsi="Arial" w:cs="Arial"/>
          <w:sz w:val="24"/>
          <w:szCs w:val="24"/>
        </w:rPr>
        <w:t xml:space="preserve"> cible</w:t>
      </w:r>
      <w:r w:rsidR="00686AF0">
        <w:rPr>
          <w:rFonts w:ascii="Arial" w:hAnsi="Arial" w:cs="Arial"/>
          <w:sz w:val="24"/>
          <w:szCs w:val="24"/>
        </w:rPr>
        <w:t>s</w:t>
      </w:r>
      <w:r w:rsidR="00E64DF4">
        <w:rPr>
          <w:rFonts w:ascii="Arial" w:hAnsi="Arial" w:cs="Arial"/>
          <w:sz w:val="24"/>
          <w:szCs w:val="24"/>
        </w:rPr>
        <w:t xml:space="preserve"> d’une base de données décisionnelle qui va capitaliser toutes les bases opérationnelles</w:t>
      </w:r>
      <w:r w:rsidR="008F0B38">
        <w:rPr>
          <w:rFonts w:ascii="Arial" w:hAnsi="Arial" w:cs="Arial"/>
          <w:sz w:val="24"/>
          <w:szCs w:val="24"/>
        </w:rPr>
        <w:t xml:space="preserve"> </w:t>
      </w:r>
      <w:r w:rsidR="00E64DF4">
        <w:rPr>
          <w:rFonts w:ascii="Arial" w:hAnsi="Arial" w:cs="Arial"/>
          <w:sz w:val="24"/>
          <w:szCs w:val="24"/>
        </w:rPr>
        <w:t>du système d’information de la Guinée.</w:t>
      </w:r>
      <w:r w:rsidR="008F0B38">
        <w:rPr>
          <w:rFonts w:ascii="Arial" w:hAnsi="Arial" w:cs="Arial"/>
          <w:sz w:val="24"/>
          <w:szCs w:val="24"/>
        </w:rPr>
        <w:t xml:space="preserve"> Les bases de données opérationnelles sont constituées des applications</w:t>
      </w:r>
      <w:r w:rsidR="00430121">
        <w:rPr>
          <w:rFonts w:ascii="Arial" w:hAnsi="Arial" w:cs="Arial"/>
          <w:sz w:val="24"/>
          <w:szCs w:val="24"/>
        </w:rPr>
        <w:t xml:space="preserve"> métiers</w:t>
      </w:r>
      <w:r w:rsidR="008F0B38">
        <w:rPr>
          <w:rFonts w:ascii="Arial" w:hAnsi="Arial" w:cs="Arial"/>
          <w:sz w:val="24"/>
          <w:szCs w:val="24"/>
        </w:rPr>
        <w:t xml:space="preserve"> qui permettent </w:t>
      </w:r>
      <w:r w:rsidR="009C57C3">
        <w:rPr>
          <w:rFonts w:ascii="Arial" w:hAnsi="Arial" w:cs="Arial"/>
          <w:sz w:val="24"/>
          <w:szCs w:val="24"/>
        </w:rPr>
        <w:t>de</w:t>
      </w:r>
      <w:r w:rsidR="008F0B38" w:rsidRPr="008F0B38">
        <w:rPr>
          <w:rFonts w:ascii="Arial" w:hAnsi="Arial" w:cs="Arial"/>
          <w:sz w:val="24"/>
          <w:szCs w:val="24"/>
        </w:rPr>
        <w:t xml:space="preserve"> capt</w:t>
      </w:r>
      <w:r w:rsidR="009C57C3">
        <w:rPr>
          <w:rFonts w:ascii="Arial" w:hAnsi="Arial" w:cs="Arial"/>
          <w:sz w:val="24"/>
          <w:szCs w:val="24"/>
        </w:rPr>
        <w:t>er</w:t>
      </w:r>
      <w:r w:rsidR="008F0B38" w:rsidRPr="008F0B38">
        <w:rPr>
          <w:rFonts w:ascii="Arial" w:hAnsi="Arial" w:cs="Arial"/>
          <w:sz w:val="24"/>
          <w:szCs w:val="24"/>
        </w:rPr>
        <w:t xml:space="preserve"> les données issues de toutes les structures du ministère</w:t>
      </w:r>
      <w:r w:rsidR="009C57C3">
        <w:rPr>
          <w:rFonts w:ascii="Arial" w:hAnsi="Arial" w:cs="Arial"/>
          <w:sz w:val="24"/>
          <w:szCs w:val="24"/>
        </w:rPr>
        <w:t xml:space="preserve">. L’architecture est schématisée à partir du modèle proposé par </w:t>
      </w:r>
      <w:r w:rsidR="009C57C3" w:rsidRPr="009C57C3">
        <w:rPr>
          <w:rFonts w:ascii="Arial" w:hAnsi="Arial" w:cs="Arial"/>
          <w:sz w:val="24"/>
          <w:szCs w:val="24"/>
        </w:rPr>
        <w:t>Kimball</w:t>
      </w:r>
      <w:r w:rsidR="009C57C3">
        <w:rPr>
          <w:rStyle w:val="FootnoteReference"/>
          <w:rFonts w:ascii="Arial" w:hAnsi="Arial" w:cs="Arial"/>
          <w:sz w:val="24"/>
          <w:szCs w:val="24"/>
        </w:rPr>
        <w:footnoteReference w:id="1"/>
      </w:r>
      <w:r w:rsidR="009C57C3">
        <w:rPr>
          <w:rFonts w:ascii="Arial" w:hAnsi="Arial" w:cs="Arial"/>
          <w:sz w:val="24"/>
          <w:szCs w:val="24"/>
        </w:rPr>
        <w:t xml:space="preserve">. Il s’agit d’une architecture urbanisée </w:t>
      </w:r>
      <w:r w:rsidR="00E64DF4" w:rsidRPr="00E64DF4">
        <w:rPr>
          <w:rFonts w:ascii="Arial" w:hAnsi="Arial" w:cs="Arial"/>
          <w:sz w:val="24"/>
          <w:szCs w:val="24"/>
        </w:rPr>
        <w:t>capable de s’adapter aux futurs besoins d</w:t>
      </w:r>
      <w:r w:rsidR="00E64DF4">
        <w:rPr>
          <w:rFonts w:ascii="Arial" w:hAnsi="Arial" w:cs="Arial"/>
          <w:sz w:val="24"/>
          <w:szCs w:val="24"/>
        </w:rPr>
        <w:t>u ministère de la santé</w:t>
      </w:r>
      <w:r w:rsidR="00E64DF4" w:rsidRPr="00E64DF4">
        <w:rPr>
          <w:rFonts w:ascii="Arial" w:hAnsi="Arial" w:cs="Arial"/>
          <w:sz w:val="24"/>
          <w:szCs w:val="24"/>
        </w:rPr>
        <w:t xml:space="preserve">. </w:t>
      </w:r>
    </w:p>
    <w:p w14:paraId="2804A3C0" w14:textId="77777777" w:rsidR="0021723B" w:rsidRDefault="0021723B" w:rsidP="000E77E4">
      <w:pPr>
        <w:spacing w:line="360" w:lineRule="auto"/>
        <w:jc w:val="both"/>
        <w:rPr>
          <w:rFonts w:ascii="Arial" w:hAnsi="Arial" w:cs="Arial"/>
          <w:sz w:val="24"/>
          <w:szCs w:val="24"/>
        </w:rPr>
        <w:sectPr w:rsidR="0021723B">
          <w:pgSz w:w="11906" w:h="16838"/>
          <w:pgMar w:top="1417" w:right="1417" w:bottom="1417" w:left="1417" w:header="708" w:footer="708" w:gutter="0"/>
          <w:cols w:space="708"/>
          <w:docGrid w:linePitch="360"/>
        </w:sectPr>
      </w:pPr>
    </w:p>
    <w:p w14:paraId="13C66883" w14:textId="43AA2B32" w:rsidR="007053E3" w:rsidRDefault="00426FC3" w:rsidP="0021723B">
      <w:pPr>
        <w:pStyle w:val="Heading1"/>
      </w:pPr>
      <w:r>
        <w:rPr>
          <w:sz w:val="24"/>
          <w:szCs w:val="24"/>
        </w:rPr>
        <w:lastRenderedPageBreak/>
        <w:t xml:space="preserve">  </w:t>
      </w:r>
      <w:bookmarkStart w:id="6" w:name="_Toc95082852"/>
      <w:r w:rsidR="00CB197B" w:rsidRPr="0021723B">
        <w:rPr>
          <w:rFonts w:ascii="Arial" w:hAnsi="Arial" w:cs="Arial"/>
          <w:b/>
          <w:bCs/>
          <w:color w:val="000000" w:themeColor="text1"/>
          <w:sz w:val="26"/>
          <w:szCs w:val="26"/>
        </w:rPr>
        <w:t>1</w:t>
      </w:r>
      <w:r w:rsidR="007053E3" w:rsidRPr="0021723B">
        <w:rPr>
          <w:rFonts w:ascii="Arial" w:hAnsi="Arial" w:cs="Arial"/>
          <w:b/>
          <w:bCs/>
          <w:color w:val="000000" w:themeColor="text1"/>
          <w:sz w:val="26"/>
          <w:szCs w:val="26"/>
        </w:rPr>
        <w:t xml:space="preserve">. </w:t>
      </w:r>
      <w:r w:rsidR="00686AF0" w:rsidRPr="0021723B">
        <w:rPr>
          <w:rFonts w:ascii="Arial" w:hAnsi="Arial" w:cs="Arial"/>
          <w:b/>
          <w:bCs/>
          <w:color w:val="000000" w:themeColor="text1"/>
          <w:sz w:val="26"/>
          <w:szCs w:val="26"/>
        </w:rPr>
        <w:t>É</w:t>
      </w:r>
      <w:r w:rsidRPr="0021723B">
        <w:rPr>
          <w:rFonts w:ascii="Arial" w:hAnsi="Arial" w:cs="Arial"/>
          <w:b/>
          <w:bCs/>
          <w:color w:val="000000" w:themeColor="text1"/>
          <w:sz w:val="26"/>
          <w:szCs w:val="26"/>
        </w:rPr>
        <w:t>TAT DES LIEUX</w:t>
      </w:r>
      <w:bookmarkEnd w:id="6"/>
    </w:p>
    <w:p w14:paraId="53298E27" w14:textId="146E934E" w:rsidR="00424279" w:rsidRPr="000C68B4" w:rsidRDefault="00424279" w:rsidP="000C68B4">
      <w:pPr>
        <w:pStyle w:val="Heading2"/>
        <w:rPr>
          <w:rFonts w:ascii="Arial" w:hAnsi="Arial" w:cs="Arial"/>
          <w:i/>
          <w:iCs/>
          <w:sz w:val="24"/>
          <w:szCs w:val="24"/>
        </w:rPr>
      </w:pPr>
      <w:r>
        <w:t xml:space="preserve">    </w:t>
      </w:r>
      <w:bookmarkStart w:id="7" w:name="_Toc95082853"/>
      <w:r w:rsidR="00CB197B" w:rsidRPr="00807493">
        <w:rPr>
          <w:rFonts w:ascii="Arial" w:hAnsi="Arial" w:cs="Arial"/>
          <w:b/>
          <w:i/>
          <w:iCs/>
          <w:color w:val="000000" w:themeColor="text1"/>
          <w:sz w:val="24"/>
          <w:szCs w:val="24"/>
        </w:rPr>
        <w:t>1.</w:t>
      </w:r>
      <w:r w:rsidRPr="00807493">
        <w:rPr>
          <w:rFonts w:ascii="Arial" w:hAnsi="Arial" w:cs="Arial"/>
          <w:b/>
          <w:i/>
          <w:iCs/>
          <w:color w:val="000000" w:themeColor="text1"/>
          <w:sz w:val="24"/>
          <w:szCs w:val="24"/>
        </w:rPr>
        <w:t>1</w:t>
      </w:r>
      <w:r w:rsidRPr="000C68B4">
        <w:rPr>
          <w:rFonts w:ascii="Arial" w:hAnsi="Arial" w:cs="Arial"/>
          <w:i/>
          <w:iCs/>
          <w:color w:val="000000" w:themeColor="text1"/>
          <w:sz w:val="24"/>
          <w:szCs w:val="24"/>
        </w:rPr>
        <w:t xml:space="preserve"> </w:t>
      </w:r>
      <w:r w:rsidRPr="00807493">
        <w:rPr>
          <w:rFonts w:ascii="Arial" w:hAnsi="Arial" w:cs="Arial"/>
          <w:b/>
          <w:i/>
          <w:iCs/>
          <w:color w:val="000000" w:themeColor="text1"/>
          <w:sz w:val="24"/>
          <w:szCs w:val="24"/>
        </w:rPr>
        <w:t>Description du système d’information sanitaire</w:t>
      </w:r>
      <w:bookmarkEnd w:id="7"/>
      <w:r w:rsidRPr="000C68B4">
        <w:rPr>
          <w:rFonts w:ascii="Arial" w:hAnsi="Arial" w:cs="Arial"/>
          <w:i/>
          <w:iCs/>
          <w:color w:val="000000" w:themeColor="text1"/>
          <w:sz w:val="24"/>
          <w:szCs w:val="24"/>
        </w:rPr>
        <w:t xml:space="preserve"> </w:t>
      </w:r>
    </w:p>
    <w:p w14:paraId="7C3F44DB" w14:textId="18ED768F" w:rsidR="00424279" w:rsidRDefault="00424279" w:rsidP="00424279">
      <w:pPr>
        <w:pStyle w:val="ListParagraph"/>
        <w:spacing w:before="120" w:after="0" w:line="360" w:lineRule="auto"/>
        <w:ind w:left="0"/>
        <w:jc w:val="both"/>
        <w:rPr>
          <w:rFonts w:ascii="Arial" w:hAnsi="Arial" w:cs="Arial"/>
          <w:sz w:val="24"/>
          <w:szCs w:val="24"/>
        </w:rPr>
      </w:pPr>
      <w:r w:rsidRPr="002A1E77">
        <w:rPr>
          <w:rFonts w:ascii="Arial" w:hAnsi="Arial" w:cs="Arial"/>
          <w:sz w:val="24"/>
          <w:szCs w:val="24"/>
        </w:rPr>
        <w:t xml:space="preserve">Les activités du SNIS </w:t>
      </w:r>
      <w:r>
        <w:rPr>
          <w:rFonts w:ascii="Arial" w:hAnsi="Arial" w:cs="Arial"/>
          <w:sz w:val="24"/>
          <w:szCs w:val="24"/>
        </w:rPr>
        <w:t>sont intégrées</w:t>
      </w:r>
      <w:r w:rsidRPr="002A1E77">
        <w:rPr>
          <w:rFonts w:ascii="Arial" w:hAnsi="Arial" w:cs="Arial"/>
          <w:sz w:val="24"/>
          <w:szCs w:val="24"/>
        </w:rPr>
        <w:t xml:space="preserve"> </w:t>
      </w:r>
      <w:r>
        <w:rPr>
          <w:rFonts w:ascii="Arial" w:hAnsi="Arial" w:cs="Arial"/>
          <w:sz w:val="24"/>
          <w:szCs w:val="24"/>
        </w:rPr>
        <w:t>au</w:t>
      </w:r>
      <w:r w:rsidRPr="002A1E77">
        <w:rPr>
          <w:rFonts w:ascii="Arial" w:hAnsi="Arial" w:cs="Arial"/>
          <w:sz w:val="24"/>
          <w:szCs w:val="24"/>
        </w:rPr>
        <w:t xml:space="preserve"> paquet d’activités des structures de santé</w:t>
      </w:r>
      <w:r>
        <w:rPr>
          <w:rFonts w:ascii="Arial" w:hAnsi="Arial" w:cs="Arial"/>
          <w:sz w:val="24"/>
          <w:szCs w:val="24"/>
        </w:rPr>
        <w:t xml:space="preserve"> aux différents niveaux de la pyramide sanitaire</w:t>
      </w:r>
      <w:r w:rsidRPr="002A1E77">
        <w:rPr>
          <w:rFonts w:ascii="Arial" w:hAnsi="Arial" w:cs="Arial"/>
          <w:sz w:val="24"/>
          <w:szCs w:val="24"/>
        </w:rPr>
        <w:t xml:space="preserve">. </w:t>
      </w:r>
      <w:r>
        <w:rPr>
          <w:rFonts w:ascii="Arial" w:hAnsi="Arial" w:cs="Arial"/>
          <w:sz w:val="24"/>
          <w:szCs w:val="24"/>
        </w:rPr>
        <w:t>Le SNIS</w:t>
      </w:r>
      <w:r w:rsidRPr="002A1E77">
        <w:rPr>
          <w:rFonts w:ascii="Arial" w:hAnsi="Arial" w:cs="Arial"/>
          <w:sz w:val="24"/>
          <w:szCs w:val="24"/>
        </w:rPr>
        <w:t xml:space="preserve"> est </w:t>
      </w:r>
      <w:r>
        <w:rPr>
          <w:rFonts w:ascii="Arial" w:hAnsi="Arial" w:cs="Arial"/>
          <w:sz w:val="24"/>
          <w:szCs w:val="24"/>
        </w:rPr>
        <w:t xml:space="preserve">donc </w:t>
      </w:r>
      <w:r w:rsidRPr="002A1E77">
        <w:rPr>
          <w:rFonts w:ascii="Arial" w:hAnsi="Arial" w:cs="Arial"/>
          <w:sz w:val="24"/>
          <w:szCs w:val="24"/>
        </w:rPr>
        <w:t xml:space="preserve">organisé à l’image du système de santé de manière échelonnée. </w:t>
      </w:r>
    </w:p>
    <w:p w14:paraId="22418BD5" w14:textId="77777777" w:rsidR="00424279" w:rsidRPr="002A1E77" w:rsidRDefault="00424279" w:rsidP="00424279">
      <w:pPr>
        <w:pStyle w:val="ListParagraph"/>
        <w:spacing w:before="120" w:after="0" w:line="360" w:lineRule="auto"/>
        <w:ind w:left="0"/>
        <w:jc w:val="both"/>
        <w:rPr>
          <w:rFonts w:ascii="Arial" w:hAnsi="Arial" w:cs="Arial"/>
          <w:sz w:val="24"/>
          <w:szCs w:val="24"/>
        </w:rPr>
      </w:pPr>
      <w:r>
        <w:rPr>
          <w:rFonts w:ascii="Arial" w:hAnsi="Arial" w:cs="Arial"/>
          <w:sz w:val="24"/>
          <w:szCs w:val="24"/>
        </w:rPr>
        <w:t xml:space="preserve">Le SNIS </w:t>
      </w:r>
      <w:r w:rsidRPr="002A1E77">
        <w:rPr>
          <w:rFonts w:ascii="Arial" w:hAnsi="Arial" w:cs="Arial"/>
          <w:sz w:val="24"/>
          <w:szCs w:val="24"/>
        </w:rPr>
        <w:t xml:space="preserve">comporte schématiquement 3 niveaux : </w:t>
      </w:r>
    </w:p>
    <w:p w14:paraId="479E3109" w14:textId="5855AF19" w:rsidR="00424279" w:rsidRPr="002A1E77" w:rsidRDefault="00424279" w:rsidP="00424279">
      <w:pPr>
        <w:pStyle w:val="ListParagraph"/>
        <w:spacing w:before="120" w:after="0" w:line="360" w:lineRule="auto"/>
        <w:ind w:left="0"/>
        <w:jc w:val="both"/>
        <w:rPr>
          <w:rFonts w:ascii="Arial" w:hAnsi="Arial" w:cs="Arial"/>
          <w:sz w:val="24"/>
          <w:szCs w:val="24"/>
        </w:rPr>
      </w:pPr>
      <w:r>
        <w:rPr>
          <w:rFonts w:ascii="Arial" w:hAnsi="Arial" w:cs="Arial"/>
          <w:sz w:val="24"/>
          <w:szCs w:val="24"/>
        </w:rPr>
        <w:t xml:space="preserve">- </w:t>
      </w:r>
      <w:r w:rsidR="00F03528">
        <w:rPr>
          <w:rFonts w:ascii="Arial" w:hAnsi="Arial" w:cs="Arial"/>
          <w:sz w:val="24"/>
          <w:szCs w:val="24"/>
        </w:rPr>
        <w:t>l</w:t>
      </w:r>
      <w:r w:rsidR="00F03528" w:rsidRPr="002A1E77">
        <w:rPr>
          <w:rFonts w:ascii="Arial" w:hAnsi="Arial" w:cs="Arial"/>
          <w:sz w:val="24"/>
          <w:szCs w:val="24"/>
        </w:rPr>
        <w:t xml:space="preserve">e </w:t>
      </w:r>
      <w:r w:rsidRPr="002A1E77">
        <w:rPr>
          <w:rFonts w:ascii="Arial" w:hAnsi="Arial" w:cs="Arial"/>
          <w:sz w:val="24"/>
          <w:szCs w:val="24"/>
        </w:rPr>
        <w:t>niveau périphérique qui assure la collecte des données de base, l’agrégation, le traitement, l’analyse et la r</w:t>
      </w:r>
      <w:r w:rsidR="00686AF0">
        <w:rPr>
          <w:rFonts w:ascii="Arial" w:hAnsi="Arial" w:cs="Arial"/>
          <w:sz w:val="24"/>
          <w:szCs w:val="24"/>
        </w:rPr>
        <w:t>étro-</w:t>
      </w:r>
      <w:r w:rsidRPr="002A1E77">
        <w:rPr>
          <w:rFonts w:ascii="Arial" w:hAnsi="Arial" w:cs="Arial"/>
          <w:sz w:val="24"/>
          <w:szCs w:val="24"/>
        </w:rPr>
        <w:t>information</w:t>
      </w:r>
      <w:r w:rsidR="00F03528">
        <w:rPr>
          <w:rFonts w:ascii="Arial" w:hAnsi="Arial" w:cs="Arial"/>
          <w:sz w:val="24"/>
          <w:szCs w:val="24"/>
        </w:rPr>
        <w:t> ;</w:t>
      </w:r>
      <w:r w:rsidR="00F03528" w:rsidRPr="002A1E77">
        <w:rPr>
          <w:rFonts w:ascii="Arial" w:hAnsi="Arial" w:cs="Arial"/>
          <w:sz w:val="24"/>
          <w:szCs w:val="24"/>
        </w:rPr>
        <w:t xml:space="preserve"> </w:t>
      </w:r>
    </w:p>
    <w:p w14:paraId="1ACC0B20" w14:textId="14E1F2AD" w:rsidR="00424279" w:rsidRPr="002A1E77" w:rsidRDefault="00424279" w:rsidP="00424279">
      <w:pPr>
        <w:pStyle w:val="ListParagraph"/>
        <w:spacing w:before="120" w:after="0" w:line="360" w:lineRule="auto"/>
        <w:ind w:left="0"/>
        <w:jc w:val="both"/>
        <w:rPr>
          <w:rFonts w:ascii="Arial" w:hAnsi="Arial" w:cs="Arial"/>
          <w:sz w:val="24"/>
          <w:szCs w:val="24"/>
        </w:rPr>
      </w:pPr>
      <w:r>
        <w:rPr>
          <w:rFonts w:ascii="Arial" w:hAnsi="Arial" w:cs="Arial"/>
          <w:sz w:val="24"/>
          <w:szCs w:val="24"/>
        </w:rPr>
        <w:t xml:space="preserve">- </w:t>
      </w:r>
      <w:r w:rsidR="00F03528">
        <w:rPr>
          <w:rFonts w:ascii="Arial" w:hAnsi="Arial" w:cs="Arial"/>
          <w:sz w:val="24"/>
          <w:szCs w:val="24"/>
        </w:rPr>
        <w:t>l</w:t>
      </w:r>
      <w:r w:rsidR="00F03528" w:rsidRPr="002A1E77">
        <w:rPr>
          <w:rFonts w:ascii="Arial" w:hAnsi="Arial" w:cs="Arial"/>
          <w:sz w:val="24"/>
          <w:szCs w:val="24"/>
        </w:rPr>
        <w:t xml:space="preserve">e </w:t>
      </w:r>
      <w:r w:rsidRPr="002A1E77">
        <w:rPr>
          <w:rFonts w:ascii="Arial" w:hAnsi="Arial" w:cs="Arial"/>
          <w:sz w:val="24"/>
          <w:szCs w:val="24"/>
        </w:rPr>
        <w:t>niveau intermédiaire qui assure l’agrégation des données, la compilation, la centralisation et l’analyse de l’information sanitaire</w:t>
      </w:r>
      <w:r w:rsidR="00F03528">
        <w:rPr>
          <w:rFonts w:ascii="Arial" w:hAnsi="Arial" w:cs="Arial"/>
          <w:sz w:val="24"/>
          <w:szCs w:val="24"/>
        </w:rPr>
        <w:t> ;</w:t>
      </w:r>
      <w:r w:rsidR="00F03528" w:rsidRPr="002A1E77">
        <w:rPr>
          <w:rFonts w:ascii="Arial" w:hAnsi="Arial" w:cs="Arial"/>
          <w:sz w:val="24"/>
          <w:szCs w:val="24"/>
        </w:rPr>
        <w:t xml:space="preserve"> </w:t>
      </w:r>
    </w:p>
    <w:p w14:paraId="20D390D6" w14:textId="3B279EC8" w:rsidR="00424279" w:rsidRDefault="00424279" w:rsidP="00424279">
      <w:pPr>
        <w:pStyle w:val="ListParagraph"/>
        <w:spacing w:before="120" w:after="0" w:line="360" w:lineRule="auto"/>
        <w:ind w:left="0"/>
        <w:jc w:val="both"/>
        <w:rPr>
          <w:rFonts w:ascii="Arial" w:hAnsi="Arial" w:cs="Arial"/>
          <w:sz w:val="24"/>
          <w:szCs w:val="24"/>
        </w:rPr>
      </w:pPr>
      <w:r>
        <w:rPr>
          <w:rFonts w:ascii="Arial" w:hAnsi="Arial" w:cs="Arial"/>
          <w:sz w:val="24"/>
          <w:szCs w:val="24"/>
        </w:rPr>
        <w:t xml:space="preserve">- </w:t>
      </w:r>
      <w:r w:rsidR="00F03528">
        <w:rPr>
          <w:rFonts w:ascii="Arial" w:hAnsi="Arial" w:cs="Arial"/>
          <w:sz w:val="24"/>
          <w:szCs w:val="24"/>
        </w:rPr>
        <w:t>l</w:t>
      </w:r>
      <w:r w:rsidR="00F03528" w:rsidRPr="002A1E77">
        <w:rPr>
          <w:rFonts w:ascii="Arial" w:hAnsi="Arial" w:cs="Arial"/>
          <w:sz w:val="24"/>
          <w:szCs w:val="24"/>
        </w:rPr>
        <w:t xml:space="preserve">e </w:t>
      </w:r>
      <w:r w:rsidRPr="002A1E77">
        <w:rPr>
          <w:rFonts w:ascii="Arial" w:hAnsi="Arial" w:cs="Arial"/>
          <w:sz w:val="24"/>
          <w:szCs w:val="24"/>
        </w:rPr>
        <w:t xml:space="preserve">niveau central </w:t>
      </w:r>
      <w:r w:rsidR="00F03528">
        <w:rPr>
          <w:rFonts w:ascii="Arial" w:hAnsi="Arial" w:cs="Arial"/>
          <w:sz w:val="24"/>
          <w:szCs w:val="24"/>
        </w:rPr>
        <w:t xml:space="preserve">qui </w:t>
      </w:r>
      <w:r w:rsidRPr="002A1E77">
        <w:rPr>
          <w:rFonts w:ascii="Arial" w:hAnsi="Arial" w:cs="Arial"/>
          <w:sz w:val="24"/>
          <w:szCs w:val="24"/>
        </w:rPr>
        <w:t xml:space="preserve">assure le traitement, l’analyse, la diffusion et l’archivage de l’information sanitaire. </w:t>
      </w:r>
    </w:p>
    <w:p w14:paraId="6F681CC8" w14:textId="7A032084" w:rsidR="00424279" w:rsidRDefault="00424279" w:rsidP="00424279">
      <w:pPr>
        <w:spacing w:line="360" w:lineRule="auto"/>
        <w:jc w:val="both"/>
        <w:rPr>
          <w:rFonts w:ascii="Arial" w:hAnsi="Arial" w:cs="Arial"/>
          <w:sz w:val="24"/>
          <w:szCs w:val="24"/>
        </w:rPr>
      </w:pPr>
      <w:r>
        <w:rPr>
          <w:rFonts w:ascii="Arial" w:hAnsi="Arial" w:cs="Arial"/>
          <w:sz w:val="24"/>
          <w:szCs w:val="24"/>
        </w:rPr>
        <w:t xml:space="preserve"> </w:t>
      </w:r>
      <w:r w:rsidRPr="002A1E77">
        <w:rPr>
          <w:rFonts w:ascii="Arial" w:hAnsi="Arial" w:cs="Arial"/>
          <w:sz w:val="24"/>
          <w:szCs w:val="24"/>
        </w:rPr>
        <w:t xml:space="preserve">Le </w:t>
      </w:r>
      <w:r w:rsidR="00686AF0">
        <w:rPr>
          <w:rFonts w:ascii="Arial" w:hAnsi="Arial" w:cs="Arial"/>
          <w:sz w:val="24"/>
          <w:szCs w:val="24"/>
        </w:rPr>
        <w:t>système</w:t>
      </w:r>
      <w:r w:rsidRPr="002A1E77">
        <w:rPr>
          <w:rFonts w:ascii="Arial" w:hAnsi="Arial" w:cs="Arial"/>
          <w:sz w:val="24"/>
          <w:szCs w:val="24"/>
        </w:rPr>
        <w:t xml:space="preserve"> national d'information sanitaire </w:t>
      </w:r>
      <w:r>
        <w:rPr>
          <w:rFonts w:ascii="Arial" w:hAnsi="Arial" w:cs="Arial"/>
          <w:sz w:val="24"/>
          <w:szCs w:val="24"/>
        </w:rPr>
        <w:t>de la Guinée répond aussi bien dans sa structuration actuelle que dans son fonctionnement au concept classique du S</w:t>
      </w:r>
      <w:r w:rsidR="005E71FF">
        <w:rPr>
          <w:rFonts w:ascii="Arial" w:hAnsi="Arial" w:cs="Arial"/>
          <w:sz w:val="24"/>
          <w:szCs w:val="24"/>
        </w:rPr>
        <w:t>N</w:t>
      </w:r>
      <w:r>
        <w:rPr>
          <w:rFonts w:ascii="Arial" w:hAnsi="Arial" w:cs="Arial"/>
          <w:sz w:val="24"/>
          <w:szCs w:val="24"/>
        </w:rPr>
        <w:t>IS avec</w:t>
      </w:r>
      <w:r w:rsidRPr="002A1E77">
        <w:rPr>
          <w:rFonts w:ascii="Arial" w:hAnsi="Arial" w:cs="Arial"/>
          <w:sz w:val="24"/>
          <w:szCs w:val="24"/>
        </w:rPr>
        <w:t xml:space="preserve"> un ensemble de structures</w:t>
      </w:r>
      <w:r w:rsidR="00F03528">
        <w:rPr>
          <w:rFonts w:ascii="Arial" w:hAnsi="Arial" w:cs="Arial"/>
          <w:sz w:val="24"/>
          <w:szCs w:val="24"/>
        </w:rPr>
        <w:t>,</w:t>
      </w:r>
      <w:r>
        <w:rPr>
          <w:rFonts w:ascii="Arial" w:hAnsi="Arial" w:cs="Arial"/>
          <w:sz w:val="24"/>
          <w:szCs w:val="24"/>
        </w:rPr>
        <w:t xml:space="preserve"> </w:t>
      </w:r>
      <w:r w:rsidRPr="002A1E77">
        <w:rPr>
          <w:rFonts w:ascii="Arial" w:hAnsi="Arial" w:cs="Arial"/>
          <w:sz w:val="24"/>
          <w:szCs w:val="24"/>
        </w:rPr>
        <w:t>d'institutions, de procédures, de méthodes</w:t>
      </w:r>
      <w:r>
        <w:rPr>
          <w:rFonts w:ascii="Arial" w:hAnsi="Arial" w:cs="Arial"/>
          <w:sz w:val="24"/>
          <w:szCs w:val="24"/>
        </w:rPr>
        <w:t xml:space="preserve"> normalisées</w:t>
      </w:r>
      <w:r w:rsidRPr="002A1E77">
        <w:rPr>
          <w:rFonts w:ascii="Arial" w:hAnsi="Arial" w:cs="Arial"/>
          <w:sz w:val="24"/>
          <w:szCs w:val="24"/>
        </w:rPr>
        <w:t xml:space="preserve">, de matériels et de personnel </w:t>
      </w:r>
      <w:r>
        <w:rPr>
          <w:rFonts w:ascii="Arial" w:hAnsi="Arial" w:cs="Arial"/>
          <w:sz w:val="24"/>
          <w:szCs w:val="24"/>
        </w:rPr>
        <w:t>produisant l’</w:t>
      </w:r>
      <w:r w:rsidRPr="002A1E77">
        <w:rPr>
          <w:rFonts w:ascii="Arial" w:hAnsi="Arial" w:cs="Arial"/>
          <w:sz w:val="24"/>
          <w:szCs w:val="24"/>
        </w:rPr>
        <w:t xml:space="preserve">information appropriée en temps opportun. </w:t>
      </w:r>
    </w:p>
    <w:p w14:paraId="14C754E1" w14:textId="73E1CB4D" w:rsidR="00424279" w:rsidRPr="002A1E77" w:rsidRDefault="00424279" w:rsidP="00424279">
      <w:pPr>
        <w:spacing w:line="360" w:lineRule="auto"/>
        <w:jc w:val="both"/>
        <w:rPr>
          <w:rFonts w:ascii="Arial" w:hAnsi="Arial" w:cs="Arial"/>
          <w:sz w:val="24"/>
          <w:szCs w:val="24"/>
        </w:rPr>
      </w:pPr>
      <w:r w:rsidRPr="002A1E77">
        <w:rPr>
          <w:rFonts w:ascii="Arial" w:hAnsi="Arial" w:cs="Arial"/>
          <w:sz w:val="24"/>
          <w:szCs w:val="24"/>
        </w:rPr>
        <w:t>Il est bâti autour de</w:t>
      </w:r>
      <w:r>
        <w:rPr>
          <w:rFonts w:ascii="Arial" w:hAnsi="Arial" w:cs="Arial"/>
          <w:sz w:val="24"/>
          <w:szCs w:val="24"/>
        </w:rPr>
        <w:t>s</w:t>
      </w:r>
      <w:r w:rsidRPr="002A1E77">
        <w:rPr>
          <w:rFonts w:ascii="Arial" w:hAnsi="Arial" w:cs="Arial"/>
          <w:sz w:val="24"/>
          <w:szCs w:val="24"/>
        </w:rPr>
        <w:t xml:space="preserve"> composantes </w:t>
      </w:r>
      <w:r w:rsidR="00303006">
        <w:rPr>
          <w:rFonts w:ascii="Arial" w:hAnsi="Arial" w:cs="Arial"/>
          <w:sz w:val="24"/>
          <w:szCs w:val="24"/>
        </w:rPr>
        <w:t>ci-dessous</w:t>
      </w:r>
      <w:r w:rsidRPr="002A1E77">
        <w:rPr>
          <w:rFonts w:ascii="Arial" w:hAnsi="Arial" w:cs="Arial"/>
          <w:sz w:val="24"/>
          <w:szCs w:val="24"/>
        </w:rPr>
        <w:t xml:space="preserve"> :</w:t>
      </w:r>
    </w:p>
    <w:p w14:paraId="3E0FEA0B" w14:textId="4CCE4EBA" w:rsidR="00424279" w:rsidRPr="002A1E77" w:rsidRDefault="00F03528" w:rsidP="00424279">
      <w:pPr>
        <w:pStyle w:val="ListParagraph"/>
        <w:numPr>
          <w:ilvl w:val="0"/>
          <w:numId w:val="11"/>
        </w:numPr>
        <w:spacing w:before="120" w:after="0" w:line="36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w:t>
      </w:r>
      <w:r w:rsidR="00424279">
        <w:rPr>
          <w:rFonts w:ascii="Arial" w:hAnsi="Arial" w:cs="Arial"/>
          <w:sz w:val="24"/>
          <w:szCs w:val="24"/>
        </w:rPr>
        <w:t xml:space="preserve">composante </w:t>
      </w:r>
      <w:r w:rsidR="00424279" w:rsidRPr="002A1E77">
        <w:rPr>
          <w:rFonts w:ascii="Arial" w:hAnsi="Arial" w:cs="Arial"/>
          <w:sz w:val="24"/>
          <w:szCs w:val="24"/>
        </w:rPr>
        <w:t>d’information</w:t>
      </w:r>
      <w:r w:rsidR="00424279">
        <w:rPr>
          <w:rFonts w:ascii="Arial" w:hAnsi="Arial" w:cs="Arial"/>
          <w:sz w:val="24"/>
          <w:szCs w:val="24"/>
        </w:rPr>
        <w:t xml:space="preserve"> </w:t>
      </w:r>
      <w:r w:rsidR="00424279" w:rsidRPr="002A1E77">
        <w:rPr>
          <w:rFonts w:ascii="Arial" w:hAnsi="Arial" w:cs="Arial"/>
          <w:sz w:val="24"/>
          <w:szCs w:val="24"/>
        </w:rPr>
        <w:t>de</w:t>
      </w:r>
      <w:r w:rsidR="00424279">
        <w:rPr>
          <w:rFonts w:ascii="Arial" w:hAnsi="Arial" w:cs="Arial"/>
          <w:sz w:val="24"/>
          <w:szCs w:val="24"/>
        </w:rPr>
        <w:t>s</w:t>
      </w:r>
      <w:r w:rsidR="00424279" w:rsidRPr="002A1E77">
        <w:rPr>
          <w:rFonts w:ascii="Arial" w:hAnsi="Arial" w:cs="Arial"/>
          <w:sz w:val="24"/>
          <w:szCs w:val="24"/>
        </w:rPr>
        <w:t xml:space="preserve"> rapports de routine des services de santé</w:t>
      </w:r>
      <w:r>
        <w:rPr>
          <w:rFonts w:ascii="Arial" w:hAnsi="Arial" w:cs="Arial"/>
          <w:sz w:val="24"/>
          <w:szCs w:val="24"/>
        </w:rPr>
        <w:t> ;</w:t>
      </w:r>
      <w:r w:rsidR="00424279" w:rsidRPr="002A1E77">
        <w:rPr>
          <w:rFonts w:ascii="Arial" w:hAnsi="Arial" w:cs="Arial"/>
          <w:sz w:val="24"/>
          <w:szCs w:val="24"/>
        </w:rPr>
        <w:t xml:space="preserve"> </w:t>
      </w:r>
    </w:p>
    <w:p w14:paraId="03928B94" w14:textId="53902515" w:rsidR="00424279" w:rsidRPr="002A1E77" w:rsidRDefault="00F03528" w:rsidP="00424279">
      <w:pPr>
        <w:pStyle w:val="ListParagraph"/>
        <w:numPr>
          <w:ilvl w:val="0"/>
          <w:numId w:val="11"/>
        </w:numPr>
        <w:spacing w:before="120" w:after="0" w:line="36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w:t>
      </w:r>
      <w:r w:rsidR="00424279">
        <w:rPr>
          <w:rFonts w:ascii="Arial" w:hAnsi="Arial" w:cs="Arial"/>
          <w:sz w:val="24"/>
          <w:szCs w:val="24"/>
        </w:rPr>
        <w:t xml:space="preserve">composante </w:t>
      </w:r>
      <w:r w:rsidR="00424279" w:rsidRPr="002A1E77">
        <w:rPr>
          <w:rFonts w:ascii="Arial" w:hAnsi="Arial" w:cs="Arial"/>
          <w:sz w:val="24"/>
          <w:szCs w:val="24"/>
        </w:rPr>
        <w:t>d’information pour la surveillance épidémiologique</w:t>
      </w:r>
      <w:r>
        <w:rPr>
          <w:rFonts w:ascii="Arial" w:hAnsi="Arial" w:cs="Arial"/>
          <w:sz w:val="24"/>
          <w:szCs w:val="24"/>
        </w:rPr>
        <w:t> ;</w:t>
      </w:r>
      <w:r w:rsidR="00424279" w:rsidRPr="002A1E77">
        <w:rPr>
          <w:rFonts w:ascii="Arial" w:hAnsi="Arial" w:cs="Arial"/>
          <w:sz w:val="24"/>
          <w:szCs w:val="24"/>
        </w:rPr>
        <w:t xml:space="preserve"> </w:t>
      </w:r>
    </w:p>
    <w:p w14:paraId="28016F9A" w14:textId="755739F5" w:rsidR="00424279" w:rsidRPr="002A1E77" w:rsidRDefault="00F03528" w:rsidP="00424279">
      <w:pPr>
        <w:pStyle w:val="ListParagraph"/>
        <w:numPr>
          <w:ilvl w:val="0"/>
          <w:numId w:val="11"/>
        </w:numPr>
        <w:spacing w:before="120" w:after="0" w:line="36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w:t>
      </w:r>
      <w:r w:rsidR="00424279">
        <w:rPr>
          <w:rFonts w:ascii="Arial" w:hAnsi="Arial" w:cs="Arial"/>
          <w:sz w:val="24"/>
          <w:szCs w:val="24"/>
        </w:rPr>
        <w:t>composante</w:t>
      </w:r>
      <w:r w:rsidR="00424279" w:rsidRPr="002A1E77">
        <w:rPr>
          <w:rFonts w:ascii="Arial" w:hAnsi="Arial" w:cs="Arial"/>
          <w:sz w:val="24"/>
          <w:szCs w:val="24"/>
        </w:rPr>
        <w:t xml:space="preserve"> d’information pour la gestion des ressources</w:t>
      </w:r>
      <w:r w:rsidR="00424279">
        <w:rPr>
          <w:rFonts w:ascii="Arial" w:hAnsi="Arial" w:cs="Arial"/>
          <w:sz w:val="24"/>
          <w:szCs w:val="24"/>
        </w:rPr>
        <w:t xml:space="preserve"> humaines et financières</w:t>
      </w:r>
      <w:r>
        <w:rPr>
          <w:rFonts w:ascii="Arial" w:hAnsi="Arial" w:cs="Arial"/>
          <w:sz w:val="24"/>
          <w:szCs w:val="24"/>
        </w:rPr>
        <w:t> ;</w:t>
      </w:r>
    </w:p>
    <w:p w14:paraId="5A2341AF" w14:textId="68EDB572" w:rsidR="00424279" w:rsidRDefault="00F03528" w:rsidP="00424279">
      <w:pPr>
        <w:pStyle w:val="ListParagraph"/>
        <w:numPr>
          <w:ilvl w:val="0"/>
          <w:numId w:val="11"/>
        </w:numPr>
        <w:spacing w:before="120" w:after="0" w:line="36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w:t>
      </w:r>
      <w:r w:rsidR="00424279">
        <w:rPr>
          <w:rFonts w:ascii="Arial" w:hAnsi="Arial" w:cs="Arial"/>
          <w:sz w:val="24"/>
          <w:szCs w:val="24"/>
        </w:rPr>
        <w:t>composante</w:t>
      </w:r>
      <w:r w:rsidR="00424279" w:rsidRPr="002A1E77">
        <w:rPr>
          <w:rFonts w:ascii="Arial" w:hAnsi="Arial" w:cs="Arial"/>
          <w:sz w:val="24"/>
          <w:szCs w:val="24"/>
        </w:rPr>
        <w:t xml:space="preserve"> d’information</w:t>
      </w:r>
      <w:r w:rsidR="00424279">
        <w:rPr>
          <w:rFonts w:ascii="Arial" w:hAnsi="Arial" w:cs="Arial"/>
          <w:sz w:val="24"/>
          <w:szCs w:val="24"/>
        </w:rPr>
        <w:t xml:space="preserve"> des enquêtes et études périodiques</w:t>
      </w:r>
      <w:r>
        <w:rPr>
          <w:rFonts w:ascii="Arial" w:hAnsi="Arial" w:cs="Arial"/>
          <w:sz w:val="24"/>
          <w:szCs w:val="24"/>
        </w:rPr>
        <w:t>.</w:t>
      </w:r>
    </w:p>
    <w:p w14:paraId="4EE6EF4F" w14:textId="77777777" w:rsidR="0021723B" w:rsidRDefault="0021723B" w:rsidP="003665D4">
      <w:pPr>
        <w:pStyle w:val="ListParagraph"/>
        <w:ind w:left="420"/>
        <w:rPr>
          <w:rFonts w:ascii="Arial" w:hAnsi="Arial" w:cs="Arial"/>
          <w:b/>
          <w:bCs/>
          <w:i/>
          <w:iCs/>
          <w:sz w:val="24"/>
          <w:szCs w:val="24"/>
        </w:rPr>
      </w:pPr>
    </w:p>
    <w:p w14:paraId="286213A9" w14:textId="78CE95CA" w:rsidR="00493EE9" w:rsidRPr="00807493" w:rsidRDefault="00CB197B" w:rsidP="000C68B4">
      <w:pPr>
        <w:pStyle w:val="Heading2"/>
        <w:rPr>
          <w:rFonts w:ascii="Arial" w:hAnsi="Arial" w:cs="Arial"/>
          <w:b/>
          <w:i/>
          <w:iCs/>
          <w:color w:val="000000" w:themeColor="text1"/>
          <w:sz w:val="24"/>
          <w:szCs w:val="24"/>
        </w:rPr>
      </w:pPr>
      <w:bookmarkStart w:id="8" w:name="_Toc95082854"/>
      <w:r w:rsidRPr="00807493">
        <w:rPr>
          <w:rFonts w:ascii="Arial" w:hAnsi="Arial" w:cs="Arial"/>
          <w:b/>
          <w:i/>
          <w:iCs/>
          <w:color w:val="000000" w:themeColor="text1"/>
          <w:sz w:val="24"/>
          <w:szCs w:val="24"/>
        </w:rPr>
        <w:t>1.</w:t>
      </w:r>
      <w:r w:rsidR="00424279" w:rsidRPr="00807493">
        <w:rPr>
          <w:rFonts w:ascii="Arial" w:hAnsi="Arial" w:cs="Arial"/>
          <w:b/>
          <w:i/>
          <w:iCs/>
          <w:color w:val="000000" w:themeColor="text1"/>
          <w:sz w:val="24"/>
          <w:szCs w:val="24"/>
        </w:rPr>
        <w:t>2 Organisation</w:t>
      </w:r>
      <w:r w:rsidR="00493EE9" w:rsidRPr="00807493">
        <w:rPr>
          <w:rFonts w:ascii="Arial" w:hAnsi="Arial" w:cs="Arial"/>
          <w:b/>
          <w:i/>
          <w:iCs/>
          <w:color w:val="000000" w:themeColor="text1"/>
          <w:sz w:val="24"/>
          <w:szCs w:val="24"/>
        </w:rPr>
        <w:t xml:space="preserve"> du Système </w:t>
      </w:r>
      <w:r w:rsidR="00686AF0" w:rsidRPr="00807493">
        <w:rPr>
          <w:rFonts w:ascii="Arial" w:hAnsi="Arial" w:cs="Arial"/>
          <w:b/>
          <w:i/>
          <w:iCs/>
          <w:color w:val="000000" w:themeColor="text1"/>
          <w:sz w:val="24"/>
          <w:szCs w:val="24"/>
        </w:rPr>
        <w:t>n</w:t>
      </w:r>
      <w:r w:rsidR="00493EE9" w:rsidRPr="00807493">
        <w:rPr>
          <w:rFonts w:ascii="Arial" w:hAnsi="Arial" w:cs="Arial"/>
          <w:b/>
          <w:i/>
          <w:iCs/>
          <w:color w:val="000000" w:themeColor="text1"/>
          <w:sz w:val="24"/>
          <w:szCs w:val="24"/>
        </w:rPr>
        <w:t>ational de santé</w:t>
      </w:r>
      <w:bookmarkEnd w:id="8"/>
      <w:r w:rsidR="00493EE9" w:rsidRPr="00807493">
        <w:rPr>
          <w:rFonts w:ascii="Arial" w:hAnsi="Arial" w:cs="Arial"/>
          <w:b/>
          <w:i/>
          <w:iCs/>
          <w:color w:val="000000" w:themeColor="text1"/>
          <w:sz w:val="24"/>
          <w:szCs w:val="24"/>
        </w:rPr>
        <w:t xml:space="preserve"> </w:t>
      </w:r>
    </w:p>
    <w:p w14:paraId="1F218508" w14:textId="4A1FA6A2" w:rsidR="003665D4" w:rsidRPr="006F08C2" w:rsidRDefault="000C68B4" w:rsidP="006F08C2">
      <w:pPr>
        <w:spacing w:line="360" w:lineRule="auto"/>
        <w:jc w:val="both"/>
        <w:rPr>
          <w:rFonts w:ascii="Arial" w:hAnsi="Arial" w:cs="Arial"/>
          <w:sz w:val="24"/>
          <w:szCs w:val="24"/>
        </w:rPr>
      </w:pPr>
      <w:r>
        <w:rPr>
          <w:rFonts w:ascii="Arial" w:hAnsi="Arial" w:cs="Arial"/>
          <w:sz w:val="24"/>
          <w:szCs w:val="24"/>
        </w:rPr>
        <w:t xml:space="preserve"> </w:t>
      </w:r>
      <w:r w:rsidR="00493EE9" w:rsidRPr="00493EE9">
        <w:rPr>
          <w:rFonts w:ascii="Arial" w:hAnsi="Arial" w:cs="Arial"/>
          <w:sz w:val="24"/>
          <w:szCs w:val="24"/>
        </w:rPr>
        <w:t xml:space="preserve">Le </w:t>
      </w:r>
      <w:r w:rsidR="00686AF0">
        <w:rPr>
          <w:rFonts w:ascii="Arial" w:hAnsi="Arial" w:cs="Arial"/>
          <w:sz w:val="24"/>
          <w:szCs w:val="24"/>
        </w:rPr>
        <w:t>m</w:t>
      </w:r>
      <w:r w:rsidR="00493EE9" w:rsidRPr="00493EE9">
        <w:rPr>
          <w:rFonts w:ascii="Arial" w:hAnsi="Arial" w:cs="Arial"/>
          <w:sz w:val="24"/>
          <w:szCs w:val="24"/>
        </w:rPr>
        <w:t xml:space="preserve">inistère de la </w:t>
      </w:r>
      <w:r w:rsidR="00686AF0">
        <w:rPr>
          <w:rFonts w:ascii="Arial" w:hAnsi="Arial" w:cs="Arial"/>
          <w:sz w:val="24"/>
          <w:szCs w:val="24"/>
        </w:rPr>
        <w:t>S</w:t>
      </w:r>
      <w:r w:rsidR="00493EE9" w:rsidRPr="00493EE9">
        <w:rPr>
          <w:rFonts w:ascii="Arial" w:hAnsi="Arial" w:cs="Arial"/>
          <w:sz w:val="24"/>
          <w:szCs w:val="24"/>
        </w:rPr>
        <w:t xml:space="preserve">anté </w:t>
      </w:r>
      <w:r w:rsidR="00F03528">
        <w:rPr>
          <w:rFonts w:ascii="Arial" w:hAnsi="Arial" w:cs="Arial"/>
          <w:sz w:val="24"/>
          <w:szCs w:val="24"/>
        </w:rPr>
        <w:t xml:space="preserve">de </w:t>
      </w:r>
      <w:r w:rsidR="00506CDD">
        <w:rPr>
          <w:rFonts w:ascii="Arial" w:hAnsi="Arial" w:cs="Arial"/>
          <w:sz w:val="24"/>
          <w:szCs w:val="24"/>
        </w:rPr>
        <w:t>Guinée</w:t>
      </w:r>
      <w:r w:rsidR="00493EE9" w:rsidRPr="00493EE9">
        <w:rPr>
          <w:rFonts w:ascii="Arial" w:hAnsi="Arial" w:cs="Arial"/>
          <w:sz w:val="24"/>
          <w:szCs w:val="24"/>
        </w:rPr>
        <w:t xml:space="preserve"> se compose de différentes </w:t>
      </w:r>
      <w:r w:rsidR="003665D4">
        <w:rPr>
          <w:rFonts w:ascii="Arial" w:hAnsi="Arial" w:cs="Arial"/>
          <w:sz w:val="24"/>
          <w:szCs w:val="24"/>
        </w:rPr>
        <w:t>structures</w:t>
      </w:r>
      <w:r w:rsidR="00493EE9" w:rsidRPr="00493EE9">
        <w:rPr>
          <w:rFonts w:ascii="Arial" w:hAnsi="Arial" w:cs="Arial"/>
          <w:sz w:val="24"/>
          <w:szCs w:val="24"/>
        </w:rPr>
        <w:t xml:space="preserve"> techniques </w:t>
      </w:r>
      <w:r w:rsidR="003665D4">
        <w:rPr>
          <w:rFonts w:ascii="Arial" w:hAnsi="Arial" w:cs="Arial"/>
          <w:sz w:val="24"/>
          <w:szCs w:val="24"/>
        </w:rPr>
        <w:t xml:space="preserve">et organisationnelles qui assurent l’organisation administrative et l’organisation des soins de la pyramide sanitaire. </w:t>
      </w:r>
    </w:p>
    <w:p w14:paraId="62B5B748" w14:textId="77777777" w:rsidR="00EE612A" w:rsidRPr="002A53AA" w:rsidRDefault="00EE612A" w:rsidP="002A53AA">
      <w:pPr>
        <w:pStyle w:val="ListParagraph"/>
        <w:numPr>
          <w:ilvl w:val="0"/>
          <w:numId w:val="45"/>
        </w:numPr>
        <w:rPr>
          <w:rFonts w:ascii="Arial" w:hAnsi="Arial" w:cs="Arial"/>
          <w:b/>
          <w:bCs/>
          <w:sz w:val="24"/>
          <w:szCs w:val="24"/>
        </w:rPr>
      </w:pPr>
      <w:bookmarkStart w:id="9" w:name="_Toc88819207"/>
      <w:r w:rsidRPr="002A53AA">
        <w:rPr>
          <w:rFonts w:ascii="Arial" w:hAnsi="Arial" w:cs="Arial"/>
          <w:b/>
          <w:bCs/>
          <w:sz w:val="24"/>
          <w:szCs w:val="24"/>
        </w:rPr>
        <w:t>Organisation administrative</w:t>
      </w:r>
      <w:bookmarkEnd w:id="9"/>
    </w:p>
    <w:p w14:paraId="52ADBDB6" w14:textId="77777777" w:rsidR="006F08C2" w:rsidRDefault="00493EE9" w:rsidP="00493EE9">
      <w:pPr>
        <w:spacing w:line="360" w:lineRule="auto"/>
        <w:jc w:val="both"/>
        <w:rPr>
          <w:rFonts w:ascii="Arial" w:hAnsi="Arial" w:cs="Arial"/>
          <w:sz w:val="24"/>
          <w:szCs w:val="24"/>
        </w:rPr>
      </w:pPr>
      <w:r w:rsidRPr="00493EE9">
        <w:rPr>
          <w:rFonts w:ascii="Arial" w:hAnsi="Arial" w:cs="Arial"/>
          <w:sz w:val="24"/>
          <w:szCs w:val="24"/>
        </w:rPr>
        <w:t xml:space="preserve">La structure administrative du système de santé comprend trois niveaux : </w:t>
      </w:r>
      <w:r w:rsidR="0088371D">
        <w:rPr>
          <w:rFonts w:ascii="Arial" w:hAnsi="Arial" w:cs="Arial"/>
          <w:sz w:val="24"/>
          <w:szCs w:val="24"/>
        </w:rPr>
        <w:t xml:space="preserve">le niveau </w:t>
      </w:r>
      <w:r w:rsidRPr="00493EE9">
        <w:rPr>
          <w:rFonts w:ascii="Arial" w:hAnsi="Arial" w:cs="Arial"/>
          <w:sz w:val="24"/>
          <w:szCs w:val="24"/>
        </w:rPr>
        <w:t xml:space="preserve">central, </w:t>
      </w:r>
      <w:r w:rsidR="0088371D">
        <w:rPr>
          <w:rFonts w:ascii="Arial" w:hAnsi="Arial" w:cs="Arial"/>
          <w:sz w:val="24"/>
          <w:szCs w:val="24"/>
        </w:rPr>
        <w:t xml:space="preserve">le niveau </w:t>
      </w:r>
      <w:r w:rsidRPr="00493EE9">
        <w:rPr>
          <w:rFonts w:ascii="Arial" w:hAnsi="Arial" w:cs="Arial"/>
          <w:sz w:val="24"/>
          <w:szCs w:val="24"/>
        </w:rPr>
        <w:t xml:space="preserve">intermédiaire et </w:t>
      </w:r>
      <w:r w:rsidR="0088371D">
        <w:rPr>
          <w:rFonts w:ascii="Arial" w:hAnsi="Arial" w:cs="Arial"/>
          <w:sz w:val="24"/>
          <w:szCs w:val="24"/>
        </w:rPr>
        <w:t xml:space="preserve">le niveau </w:t>
      </w:r>
      <w:r w:rsidRPr="00493EE9">
        <w:rPr>
          <w:rFonts w:ascii="Arial" w:hAnsi="Arial" w:cs="Arial"/>
          <w:sz w:val="24"/>
          <w:szCs w:val="24"/>
        </w:rPr>
        <w:t xml:space="preserve">périphérique. </w:t>
      </w:r>
    </w:p>
    <w:p w14:paraId="08A7F58D" w14:textId="3B48834C" w:rsidR="008C0DAB" w:rsidRPr="006F08C2" w:rsidRDefault="00493EE9" w:rsidP="006F08C2">
      <w:pPr>
        <w:pStyle w:val="ListParagraph"/>
        <w:numPr>
          <w:ilvl w:val="0"/>
          <w:numId w:val="35"/>
        </w:numPr>
        <w:spacing w:line="360" w:lineRule="auto"/>
        <w:jc w:val="both"/>
        <w:rPr>
          <w:rFonts w:ascii="Arial" w:hAnsi="Arial" w:cs="Arial"/>
          <w:sz w:val="24"/>
          <w:szCs w:val="24"/>
        </w:rPr>
      </w:pPr>
      <w:r w:rsidRPr="006F08C2">
        <w:rPr>
          <w:rFonts w:ascii="Arial" w:hAnsi="Arial" w:cs="Arial"/>
          <w:sz w:val="24"/>
          <w:szCs w:val="24"/>
        </w:rPr>
        <w:lastRenderedPageBreak/>
        <w:t xml:space="preserve">Le niveau central comprend </w:t>
      </w:r>
      <w:r w:rsidR="0088371D" w:rsidRPr="006F08C2">
        <w:rPr>
          <w:rFonts w:ascii="Arial" w:hAnsi="Arial" w:cs="Arial"/>
          <w:sz w:val="24"/>
          <w:szCs w:val="24"/>
        </w:rPr>
        <w:t xml:space="preserve">les </w:t>
      </w:r>
      <w:r w:rsidRPr="006F08C2">
        <w:rPr>
          <w:rFonts w:ascii="Arial" w:hAnsi="Arial" w:cs="Arial"/>
          <w:sz w:val="24"/>
          <w:szCs w:val="24"/>
        </w:rPr>
        <w:t>structure</w:t>
      </w:r>
      <w:r w:rsidR="0088371D" w:rsidRPr="006F08C2">
        <w:rPr>
          <w:rFonts w:ascii="Arial" w:hAnsi="Arial" w:cs="Arial"/>
          <w:sz w:val="24"/>
          <w:szCs w:val="24"/>
        </w:rPr>
        <w:t>s</w:t>
      </w:r>
      <w:r w:rsidRPr="006F08C2">
        <w:rPr>
          <w:rFonts w:ascii="Arial" w:hAnsi="Arial" w:cs="Arial"/>
          <w:sz w:val="24"/>
          <w:szCs w:val="24"/>
        </w:rPr>
        <w:t xml:space="preserve"> centrale</w:t>
      </w:r>
      <w:r w:rsidR="0088371D" w:rsidRPr="006F08C2">
        <w:rPr>
          <w:rFonts w:ascii="Arial" w:hAnsi="Arial" w:cs="Arial"/>
          <w:sz w:val="24"/>
          <w:szCs w:val="24"/>
        </w:rPr>
        <w:t>s</w:t>
      </w:r>
      <w:r w:rsidRPr="006F08C2">
        <w:rPr>
          <w:rFonts w:ascii="Arial" w:hAnsi="Arial" w:cs="Arial"/>
          <w:sz w:val="24"/>
          <w:szCs w:val="24"/>
        </w:rPr>
        <w:t xml:space="preserve"> </w:t>
      </w:r>
      <w:r w:rsidR="0088371D" w:rsidRPr="006F08C2">
        <w:rPr>
          <w:rFonts w:ascii="Arial" w:hAnsi="Arial" w:cs="Arial"/>
          <w:sz w:val="24"/>
          <w:szCs w:val="24"/>
        </w:rPr>
        <w:t xml:space="preserve">du </w:t>
      </w:r>
      <w:r w:rsidR="00686AF0">
        <w:rPr>
          <w:rFonts w:ascii="Arial" w:hAnsi="Arial" w:cs="Arial"/>
          <w:sz w:val="24"/>
          <w:szCs w:val="24"/>
        </w:rPr>
        <w:t>m</w:t>
      </w:r>
      <w:r w:rsidR="0088371D" w:rsidRPr="006F08C2">
        <w:rPr>
          <w:rFonts w:ascii="Arial" w:hAnsi="Arial" w:cs="Arial"/>
          <w:sz w:val="24"/>
          <w:szCs w:val="24"/>
        </w:rPr>
        <w:t xml:space="preserve">inistère de la santé </w:t>
      </w:r>
      <w:r w:rsidRPr="006F08C2">
        <w:rPr>
          <w:rFonts w:ascii="Arial" w:hAnsi="Arial" w:cs="Arial"/>
          <w:sz w:val="24"/>
          <w:szCs w:val="24"/>
        </w:rPr>
        <w:t xml:space="preserve">et </w:t>
      </w:r>
      <w:r w:rsidR="0088371D" w:rsidRPr="006F08C2">
        <w:rPr>
          <w:rFonts w:ascii="Arial" w:hAnsi="Arial" w:cs="Arial"/>
          <w:sz w:val="24"/>
          <w:szCs w:val="24"/>
        </w:rPr>
        <w:t>celles</w:t>
      </w:r>
      <w:r w:rsidRPr="006F08C2">
        <w:rPr>
          <w:rFonts w:ascii="Arial" w:hAnsi="Arial" w:cs="Arial"/>
          <w:sz w:val="24"/>
          <w:szCs w:val="24"/>
        </w:rPr>
        <w:t xml:space="preserve"> qui y sont rattachées</w:t>
      </w:r>
      <w:r w:rsidR="0088371D" w:rsidRPr="006F08C2">
        <w:rPr>
          <w:rFonts w:ascii="Arial" w:hAnsi="Arial" w:cs="Arial"/>
          <w:sz w:val="24"/>
          <w:szCs w:val="24"/>
        </w:rPr>
        <w:t xml:space="preserve">. </w:t>
      </w:r>
      <w:r w:rsidR="003665D4" w:rsidRPr="006F08C2">
        <w:rPr>
          <w:rFonts w:ascii="Arial" w:hAnsi="Arial" w:cs="Arial"/>
          <w:sz w:val="24"/>
          <w:szCs w:val="24"/>
        </w:rPr>
        <w:t>Il</w:t>
      </w:r>
      <w:r w:rsidR="0088371D" w:rsidRPr="006F08C2">
        <w:rPr>
          <w:rFonts w:ascii="Arial" w:hAnsi="Arial" w:cs="Arial"/>
          <w:sz w:val="24"/>
          <w:szCs w:val="24"/>
        </w:rPr>
        <w:t xml:space="preserve"> est </w:t>
      </w:r>
      <w:r w:rsidRPr="006F08C2">
        <w:rPr>
          <w:rFonts w:ascii="Arial" w:hAnsi="Arial" w:cs="Arial"/>
          <w:sz w:val="24"/>
          <w:szCs w:val="24"/>
        </w:rPr>
        <w:t xml:space="preserve">organisé autour du cabinet du </w:t>
      </w:r>
      <w:r w:rsidR="00686AF0">
        <w:rPr>
          <w:rFonts w:ascii="Arial" w:hAnsi="Arial" w:cs="Arial"/>
          <w:sz w:val="24"/>
          <w:szCs w:val="24"/>
        </w:rPr>
        <w:t>m</w:t>
      </w:r>
      <w:r w:rsidRPr="006F08C2">
        <w:rPr>
          <w:rFonts w:ascii="Arial" w:hAnsi="Arial" w:cs="Arial"/>
          <w:sz w:val="24"/>
          <w:szCs w:val="24"/>
        </w:rPr>
        <w:t xml:space="preserve">inistre </w:t>
      </w:r>
      <w:r w:rsidR="0088371D" w:rsidRPr="006F08C2">
        <w:rPr>
          <w:rFonts w:ascii="Arial" w:hAnsi="Arial" w:cs="Arial"/>
          <w:sz w:val="24"/>
          <w:szCs w:val="24"/>
        </w:rPr>
        <w:t xml:space="preserve">de la santé </w:t>
      </w:r>
      <w:r w:rsidRPr="006F08C2">
        <w:rPr>
          <w:rFonts w:ascii="Arial" w:hAnsi="Arial" w:cs="Arial"/>
          <w:sz w:val="24"/>
          <w:szCs w:val="24"/>
        </w:rPr>
        <w:t xml:space="preserve">et </w:t>
      </w:r>
      <w:r w:rsidR="0088371D" w:rsidRPr="006F08C2">
        <w:rPr>
          <w:rFonts w:ascii="Arial" w:hAnsi="Arial" w:cs="Arial"/>
          <w:sz w:val="24"/>
          <w:szCs w:val="24"/>
        </w:rPr>
        <w:t xml:space="preserve">de son </w:t>
      </w:r>
      <w:r w:rsidRPr="006F08C2">
        <w:rPr>
          <w:rFonts w:ascii="Arial" w:hAnsi="Arial" w:cs="Arial"/>
          <w:sz w:val="24"/>
          <w:szCs w:val="24"/>
        </w:rPr>
        <w:t>Secrétariat général</w:t>
      </w:r>
      <w:r w:rsidR="00F03528">
        <w:rPr>
          <w:rFonts w:ascii="Arial" w:hAnsi="Arial" w:cs="Arial"/>
          <w:sz w:val="24"/>
          <w:szCs w:val="24"/>
        </w:rPr>
        <w:t> ;</w:t>
      </w:r>
    </w:p>
    <w:p w14:paraId="6E2F0943" w14:textId="5C1EE2C7" w:rsidR="008C0DAB" w:rsidRPr="006F08C2" w:rsidRDefault="00F03528" w:rsidP="006F08C2">
      <w:pPr>
        <w:pStyle w:val="ListParagraph"/>
        <w:numPr>
          <w:ilvl w:val="0"/>
          <w:numId w:val="35"/>
        </w:numPr>
        <w:spacing w:line="360" w:lineRule="auto"/>
        <w:jc w:val="both"/>
        <w:rPr>
          <w:rFonts w:ascii="Arial" w:hAnsi="Arial" w:cs="Arial"/>
          <w:sz w:val="24"/>
          <w:szCs w:val="24"/>
        </w:rPr>
      </w:pPr>
      <w:proofErr w:type="gramStart"/>
      <w:r>
        <w:rPr>
          <w:rFonts w:ascii="Arial" w:hAnsi="Arial" w:cs="Arial"/>
          <w:sz w:val="24"/>
          <w:szCs w:val="24"/>
        </w:rPr>
        <w:t>l</w:t>
      </w:r>
      <w:r w:rsidRPr="006F08C2">
        <w:rPr>
          <w:rFonts w:ascii="Arial" w:hAnsi="Arial" w:cs="Arial"/>
          <w:sz w:val="24"/>
          <w:szCs w:val="24"/>
        </w:rPr>
        <w:t>e</w:t>
      </w:r>
      <w:proofErr w:type="gramEnd"/>
      <w:r w:rsidRPr="006F08C2">
        <w:rPr>
          <w:rFonts w:ascii="Arial" w:hAnsi="Arial" w:cs="Arial"/>
          <w:sz w:val="24"/>
          <w:szCs w:val="24"/>
        </w:rPr>
        <w:t xml:space="preserve"> </w:t>
      </w:r>
      <w:r w:rsidR="00493EE9" w:rsidRPr="006F08C2">
        <w:rPr>
          <w:rFonts w:ascii="Arial" w:hAnsi="Arial" w:cs="Arial"/>
          <w:sz w:val="24"/>
          <w:szCs w:val="24"/>
        </w:rPr>
        <w:t xml:space="preserve">niveau intermédiaire </w:t>
      </w:r>
      <w:r w:rsidR="008C0DAB" w:rsidRPr="006F08C2">
        <w:rPr>
          <w:rFonts w:ascii="Arial" w:hAnsi="Arial" w:cs="Arial"/>
          <w:sz w:val="24"/>
          <w:szCs w:val="24"/>
        </w:rPr>
        <w:t xml:space="preserve">comprend les </w:t>
      </w:r>
      <w:r w:rsidR="00E6541D">
        <w:rPr>
          <w:rFonts w:ascii="Arial" w:hAnsi="Arial" w:cs="Arial"/>
          <w:sz w:val="24"/>
          <w:szCs w:val="24"/>
        </w:rPr>
        <w:t xml:space="preserve">huit </w:t>
      </w:r>
      <w:r w:rsidR="00E6541D" w:rsidRPr="00303006">
        <w:rPr>
          <w:rFonts w:ascii="Arial" w:hAnsi="Arial" w:cs="Arial"/>
          <w:sz w:val="24"/>
          <w:szCs w:val="24"/>
        </w:rPr>
        <w:t>(</w:t>
      </w:r>
      <w:r w:rsidR="006F08C2" w:rsidRPr="00900412">
        <w:rPr>
          <w:rFonts w:ascii="Arial" w:hAnsi="Arial" w:cs="Arial"/>
          <w:sz w:val="24"/>
          <w:szCs w:val="24"/>
        </w:rPr>
        <w:t>8</w:t>
      </w:r>
      <w:r w:rsidR="00E6541D" w:rsidRPr="00303006">
        <w:rPr>
          <w:rFonts w:ascii="Arial" w:hAnsi="Arial" w:cs="Arial"/>
          <w:sz w:val="24"/>
          <w:szCs w:val="24"/>
        </w:rPr>
        <w:t>)</w:t>
      </w:r>
      <w:r w:rsidR="00506CDD" w:rsidRPr="006F08C2">
        <w:rPr>
          <w:rFonts w:ascii="Arial" w:hAnsi="Arial" w:cs="Arial"/>
          <w:sz w:val="24"/>
          <w:szCs w:val="24"/>
        </w:rPr>
        <w:t xml:space="preserve"> </w:t>
      </w:r>
      <w:r w:rsidR="00493EE9" w:rsidRPr="006F08C2">
        <w:rPr>
          <w:rFonts w:ascii="Arial" w:hAnsi="Arial" w:cs="Arial"/>
          <w:sz w:val="24"/>
          <w:szCs w:val="24"/>
        </w:rPr>
        <w:t xml:space="preserve">Directions </w:t>
      </w:r>
      <w:r w:rsidR="00686AF0">
        <w:rPr>
          <w:rFonts w:ascii="Arial" w:hAnsi="Arial" w:cs="Arial"/>
          <w:sz w:val="24"/>
          <w:szCs w:val="24"/>
        </w:rPr>
        <w:t>r</w:t>
      </w:r>
      <w:r w:rsidR="00493EE9" w:rsidRPr="006F08C2">
        <w:rPr>
          <w:rFonts w:ascii="Arial" w:hAnsi="Arial" w:cs="Arial"/>
          <w:sz w:val="24"/>
          <w:szCs w:val="24"/>
        </w:rPr>
        <w:t xml:space="preserve">égionales de la Santé (DRS) chargées de mettre en œuvre les politiques gouvernementales </w:t>
      </w:r>
      <w:r w:rsidR="008C0DAB" w:rsidRPr="006F08C2">
        <w:rPr>
          <w:rFonts w:ascii="Arial" w:hAnsi="Arial" w:cs="Arial"/>
          <w:sz w:val="24"/>
          <w:szCs w:val="24"/>
        </w:rPr>
        <w:t xml:space="preserve">et en particulier celle du secteur sanitaire </w:t>
      </w:r>
      <w:r w:rsidR="00493EE9" w:rsidRPr="006F08C2">
        <w:rPr>
          <w:rFonts w:ascii="Arial" w:hAnsi="Arial" w:cs="Arial"/>
          <w:sz w:val="24"/>
          <w:szCs w:val="24"/>
        </w:rPr>
        <w:t xml:space="preserve">dans les régions </w:t>
      </w:r>
      <w:r w:rsidR="008C0DAB" w:rsidRPr="006F08C2">
        <w:rPr>
          <w:rFonts w:ascii="Arial" w:hAnsi="Arial" w:cs="Arial"/>
          <w:sz w:val="24"/>
          <w:szCs w:val="24"/>
        </w:rPr>
        <w:t>du pays</w:t>
      </w:r>
      <w:r>
        <w:rPr>
          <w:rFonts w:ascii="Arial" w:hAnsi="Arial" w:cs="Arial"/>
          <w:sz w:val="24"/>
          <w:szCs w:val="24"/>
        </w:rPr>
        <w:t> ;</w:t>
      </w:r>
      <w:r w:rsidRPr="006F08C2">
        <w:rPr>
          <w:rFonts w:ascii="Arial" w:hAnsi="Arial" w:cs="Arial"/>
          <w:sz w:val="24"/>
          <w:szCs w:val="24"/>
        </w:rPr>
        <w:t xml:space="preserve"> </w:t>
      </w:r>
    </w:p>
    <w:p w14:paraId="04B8C1F8" w14:textId="27EED4D2" w:rsidR="00493EE9" w:rsidRDefault="00F03528" w:rsidP="00807493">
      <w:pPr>
        <w:pStyle w:val="ListParagraph"/>
        <w:numPr>
          <w:ilvl w:val="0"/>
          <w:numId w:val="35"/>
        </w:numPr>
        <w:spacing w:before="240" w:line="360" w:lineRule="auto"/>
        <w:jc w:val="both"/>
        <w:rPr>
          <w:rFonts w:ascii="Arial" w:hAnsi="Arial" w:cs="Arial"/>
          <w:sz w:val="24"/>
          <w:szCs w:val="24"/>
        </w:rPr>
      </w:pPr>
      <w:proofErr w:type="gramStart"/>
      <w:r>
        <w:rPr>
          <w:rFonts w:ascii="Arial" w:hAnsi="Arial" w:cs="Arial"/>
          <w:sz w:val="24"/>
          <w:szCs w:val="24"/>
        </w:rPr>
        <w:t>l</w:t>
      </w:r>
      <w:r w:rsidRPr="006F08C2">
        <w:rPr>
          <w:rFonts w:ascii="Arial" w:hAnsi="Arial" w:cs="Arial"/>
          <w:sz w:val="24"/>
          <w:szCs w:val="24"/>
        </w:rPr>
        <w:t>e</w:t>
      </w:r>
      <w:proofErr w:type="gramEnd"/>
      <w:r w:rsidRPr="006F08C2">
        <w:rPr>
          <w:rFonts w:ascii="Arial" w:hAnsi="Arial" w:cs="Arial"/>
          <w:sz w:val="24"/>
          <w:szCs w:val="24"/>
        </w:rPr>
        <w:t xml:space="preserve"> </w:t>
      </w:r>
      <w:r w:rsidR="00493EE9" w:rsidRPr="006F08C2">
        <w:rPr>
          <w:rFonts w:ascii="Arial" w:hAnsi="Arial" w:cs="Arial"/>
          <w:sz w:val="24"/>
          <w:szCs w:val="24"/>
        </w:rPr>
        <w:t xml:space="preserve">niveau périphérique </w:t>
      </w:r>
      <w:r w:rsidR="008C0DAB" w:rsidRPr="006F08C2">
        <w:rPr>
          <w:rFonts w:ascii="Arial" w:hAnsi="Arial" w:cs="Arial"/>
          <w:sz w:val="24"/>
          <w:szCs w:val="24"/>
        </w:rPr>
        <w:t xml:space="preserve">est représenté </w:t>
      </w:r>
      <w:r w:rsidR="008B29B4" w:rsidRPr="006F08C2">
        <w:rPr>
          <w:rFonts w:ascii="Arial" w:hAnsi="Arial" w:cs="Arial"/>
          <w:sz w:val="24"/>
          <w:szCs w:val="24"/>
        </w:rPr>
        <w:t xml:space="preserve">par </w:t>
      </w:r>
      <w:r w:rsidR="008C0DAB" w:rsidRPr="006F08C2">
        <w:rPr>
          <w:rFonts w:ascii="Arial" w:hAnsi="Arial" w:cs="Arial"/>
          <w:sz w:val="24"/>
          <w:szCs w:val="24"/>
        </w:rPr>
        <w:t xml:space="preserve">les </w:t>
      </w:r>
      <w:r w:rsidR="00506CDD" w:rsidRPr="006F08C2">
        <w:rPr>
          <w:rFonts w:ascii="Arial" w:hAnsi="Arial" w:cs="Arial"/>
          <w:sz w:val="24"/>
          <w:szCs w:val="24"/>
        </w:rPr>
        <w:t>direction</w:t>
      </w:r>
      <w:r w:rsidR="006F08C2" w:rsidRPr="006F08C2">
        <w:rPr>
          <w:rFonts w:ascii="Arial" w:hAnsi="Arial" w:cs="Arial"/>
          <w:sz w:val="24"/>
          <w:szCs w:val="24"/>
        </w:rPr>
        <w:t>s</w:t>
      </w:r>
      <w:r w:rsidR="00506CDD" w:rsidRPr="006F08C2">
        <w:rPr>
          <w:rFonts w:ascii="Arial" w:hAnsi="Arial" w:cs="Arial"/>
          <w:sz w:val="24"/>
          <w:szCs w:val="24"/>
        </w:rPr>
        <w:t xml:space="preserve"> communale</w:t>
      </w:r>
      <w:r w:rsidR="006F08C2" w:rsidRPr="006F08C2">
        <w:rPr>
          <w:rFonts w:ascii="Arial" w:hAnsi="Arial" w:cs="Arial"/>
          <w:sz w:val="24"/>
          <w:szCs w:val="24"/>
        </w:rPr>
        <w:t>s</w:t>
      </w:r>
      <w:r w:rsidR="00506CDD" w:rsidRPr="006F08C2">
        <w:rPr>
          <w:rFonts w:ascii="Arial" w:hAnsi="Arial" w:cs="Arial"/>
          <w:sz w:val="24"/>
          <w:szCs w:val="24"/>
        </w:rPr>
        <w:t xml:space="preserve"> ou préfectorales de la santé </w:t>
      </w:r>
      <w:r w:rsidR="00493EE9" w:rsidRPr="006F08C2">
        <w:rPr>
          <w:rFonts w:ascii="Arial" w:hAnsi="Arial" w:cs="Arial"/>
          <w:sz w:val="24"/>
          <w:szCs w:val="24"/>
        </w:rPr>
        <w:t xml:space="preserve">qui </w:t>
      </w:r>
      <w:r w:rsidR="008C0DAB" w:rsidRPr="006F08C2">
        <w:rPr>
          <w:rFonts w:ascii="Arial" w:hAnsi="Arial" w:cs="Arial"/>
          <w:sz w:val="24"/>
          <w:szCs w:val="24"/>
        </w:rPr>
        <w:t xml:space="preserve">constituent </w:t>
      </w:r>
      <w:r w:rsidR="00493EE9" w:rsidRPr="006F08C2">
        <w:rPr>
          <w:rFonts w:ascii="Arial" w:hAnsi="Arial" w:cs="Arial"/>
          <w:sz w:val="24"/>
          <w:szCs w:val="24"/>
        </w:rPr>
        <w:t xml:space="preserve">les </w:t>
      </w:r>
      <w:r w:rsidR="008C0DAB" w:rsidRPr="006F08C2">
        <w:rPr>
          <w:rFonts w:ascii="Arial" w:hAnsi="Arial" w:cs="Arial"/>
          <w:sz w:val="24"/>
          <w:szCs w:val="24"/>
        </w:rPr>
        <w:t xml:space="preserve">unités </w:t>
      </w:r>
      <w:r w:rsidR="00493EE9" w:rsidRPr="006F08C2">
        <w:rPr>
          <w:rFonts w:ascii="Arial" w:hAnsi="Arial" w:cs="Arial"/>
          <w:sz w:val="24"/>
          <w:szCs w:val="24"/>
        </w:rPr>
        <w:t>opérationnelles les plus décentralisées du système de santé</w:t>
      </w:r>
      <w:r w:rsidR="008C0DAB" w:rsidRPr="006F08C2">
        <w:rPr>
          <w:rFonts w:ascii="Arial" w:hAnsi="Arial" w:cs="Arial"/>
          <w:sz w:val="24"/>
          <w:szCs w:val="24"/>
        </w:rPr>
        <w:t xml:space="preserve"> </w:t>
      </w:r>
      <w:r w:rsidR="00506CDD" w:rsidRPr="006F08C2">
        <w:rPr>
          <w:rFonts w:ascii="Arial" w:hAnsi="Arial" w:cs="Arial"/>
          <w:sz w:val="24"/>
          <w:szCs w:val="24"/>
        </w:rPr>
        <w:t>de la Guinée</w:t>
      </w:r>
      <w:r w:rsidR="00493EE9" w:rsidRPr="006F08C2">
        <w:rPr>
          <w:rFonts w:ascii="Arial" w:hAnsi="Arial" w:cs="Arial"/>
          <w:sz w:val="24"/>
          <w:szCs w:val="24"/>
        </w:rPr>
        <w:t>.</w:t>
      </w:r>
    </w:p>
    <w:p w14:paraId="693C5F66" w14:textId="5CB131B5" w:rsidR="00EE612A" w:rsidRPr="002A2CD0" w:rsidRDefault="00EE612A" w:rsidP="00807493">
      <w:pPr>
        <w:pStyle w:val="ListParagraph"/>
        <w:numPr>
          <w:ilvl w:val="0"/>
          <w:numId w:val="31"/>
        </w:numPr>
        <w:spacing w:after="0" w:line="360" w:lineRule="auto"/>
        <w:jc w:val="both"/>
        <w:rPr>
          <w:rFonts w:ascii="Arial" w:hAnsi="Arial" w:cs="Arial"/>
          <w:sz w:val="24"/>
          <w:szCs w:val="24"/>
        </w:rPr>
      </w:pPr>
      <w:r w:rsidRPr="002A2CD0">
        <w:rPr>
          <w:rFonts w:ascii="Arial" w:hAnsi="Arial" w:cs="Arial"/>
          <w:b/>
          <w:bCs/>
          <w:sz w:val="24"/>
          <w:szCs w:val="24"/>
        </w:rPr>
        <w:t>Organisation de l’offre de soins</w:t>
      </w:r>
    </w:p>
    <w:p w14:paraId="5F0B055A" w14:textId="10673EAE" w:rsidR="00065D4F" w:rsidRPr="007D610A" w:rsidRDefault="00065D4F" w:rsidP="006278CE">
      <w:pPr>
        <w:spacing w:after="240" w:line="360" w:lineRule="auto"/>
        <w:jc w:val="both"/>
        <w:rPr>
          <w:rFonts w:ascii="Arial" w:hAnsi="Arial" w:cs="Arial"/>
          <w:sz w:val="24"/>
          <w:szCs w:val="24"/>
        </w:rPr>
      </w:pPr>
      <w:r w:rsidRPr="007D610A">
        <w:rPr>
          <w:rFonts w:ascii="Arial" w:hAnsi="Arial" w:cs="Arial"/>
          <w:sz w:val="24"/>
          <w:szCs w:val="24"/>
        </w:rPr>
        <w:t>L</w:t>
      </w:r>
      <w:r w:rsidR="006F08C2">
        <w:rPr>
          <w:rFonts w:ascii="Arial" w:hAnsi="Arial" w:cs="Arial"/>
          <w:sz w:val="24"/>
          <w:szCs w:val="24"/>
        </w:rPr>
        <w:t>’offre de soins est</w:t>
      </w:r>
      <w:r w:rsidRPr="007D610A">
        <w:rPr>
          <w:rFonts w:ascii="Arial" w:hAnsi="Arial" w:cs="Arial"/>
          <w:sz w:val="24"/>
          <w:szCs w:val="24"/>
        </w:rPr>
        <w:t xml:space="preserve"> organisée </w:t>
      </w:r>
      <w:r w:rsidR="006F08C2">
        <w:rPr>
          <w:rFonts w:ascii="Arial" w:hAnsi="Arial" w:cs="Arial"/>
          <w:sz w:val="24"/>
          <w:szCs w:val="24"/>
        </w:rPr>
        <w:t>à l’image de l’organisation administrative du système de santé</w:t>
      </w:r>
      <w:r w:rsidR="00303006">
        <w:rPr>
          <w:rFonts w:ascii="Arial" w:hAnsi="Arial" w:cs="Arial"/>
          <w:sz w:val="24"/>
          <w:szCs w:val="24"/>
        </w:rPr>
        <w:t xml:space="preserve"> </w:t>
      </w:r>
      <w:r w:rsidR="00303006" w:rsidRPr="007D610A">
        <w:rPr>
          <w:rFonts w:ascii="Arial" w:hAnsi="Arial" w:cs="Arial"/>
          <w:sz w:val="24"/>
          <w:szCs w:val="24"/>
        </w:rPr>
        <w:t>en trois niveaux</w:t>
      </w:r>
      <w:r w:rsidR="006278CE">
        <w:rPr>
          <w:rFonts w:ascii="Arial" w:hAnsi="Arial" w:cs="Arial"/>
          <w:sz w:val="24"/>
          <w:szCs w:val="24"/>
        </w:rPr>
        <w:t xml:space="preserve"> : </w:t>
      </w:r>
    </w:p>
    <w:p w14:paraId="6819C82C" w14:textId="15151202" w:rsidR="00506CDD" w:rsidRPr="006F08C2" w:rsidRDefault="006278CE" w:rsidP="006F08C2">
      <w:pPr>
        <w:pStyle w:val="ListParagraph"/>
        <w:numPr>
          <w:ilvl w:val="0"/>
          <w:numId w:val="34"/>
        </w:numPr>
        <w:spacing w:after="240" w:line="360" w:lineRule="auto"/>
        <w:jc w:val="both"/>
        <w:rPr>
          <w:rFonts w:ascii="Arial" w:hAnsi="Arial" w:cs="Arial"/>
          <w:sz w:val="24"/>
          <w:szCs w:val="24"/>
        </w:rPr>
      </w:pPr>
      <w:proofErr w:type="gramStart"/>
      <w:r>
        <w:rPr>
          <w:rFonts w:ascii="Arial" w:hAnsi="Arial" w:cs="Arial"/>
          <w:sz w:val="24"/>
          <w:szCs w:val="24"/>
        </w:rPr>
        <w:t>l</w:t>
      </w:r>
      <w:r w:rsidRPr="006F08C2">
        <w:rPr>
          <w:rFonts w:ascii="Arial" w:hAnsi="Arial" w:cs="Arial"/>
          <w:sz w:val="24"/>
          <w:szCs w:val="24"/>
        </w:rPr>
        <w:t>e</w:t>
      </w:r>
      <w:proofErr w:type="gramEnd"/>
      <w:r w:rsidRPr="006F08C2">
        <w:rPr>
          <w:rFonts w:ascii="Arial" w:hAnsi="Arial" w:cs="Arial"/>
          <w:sz w:val="24"/>
          <w:szCs w:val="24"/>
        </w:rPr>
        <w:t xml:space="preserve"> </w:t>
      </w:r>
      <w:r w:rsidR="00065D4F" w:rsidRPr="006F08C2">
        <w:rPr>
          <w:rFonts w:ascii="Arial" w:hAnsi="Arial" w:cs="Arial"/>
          <w:sz w:val="24"/>
          <w:szCs w:val="24"/>
        </w:rPr>
        <w:t xml:space="preserve">premier niveau de soins est composé des </w:t>
      </w:r>
      <w:r w:rsidR="00506CDD" w:rsidRPr="006F08C2">
        <w:rPr>
          <w:rFonts w:ascii="Arial" w:hAnsi="Arial" w:cs="Arial"/>
          <w:sz w:val="24"/>
          <w:szCs w:val="24"/>
        </w:rPr>
        <w:t xml:space="preserve">postes de santé (PS), des centres de santé (CS) et des centres médicaux communaux (CMC). </w:t>
      </w:r>
    </w:p>
    <w:p w14:paraId="40C30FC4" w14:textId="6A519424" w:rsidR="00065D4F" w:rsidRPr="006F08C2" w:rsidRDefault="006278CE" w:rsidP="006F08C2">
      <w:pPr>
        <w:pStyle w:val="ListParagraph"/>
        <w:numPr>
          <w:ilvl w:val="0"/>
          <w:numId w:val="34"/>
        </w:numPr>
        <w:spacing w:after="240" w:line="360" w:lineRule="auto"/>
        <w:jc w:val="both"/>
        <w:rPr>
          <w:rFonts w:ascii="Arial" w:hAnsi="Arial" w:cs="Arial"/>
          <w:sz w:val="24"/>
          <w:szCs w:val="24"/>
        </w:rPr>
      </w:pPr>
      <w:proofErr w:type="gramStart"/>
      <w:r>
        <w:rPr>
          <w:rFonts w:ascii="Arial" w:hAnsi="Arial" w:cs="Arial"/>
          <w:sz w:val="24"/>
          <w:szCs w:val="24"/>
        </w:rPr>
        <w:t>l</w:t>
      </w:r>
      <w:r w:rsidRPr="006F08C2">
        <w:rPr>
          <w:rFonts w:ascii="Arial" w:hAnsi="Arial" w:cs="Arial"/>
          <w:sz w:val="24"/>
          <w:szCs w:val="24"/>
        </w:rPr>
        <w:t>e</w:t>
      </w:r>
      <w:proofErr w:type="gramEnd"/>
      <w:r w:rsidRPr="006F08C2">
        <w:rPr>
          <w:rFonts w:ascii="Arial" w:hAnsi="Arial" w:cs="Arial"/>
          <w:sz w:val="24"/>
          <w:szCs w:val="24"/>
        </w:rPr>
        <w:t xml:space="preserve"> </w:t>
      </w:r>
      <w:r w:rsidR="00065D4F" w:rsidRPr="006F08C2">
        <w:rPr>
          <w:rFonts w:ascii="Arial" w:hAnsi="Arial" w:cs="Arial"/>
          <w:sz w:val="24"/>
          <w:szCs w:val="24"/>
        </w:rPr>
        <w:t>deuxième niveau est constitué par les centres hospitaliers régionaux (CHR). Ils servent de référence pour les CM</w:t>
      </w:r>
      <w:r w:rsidR="00506CDD" w:rsidRPr="006F08C2">
        <w:rPr>
          <w:rFonts w:ascii="Arial" w:hAnsi="Arial" w:cs="Arial"/>
          <w:sz w:val="24"/>
          <w:szCs w:val="24"/>
        </w:rPr>
        <w:t>C</w:t>
      </w:r>
      <w:r>
        <w:rPr>
          <w:rFonts w:ascii="Arial" w:hAnsi="Arial" w:cs="Arial"/>
          <w:sz w:val="24"/>
          <w:szCs w:val="24"/>
        </w:rPr>
        <w:t> ;</w:t>
      </w:r>
    </w:p>
    <w:p w14:paraId="35A0EAD0" w14:textId="0D9F2E0C" w:rsidR="00493EE9" w:rsidRDefault="006278CE" w:rsidP="006F08C2">
      <w:pPr>
        <w:pStyle w:val="ListParagraph"/>
        <w:numPr>
          <w:ilvl w:val="0"/>
          <w:numId w:val="34"/>
        </w:numPr>
        <w:spacing w:line="360" w:lineRule="auto"/>
        <w:jc w:val="both"/>
        <w:rPr>
          <w:rFonts w:ascii="Arial" w:hAnsi="Arial" w:cs="Arial"/>
          <w:sz w:val="24"/>
          <w:szCs w:val="24"/>
        </w:rPr>
      </w:pPr>
      <w:proofErr w:type="gramStart"/>
      <w:r>
        <w:rPr>
          <w:rFonts w:ascii="Arial" w:hAnsi="Arial" w:cs="Arial"/>
          <w:sz w:val="24"/>
          <w:szCs w:val="24"/>
        </w:rPr>
        <w:t>l</w:t>
      </w:r>
      <w:r w:rsidRPr="006F08C2">
        <w:rPr>
          <w:rFonts w:ascii="Arial" w:hAnsi="Arial" w:cs="Arial"/>
          <w:sz w:val="24"/>
          <w:szCs w:val="24"/>
        </w:rPr>
        <w:t>e</w:t>
      </w:r>
      <w:proofErr w:type="gramEnd"/>
      <w:r w:rsidRPr="006F08C2">
        <w:rPr>
          <w:rFonts w:ascii="Arial" w:hAnsi="Arial" w:cs="Arial"/>
          <w:sz w:val="24"/>
          <w:szCs w:val="24"/>
        </w:rPr>
        <w:t xml:space="preserve"> </w:t>
      </w:r>
      <w:r w:rsidR="00065D4F" w:rsidRPr="006F08C2">
        <w:rPr>
          <w:rFonts w:ascii="Arial" w:hAnsi="Arial" w:cs="Arial"/>
          <w:sz w:val="24"/>
          <w:szCs w:val="24"/>
        </w:rPr>
        <w:t xml:space="preserve">troisième niveau est le niveau de référence le plus élevé. Il est constitué par les centres hospitaliers </w:t>
      </w:r>
      <w:r w:rsidR="00506CDD" w:rsidRPr="006F08C2">
        <w:rPr>
          <w:rFonts w:ascii="Arial" w:hAnsi="Arial" w:cs="Arial"/>
          <w:sz w:val="24"/>
          <w:szCs w:val="24"/>
        </w:rPr>
        <w:t xml:space="preserve">nationaux et </w:t>
      </w:r>
      <w:r w:rsidR="00065D4F" w:rsidRPr="006F08C2">
        <w:rPr>
          <w:rFonts w:ascii="Arial" w:hAnsi="Arial" w:cs="Arial"/>
          <w:sz w:val="24"/>
          <w:szCs w:val="24"/>
        </w:rPr>
        <w:t>universitaires. Ces hôpitaux constituent le dernier recours en matière de soins.</w:t>
      </w:r>
      <w:r w:rsidR="00BB5EBC" w:rsidRPr="006F08C2">
        <w:rPr>
          <w:rFonts w:ascii="Arial" w:hAnsi="Arial" w:cs="Arial"/>
          <w:sz w:val="24"/>
          <w:szCs w:val="24"/>
        </w:rPr>
        <w:t xml:space="preserve"> </w:t>
      </w:r>
      <w:r w:rsidR="00493EE9" w:rsidRPr="006F08C2">
        <w:rPr>
          <w:rFonts w:ascii="Arial" w:hAnsi="Arial" w:cs="Arial"/>
          <w:sz w:val="24"/>
          <w:szCs w:val="24"/>
        </w:rPr>
        <w:t xml:space="preserve"> Le tableau 1 fournit un aperçu de la structure du système de santé </w:t>
      </w:r>
      <w:r>
        <w:rPr>
          <w:rFonts w:ascii="Arial" w:hAnsi="Arial" w:cs="Arial"/>
          <w:sz w:val="24"/>
          <w:szCs w:val="24"/>
        </w:rPr>
        <w:t>de la Guinée</w:t>
      </w:r>
      <w:r w:rsidR="00493EE9" w:rsidRPr="006F08C2">
        <w:rPr>
          <w:rFonts w:ascii="Arial" w:hAnsi="Arial" w:cs="Arial"/>
          <w:sz w:val="24"/>
          <w:szCs w:val="24"/>
        </w:rPr>
        <w:t xml:space="preserve">. </w:t>
      </w:r>
    </w:p>
    <w:p w14:paraId="2EB645A5" w14:textId="3AE19DA6" w:rsidR="0021723B" w:rsidRDefault="0021723B" w:rsidP="0021723B">
      <w:pPr>
        <w:spacing w:line="360" w:lineRule="auto"/>
        <w:jc w:val="both"/>
        <w:rPr>
          <w:rFonts w:ascii="Arial" w:hAnsi="Arial" w:cs="Arial"/>
          <w:sz w:val="24"/>
          <w:szCs w:val="24"/>
        </w:rPr>
      </w:pPr>
      <w:r>
        <w:rPr>
          <w:rFonts w:ascii="Arial" w:hAnsi="Arial" w:cs="Arial"/>
          <w:sz w:val="24"/>
          <w:szCs w:val="24"/>
        </w:rPr>
        <w:t xml:space="preserve">La figure ci-dessous illustre l’organisation administrative et l’organisation de l’offre de soins en Guinée </w:t>
      </w:r>
    </w:p>
    <w:p w14:paraId="57DA9C32" w14:textId="11E936A2" w:rsidR="00506CDD" w:rsidRDefault="00682AAD" w:rsidP="00506CDD">
      <w:pPr>
        <w:spacing w:line="360" w:lineRule="auto"/>
        <w:jc w:val="both"/>
        <w:rPr>
          <w:rFonts w:ascii="Arial" w:hAnsi="Arial" w:cs="Arial"/>
          <w:sz w:val="24"/>
          <w:szCs w:val="24"/>
        </w:rPr>
      </w:pPr>
      <w:r>
        <w:rPr>
          <w:rFonts w:ascii="Arial" w:hAnsi="Arial" w:cs="Arial"/>
          <w:noProof/>
          <w:sz w:val="24"/>
          <w:szCs w:val="24"/>
          <w:lang w:eastAsia="fr-FR"/>
        </w:rPr>
        <w:lastRenderedPageBreak/>
        <w:drawing>
          <wp:inline distT="0" distB="0" distL="0" distR="0" wp14:anchorId="2C646716" wp14:editId="278522C8">
            <wp:extent cx="5753100" cy="381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5753100" cy="3810000"/>
                    </a:xfrm>
                    <a:prstGeom prst="rect">
                      <a:avLst/>
                    </a:prstGeom>
                  </pic:spPr>
                </pic:pic>
              </a:graphicData>
            </a:graphic>
          </wp:inline>
        </w:drawing>
      </w:r>
    </w:p>
    <w:p w14:paraId="62011CA3" w14:textId="1277FCD1" w:rsidR="009C57C3" w:rsidRDefault="009C57C3" w:rsidP="00900412">
      <w:pPr>
        <w:pStyle w:val="Caption"/>
        <w:jc w:val="both"/>
      </w:pPr>
      <w:bookmarkStart w:id="10" w:name="_Toc94941314"/>
      <w:r w:rsidRPr="009C57C3">
        <w:rPr>
          <w:rFonts w:ascii="Arial" w:hAnsi="Arial" w:cs="Arial"/>
          <w:sz w:val="24"/>
          <w:szCs w:val="24"/>
        </w:rPr>
        <w:t xml:space="preserve">Figure </w:t>
      </w:r>
      <w:r w:rsidRPr="009C57C3">
        <w:rPr>
          <w:rFonts w:ascii="Arial" w:hAnsi="Arial" w:cs="Arial"/>
          <w:sz w:val="24"/>
          <w:szCs w:val="24"/>
        </w:rPr>
        <w:fldChar w:fldCharType="begin"/>
      </w:r>
      <w:r w:rsidRPr="009C57C3">
        <w:rPr>
          <w:rFonts w:ascii="Arial" w:hAnsi="Arial" w:cs="Arial"/>
          <w:sz w:val="24"/>
          <w:szCs w:val="24"/>
        </w:rPr>
        <w:instrText xml:space="preserve"> SEQ Figure \* ARABIC </w:instrText>
      </w:r>
      <w:r w:rsidRPr="009C57C3">
        <w:rPr>
          <w:rFonts w:ascii="Arial" w:hAnsi="Arial" w:cs="Arial"/>
          <w:sz w:val="24"/>
          <w:szCs w:val="24"/>
        </w:rPr>
        <w:fldChar w:fldCharType="separate"/>
      </w:r>
      <w:r w:rsidR="00004163">
        <w:rPr>
          <w:rFonts w:ascii="Arial" w:hAnsi="Arial" w:cs="Arial"/>
          <w:noProof/>
          <w:sz w:val="24"/>
          <w:szCs w:val="24"/>
        </w:rPr>
        <w:t>1</w:t>
      </w:r>
      <w:r w:rsidRPr="009C57C3">
        <w:rPr>
          <w:rFonts w:ascii="Arial" w:hAnsi="Arial" w:cs="Arial"/>
          <w:sz w:val="24"/>
          <w:szCs w:val="24"/>
        </w:rPr>
        <w:fldChar w:fldCharType="end"/>
      </w:r>
      <w:r w:rsidRPr="009C57C3">
        <w:rPr>
          <w:rFonts w:ascii="Arial" w:hAnsi="Arial" w:cs="Arial"/>
          <w:sz w:val="24"/>
          <w:szCs w:val="24"/>
        </w:rPr>
        <w:t> </w:t>
      </w:r>
      <w:r w:rsidR="006278CE" w:rsidRPr="009C57C3">
        <w:rPr>
          <w:rFonts w:ascii="Arial" w:hAnsi="Arial" w:cs="Arial"/>
          <w:sz w:val="24"/>
          <w:szCs w:val="24"/>
        </w:rPr>
        <w:t xml:space="preserve">: </w:t>
      </w:r>
      <w:r w:rsidR="006278CE">
        <w:rPr>
          <w:rFonts w:ascii="Arial" w:hAnsi="Arial" w:cs="Arial"/>
          <w:sz w:val="24"/>
          <w:szCs w:val="24"/>
        </w:rPr>
        <w:t>Pyramide</w:t>
      </w:r>
      <w:r w:rsidR="006F08C2">
        <w:rPr>
          <w:rFonts w:ascii="Arial" w:hAnsi="Arial" w:cs="Arial"/>
          <w:sz w:val="24"/>
          <w:szCs w:val="24"/>
        </w:rPr>
        <w:t xml:space="preserve"> sanitaire illustrant l’organisation administrative et l’organisation des soins du système de santé</w:t>
      </w:r>
      <w:bookmarkEnd w:id="10"/>
      <w:r w:rsidR="006F08C2">
        <w:rPr>
          <w:lang w:eastAsia="fr-FR"/>
        </w:rPr>
        <w:t xml:space="preserve">         </w:t>
      </w:r>
    </w:p>
    <w:p w14:paraId="0298EF80" w14:textId="6CBF66A6" w:rsidR="00CD041D" w:rsidRPr="00807493" w:rsidRDefault="00424279" w:rsidP="000C68B4">
      <w:pPr>
        <w:pStyle w:val="Heading2"/>
        <w:rPr>
          <w:rFonts w:ascii="Arial" w:hAnsi="Arial" w:cs="Arial"/>
          <w:b/>
          <w:i/>
          <w:iCs/>
          <w:color w:val="000000" w:themeColor="text1"/>
          <w:sz w:val="24"/>
          <w:szCs w:val="24"/>
        </w:rPr>
      </w:pPr>
      <w:bookmarkStart w:id="11" w:name="_Toc86071262"/>
      <w:bookmarkStart w:id="12" w:name="_Toc86327585"/>
      <w:bookmarkStart w:id="13" w:name="_Toc88819211"/>
      <w:r w:rsidRPr="00807493">
        <w:rPr>
          <w:rFonts w:ascii="Arial" w:hAnsi="Arial" w:cs="Arial"/>
          <w:b/>
          <w:i/>
          <w:iCs/>
          <w:color w:val="000000" w:themeColor="text1"/>
          <w:sz w:val="24"/>
          <w:szCs w:val="24"/>
        </w:rPr>
        <w:t xml:space="preserve">       </w:t>
      </w:r>
      <w:bookmarkStart w:id="14" w:name="_Toc95082855"/>
      <w:r w:rsidR="0021723B">
        <w:rPr>
          <w:rFonts w:ascii="Arial" w:hAnsi="Arial" w:cs="Arial"/>
          <w:b/>
          <w:i/>
          <w:iCs/>
          <w:color w:val="000000" w:themeColor="text1"/>
          <w:sz w:val="24"/>
          <w:szCs w:val="24"/>
        </w:rPr>
        <w:t>1</w:t>
      </w:r>
      <w:r w:rsidRPr="00807493">
        <w:rPr>
          <w:rFonts w:ascii="Arial" w:hAnsi="Arial" w:cs="Arial"/>
          <w:b/>
          <w:i/>
          <w:iCs/>
          <w:color w:val="000000" w:themeColor="text1"/>
          <w:sz w:val="24"/>
          <w:szCs w:val="24"/>
        </w:rPr>
        <w:t xml:space="preserve">.3 </w:t>
      </w:r>
      <w:r w:rsidR="00CD041D" w:rsidRPr="00807493">
        <w:rPr>
          <w:rFonts w:ascii="Arial" w:hAnsi="Arial" w:cs="Arial"/>
          <w:b/>
          <w:i/>
          <w:iCs/>
          <w:color w:val="000000" w:themeColor="text1"/>
          <w:sz w:val="24"/>
          <w:szCs w:val="24"/>
        </w:rPr>
        <w:t>Gestion des données</w:t>
      </w:r>
      <w:bookmarkEnd w:id="11"/>
      <w:bookmarkEnd w:id="12"/>
      <w:bookmarkEnd w:id="13"/>
      <w:bookmarkEnd w:id="14"/>
    </w:p>
    <w:p w14:paraId="4028A970" w14:textId="56290C70" w:rsidR="00CD041D" w:rsidRPr="00FC24D5" w:rsidRDefault="000C68B4" w:rsidP="00900412">
      <w:pPr>
        <w:spacing w:before="100" w:beforeAutospacing="1" w:after="0" w:line="240" w:lineRule="auto"/>
        <w:ind w:left="60"/>
        <w:jc w:val="both"/>
        <w:rPr>
          <w:rFonts w:ascii="Arial" w:hAnsi="Arial" w:cs="Arial"/>
          <w:sz w:val="24"/>
          <w:szCs w:val="24"/>
        </w:rPr>
      </w:pPr>
      <w:r>
        <w:rPr>
          <w:rFonts w:ascii="Arial" w:hAnsi="Arial" w:cs="Arial"/>
          <w:sz w:val="24"/>
          <w:szCs w:val="24"/>
        </w:rPr>
        <w:t xml:space="preserve">  </w:t>
      </w:r>
      <w:r w:rsidR="00CD041D" w:rsidRPr="00FC24D5">
        <w:rPr>
          <w:rFonts w:ascii="Arial" w:hAnsi="Arial" w:cs="Arial"/>
          <w:sz w:val="24"/>
          <w:szCs w:val="24"/>
        </w:rPr>
        <w:t>Le système national d'information sanitaire dispose d'un ensemble d'outils de gestion des données :</w:t>
      </w:r>
    </w:p>
    <w:p w14:paraId="72F90068" w14:textId="1CDC41C2" w:rsidR="00CD041D" w:rsidRPr="00FC24D5" w:rsidRDefault="006278CE" w:rsidP="00900412">
      <w:pPr>
        <w:pStyle w:val="ListParagraph"/>
        <w:numPr>
          <w:ilvl w:val="0"/>
          <w:numId w:val="12"/>
        </w:numPr>
        <w:spacing w:before="100" w:beforeAutospacing="1" w:after="0" w:line="240" w:lineRule="auto"/>
        <w:jc w:val="both"/>
        <w:rPr>
          <w:rFonts w:ascii="Arial" w:hAnsi="Arial" w:cs="Arial"/>
          <w:sz w:val="24"/>
          <w:szCs w:val="24"/>
        </w:rPr>
      </w:pPr>
      <w:proofErr w:type="gramStart"/>
      <w:r>
        <w:rPr>
          <w:rFonts w:ascii="Arial" w:hAnsi="Arial" w:cs="Arial"/>
          <w:sz w:val="24"/>
          <w:szCs w:val="24"/>
        </w:rPr>
        <w:t>l</w:t>
      </w:r>
      <w:r w:rsidRPr="00FC24D5">
        <w:rPr>
          <w:rFonts w:ascii="Arial" w:hAnsi="Arial" w:cs="Arial"/>
          <w:sz w:val="24"/>
          <w:szCs w:val="24"/>
        </w:rPr>
        <w:t>es</w:t>
      </w:r>
      <w:proofErr w:type="gramEnd"/>
      <w:r w:rsidRPr="00FC24D5">
        <w:rPr>
          <w:rFonts w:ascii="Arial" w:hAnsi="Arial" w:cs="Arial"/>
          <w:sz w:val="24"/>
          <w:szCs w:val="24"/>
        </w:rPr>
        <w:t xml:space="preserve"> </w:t>
      </w:r>
      <w:r w:rsidR="00CD041D" w:rsidRPr="00FC24D5">
        <w:rPr>
          <w:rFonts w:ascii="Arial" w:hAnsi="Arial" w:cs="Arial"/>
          <w:sz w:val="24"/>
          <w:szCs w:val="24"/>
        </w:rPr>
        <w:t xml:space="preserve">outils primaires composés de registres, des fiches de collecte des maladies, des </w:t>
      </w:r>
      <w:r w:rsidR="00CD041D">
        <w:rPr>
          <w:rFonts w:ascii="Arial" w:hAnsi="Arial" w:cs="Arial"/>
          <w:sz w:val="24"/>
          <w:szCs w:val="24"/>
        </w:rPr>
        <w:t xml:space="preserve">registres </w:t>
      </w:r>
      <w:r w:rsidR="00CD041D" w:rsidRPr="00FC24D5">
        <w:rPr>
          <w:rFonts w:ascii="Arial" w:hAnsi="Arial" w:cs="Arial"/>
          <w:sz w:val="24"/>
          <w:szCs w:val="24"/>
        </w:rPr>
        <w:t>pour agents de santé</w:t>
      </w:r>
      <w:r w:rsidR="00CD041D">
        <w:rPr>
          <w:rFonts w:ascii="Arial" w:hAnsi="Arial" w:cs="Arial"/>
          <w:sz w:val="24"/>
          <w:szCs w:val="24"/>
        </w:rPr>
        <w:t>.</w:t>
      </w:r>
      <w:r w:rsidR="00C51600">
        <w:rPr>
          <w:rFonts w:ascii="Arial" w:hAnsi="Arial" w:cs="Arial"/>
          <w:sz w:val="24"/>
          <w:szCs w:val="24"/>
        </w:rPr>
        <w:t xml:space="preserve"> </w:t>
      </w:r>
      <w:r w:rsidR="00CD041D">
        <w:rPr>
          <w:rFonts w:ascii="Arial" w:hAnsi="Arial" w:cs="Arial"/>
          <w:sz w:val="24"/>
          <w:szCs w:val="24"/>
        </w:rPr>
        <w:t xml:space="preserve"> </w:t>
      </w:r>
      <w:r w:rsidR="00CD041D" w:rsidRPr="00770772">
        <w:rPr>
          <w:rFonts w:ascii="Arial" w:hAnsi="Arial" w:cs="Arial"/>
          <w:sz w:val="24"/>
          <w:szCs w:val="24"/>
        </w:rPr>
        <w:t>La collecte</w:t>
      </w:r>
      <w:r w:rsidR="00CD041D">
        <w:rPr>
          <w:rFonts w:ascii="Arial" w:hAnsi="Arial" w:cs="Arial"/>
          <w:sz w:val="24"/>
          <w:szCs w:val="24"/>
        </w:rPr>
        <w:t xml:space="preserve"> et la transmission</w:t>
      </w:r>
      <w:r w:rsidR="00CD041D" w:rsidRPr="00770772">
        <w:rPr>
          <w:rFonts w:ascii="Arial" w:hAnsi="Arial" w:cs="Arial"/>
          <w:sz w:val="24"/>
          <w:szCs w:val="24"/>
        </w:rPr>
        <w:t xml:space="preserve"> des données </w:t>
      </w:r>
      <w:r w:rsidR="00CD041D">
        <w:rPr>
          <w:rFonts w:ascii="Arial" w:hAnsi="Arial" w:cs="Arial"/>
          <w:sz w:val="24"/>
          <w:szCs w:val="24"/>
        </w:rPr>
        <w:t>sont</w:t>
      </w:r>
      <w:r w:rsidR="00CD041D" w:rsidRPr="00770772">
        <w:rPr>
          <w:rFonts w:ascii="Arial" w:hAnsi="Arial" w:cs="Arial"/>
          <w:sz w:val="24"/>
          <w:szCs w:val="24"/>
        </w:rPr>
        <w:t xml:space="preserve"> réalisée</w:t>
      </w:r>
      <w:r w:rsidR="00CD041D">
        <w:rPr>
          <w:rFonts w:ascii="Arial" w:hAnsi="Arial" w:cs="Arial"/>
          <w:sz w:val="24"/>
          <w:szCs w:val="24"/>
        </w:rPr>
        <w:t>s</w:t>
      </w:r>
      <w:r w:rsidR="00CD041D" w:rsidRPr="00770772">
        <w:rPr>
          <w:rFonts w:ascii="Arial" w:hAnsi="Arial" w:cs="Arial"/>
          <w:sz w:val="24"/>
          <w:szCs w:val="24"/>
        </w:rPr>
        <w:t xml:space="preserve"> essentiellement sur supports papier dans les </w:t>
      </w:r>
      <w:r w:rsidR="00CD041D">
        <w:rPr>
          <w:rFonts w:ascii="Arial" w:hAnsi="Arial" w:cs="Arial"/>
          <w:sz w:val="24"/>
          <w:szCs w:val="24"/>
        </w:rPr>
        <w:t>postes</w:t>
      </w:r>
      <w:r w:rsidR="00CD041D" w:rsidRPr="00770772">
        <w:rPr>
          <w:rFonts w:ascii="Arial" w:hAnsi="Arial" w:cs="Arial"/>
          <w:sz w:val="24"/>
          <w:szCs w:val="24"/>
        </w:rPr>
        <w:t xml:space="preserve"> de santé</w:t>
      </w:r>
      <w:r w:rsidR="00CD041D">
        <w:rPr>
          <w:rFonts w:ascii="Arial" w:hAnsi="Arial" w:cs="Arial"/>
          <w:sz w:val="24"/>
          <w:szCs w:val="24"/>
        </w:rPr>
        <w:t xml:space="preserve"> (PS)</w:t>
      </w:r>
      <w:r>
        <w:rPr>
          <w:rFonts w:ascii="Arial" w:hAnsi="Arial" w:cs="Arial"/>
          <w:sz w:val="24"/>
          <w:szCs w:val="24"/>
        </w:rPr>
        <w:t> ;</w:t>
      </w:r>
    </w:p>
    <w:p w14:paraId="4BBBFDA2" w14:textId="2B2FEE21" w:rsidR="00C51600" w:rsidRDefault="006278CE" w:rsidP="00CD041D">
      <w:pPr>
        <w:pStyle w:val="ListParagraph"/>
        <w:numPr>
          <w:ilvl w:val="0"/>
          <w:numId w:val="12"/>
        </w:numPr>
        <w:spacing w:before="120" w:after="0" w:line="360" w:lineRule="auto"/>
        <w:jc w:val="both"/>
        <w:rPr>
          <w:rFonts w:ascii="Arial" w:hAnsi="Arial" w:cs="Arial"/>
          <w:sz w:val="24"/>
          <w:szCs w:val="24"/>
        </w:rPr>
      </w:pPr>
      <w:proofErr w:type="gramStart"/>
      <w:r>
        <w:rPr>
          <w:rFonts w:ascii="Arial" w:hAnsi="Arial" w:cs="Arial"/>
          <w:sz w:val="24"/>
          <w:szCs w:val="24"/>
        </w:rPr>
        <w:t>l</w:t>
      </w:r>
      <w:r w:rsidRPr="00FC24D5">
        <w:rPr>
          <w:rFonts w:ascii="Arial" w:hAnsi="Arial" w:cs="Arial"/>
          <w:sz w:val="24"/>
          <w:szCs w:val="24"/>
        </w:rPr>
        <w:t>es</w:t>
      </w:r>
      <w:proofErr w:type="gramEnd"/>
      <w:r w:rsidRPr="00FC24D5">
        <w:rPr>
          <w:rFonts w:ascii="Arial" w:hAnsi="Arial" w:cs="Arial"/>
          <w:sz w:val="24"/>
          <w:szCs w:val="24"/>
        </w:rPr>
        <w:t xml:space="preserve"> </w:t>
      </w:r>
      <w:r w:rsidR="00CD041D" w:rsidRPr="00FC24D5">
        <w:rPr>
          <w:rFonts w:ascii="Arial" w:hAnsi="Arial" w:cs="Arial"/>
          <w:sz w:val="24"/>
          <w:szCs w:val="24"/>
        </w:rPr>
        <w:t xml:space="preserve">outils </w:t>
      </w:r>
      <w:r w:rsidR="00C51600">
        <w:rPr>
          <w:rFonts w:ascii="Arial" w:hAnsi="Arial" w:cs="Arial"/>
          <w:sz w:val="24"/>
          <w:szCs w:val="24"/>
        </w:rPr>
        <w:t>sont</w:t>
      </w:r>
      <w:r w:rsidR="00CD041D" w:rsidRPr="00FC24D5">
        <w:rPr>
          <w:rFonts w:ascii="Arial" w:hAnsi="Arial" w:cs="Arial"/>
          <w:sz w:val="24"/>
          <w:szCs w:val="24"/>
        </w:rPr>
        <w:t xml:space="preserve"> composés des rapports</w:t>
      </w:r>
      <w:r w:rsidR="00CD041D">
        <w:rPr>
          <w:rFonts w:ascii="Arial" w:hAnsi="Arial" w:cs="Arial"/>
          <w:sz w:val="24"/>
          <w:szCs w:val="24"/>
        </w:rPr>
        <w:t xml:space="preserve"> journaliers, hebdomadaires ou</w:t>
      </w:r>
      <w:r w:rsidR="00CD041D" w:rsidRPr="00FC24D5">
        <w:rPr>
          <w:rFonts w:ascii="Arial" w:hAnsi="Arial" w:cs="Arial"/>
          <w:sz w:val="24"/>
          <w:szCs w:val="24"/>
        </w:rPr>
        <w:t xml:space="preserve"> mensuel</w:t>
      </w:r>
      <w:r w:rsidR="00CD041D">
        <w:rPr>
          <w:rFonts w:ascii="Arial" w:hAnsi="Arial" w:cs="Arial"/>
          <w:sz w:val="24"/>
          <w:szCs w:val="24"/>
        </w:rPr>
        <w:t>s</w:t>
      </w:r>
      <w:r w:rsidR="00CD041D" w:rsidRPr="00FC24D5">
        <w:rPr>
          <w:rFonts w:ascii="Arial" w:hAnsi="Arial" w:cs="Arial"/>
          <w:sz w:val="24"/>
          <w:szCs w:val="24"/>
        </w:rPr>
        <w:t xml:space="preserve"> des établissements de santé</w:t>
      </w:r>
      <w:r>
        <w:rPr>
          <w:rFonts w:ascii="Arial" w:hAnsi="Arial" w:cs="Arial"/>
          <w:sz w:val="24"/>
          <w:szCs w:val="24"/>
        </w:rPr>
        <w:t>.</w:t>
      </w:r>
      <w:r w:rsidR="00CD041D">
        <w:rPr>
          <w:rFonts w:ascii="Arial" w:hAnsi="Arial" w:cs="Arial"/>
          <w:sz w:val="24"/>
          <w:szCs w:val="24"/>
        </w:rPr>
        <w:t xml:space="preserve"> </w:t>
      </w:r>
      <w:r w:rsidR="00C51600">
        <w:rPr>
          <w:rFonts w:ascii="Arial" w:hAnsi="Arial" w:cs="Arial"/>
          <w:sz w:val="24"/>
          <w:szCs w:val="24"/>
        </w:rPr>
        <w:t>C</w:t>
      </w:r>
      <w:r w:rsidR="00CD041D">
        <w:rPr>
          <w:rFonts w:ascii="Arial" w:hAnsi="Arial" w:cs="Arial"/>
          <w:sz w:val="24"/>
          <w:szCs w:val="24"/>
        </w:rPr>
        <w:t>es outils sont le plus souvent dématérialisés et disponibles au niveau des centres de santé</w:t>
      </w:r>
      <w:r>
        <w:rPr>
          <w:rFonts w:ascii="Arial" w:hAnsi="Arial" w:cs="Arial"/>
          <w:sz w:val="24"/>
          <w:szCs w:val="24"/>
        </w:rPr>
        <w:t> ;</w:t>
      </w:r>
    </w:p>
    <w:p w14:paraId="3D8300B8" w14:textId="70290A30" w:rsidR="00CD041D" w:rsidRDefault="006278CE" w:rsidP="00CD041D">
      <w:pPr>
        <w:pStyle w:val="ListParagraph"/>
        <w:numPr>
          <w:ilvl w:val="0"/>
          <w:numId w:val="12"/>
        </w:numPr>
        <w:spacing w:before="120" w:after="0" w:line="360" w:lineRule="auto"/>
        <w:jc w:val="both"/>
        <w:rPr>
          <w:rFonts w:ascii="Arial" w:hAnsi="Arial" w:cs="Arial"/>
          <w:sz w:val="24"/>
          <w:szCs w:val="24"/>
        </w:rPr>
      </w:pPr>
      <w:proofErr w:type="gramStart"/>
      <w:r>
        <w:rPr>
          <w:rFonts w:ascii="Arial" w:hAnsi="Arial" w:cs="Arial"/>
          <w:sz w:val="24"/>
          <w:szCs w:val="24"/>
        </w:rPr>
        <w:t>l</w:t>
      </w:r>
      <w:r w:rsidRPr="00FC24D5">
        <w:rPr>
          <w:rFonts w:ascii="Arial" w:hAnsi="Arial" w:cs="Arial"/>
          <w:sz w:val="24"/>
          <w:szCs w:val="24"/>
        </w:rPr>
        <w:t>es</w:t>
      </w:r>
      <w:proofErr w:type="gramEnd"/>
      <w:r w:rsidRPr="00FC24D5">
        <w:rPr>
          <w:rFonts w:ascii="Arial" w:hAnsi="Arial" w:cs="Arial"/>
          <w:sz w:val="24"/>
          <w:szCs w:val="24"/>
        </w:rPr>
        <w:t xml:space="preserve"> </w:t>
      </w:r>
      <w:r w:rsidR="00CD041D" w:rsidRPr="00FC24D5">
        <w:rPr>
          <w:rFonts w:ascii="Arial" w:hAnsi="Arial" w:cs="Arial"/>
          <w:sz w:val="24"/>
          <w:szCs w:val="24"/>
        </w:rPr>
        <w:t>outils de traitement et de stockage des données (</w:t>
      </w:r>
      <w:r w:rsidR="00CD041D">
        <w:rPr>
          <w:rFonts w:ascii="Arial" w:hAnsi="Arial" w:cs="Arial"/>
          <w:sz w:val="24"/>
          <w:szCs w:val="24"/>
        </w:rPr>
        <w:t>DHIS2</w:t>
      </w:r>
      <w:r w:rsidR="00CD041D" w:rsidRPr="00FC24D5">
        <w:rPr>
          <w:rFonts w:ascii="Arial" w:hAnsi="Arial" w:cs="Arial"/>
          <w:sz w:val="24"/>
          <w:szCs w:val="24"/>
        </w:rPr>
        <w:t xml:space="preserve">, </w:t>
      </w:r>
      <w:r w:rsidR="00CD041D">
        <w:rPr>
          <w:rFonts w:ascii="Arial" w:hAnsi="Arial" w:cs="Arial"/>
          <w:sz w:val="24"/>
          <w:szCs w:val="24"/>
        </w:rPr>
        <w:t>classeur Excel</w:t>
      </w:r>
      <w:r w:rsidR="00CD041D" w:rsidRPr="00FC24D5">
        <w:rPr>
          <w:rFonts w:ascii="Arial" w:hAnsi="Arial" w:cs="Arial"/>
          <w:sz w:val="24"/>
          <w:szCs w:val="24"/>
        </w:rPr>
        <w:t xml:space="preserve">, </w:t>
      </w:r>
      <w:r w:rsidR="00CD041D">
        <w:rPr>
          <w:rFonts w:ascii="Arial" w:hAnsi="Arial" w:cs="Arial"/>
          <w:sz w:val="24"/>
          <w:szCs w:val="24"/>
        </w:rPr>
        <w:t>e-SIGL</w:t>
      </w:r>
      <w:r w:rsidR="00CD041D" w:rsidRPr="00FC24D5">
        <w:rPr>
          <w:rFonts w:ascii="Arial" w:hAnsi="Arial" w:cs="Arial"/>
          <w:sz w:val="24"/>
          <w:szCs w:val="24"/>
        </w:rPr>
        <w:t xml:space="preserve">, </w:t>
      </w:r>
      <w:proofErr w:type="spellStart"/>
      <w:r w:rsidR="00CD041D">
        <w:rPr>
          <w:rFonts w:ascii="Arial" w:hAnsi="Arial" w:cs="Arial"/>
          <w:sz w:val="24"/>
          <w:szCs w:val="24"/>
        </w:rPr>
        <w:t>iHIRIS</w:t>
      </w:r>
      <w:proofErr w:type="spellEnd"/>
      <w:r w:rsidR="00CD041D">
        <w:rPr>
          <w:rFonts w:ascii="Arial" w:hAnsi="Arial" w:cs="Arial"/>
          <w:sz w:val="24"/>
          <w:szCs w:val="24"/>
        </w:rPr>
        <w:t>,</w:t>
      </w:r>
      <w:r w:rsidR="00CD041D" w:rsidRPr="00FC24D5">
        <w:rPr>
          <w:rFonts w:ascii="Arial" w:hAnsi="Arial" w:cs="Arial"/>
          <w:sz w:val="24"/>
          <w:szCs w:val="24"/>
        </w:rPr>
        <w:t xml:space="preserve"> etc.)</w:t>
      </w:r>
      <w:r w:rsidR="00CD041D">
        <w:rPr>
          <w:rFonts w:ascii="Arial" w:hAnsi="Arial" w:cs="Arial"/>
          <w:sz w:val="24"/>
          <w:szCs w:val="24"/>
        </w:rPr>
        <w:t xml:space="preserve">. Ces outils sont le plus </w:t>
      </w:r>
      <w:r w:rsidR="00C04B02">
        <w:rPr>
          <w:rFonts w:ascii="Arial" w:hAnsi="Arial" w:cs="Arial"/>
          <w:sz w:val="24"/>
          <w:szCs w:val="24"/>
        </w:rPr>
        <w:t>s</w:t>
      </w:r>
      <w:r w:rsidR="00CD041D">
        <w:rPr>
          <w:rFonts w:ascii="Arial" w:hAnsi="Arial" w:cs="Arial"/>
          <w:sz w:val="24"/>
          <w:szCs w:val="24"/>
        </w:rPr>
        <w:t xml:space="preserve">ouvent spécialisés avec </w:t>
      </w:r>
      <w:r w:rsidR="00303006">
        <w:rPr>
          <w:rFonts w:ascii="Arial" w:hAnsi="Arial" w:cs="Arial"/>
          <w:sz w:val="24"/>
          <w:szCs w:val="24"/>
        </w:rPr>
        <w:t xml:space="preserve">une </w:t>
      </w:r>
      <w:r w:rsidR="00CD041D">
        <w:rPr>
          <w:rFonts w:ascii="Arial" w:hAnsi="Arial" w:cs="Arial"/>
          <w:sz w:val="24"/>
          <w:szCs w:val="24"/>
        </w:rPr>
        <w:t>possibilité de mutualisation des bases de données. Il n’existe pas d’</w:t>
      </w:r>
      <w:proofErr w:type="spellStart"/>
      <w:r w:rsidR="00CD041D">
        <w:rPr>
          <w:rFonts w:ascii="Arial" w:hAnsi="Arial" w:cs="Arial"/>
          <w:sz w:val="24"/>
          <w:szCs w:val="24"/>
        </w:rPr>
        <w:t>in</w:t>
      </w:r>
      <w:r w:rsidR="00C04B02">
        <w:rPr>
          <w:rFonts w:ascii="Arial" w:hAnsi="Arial" w:cs="Arial"/>
          <w:sz w:val="24"/>
          <w:szCs w:val="24"/>
        </w:rPr>
        <w:t>ter</w:t>
      </w:r>
      <w:r w:rsidR="00784554">
        <w:rPr>
          <w:rFonts w:ascii="Arial" w:hAnsi="Arial" w:cs="Arial"/>
          <w:sz w:val="24"/>
          <w:szCs w:val="24"/>
        </w:rPr>
        <w:t>-</w:t>
      </w:r>
      <w:r w:rsidR="00C04B02">
        <w:rPr>
          <w:rFonts w:ascii="Arial" w:hAnsi="Arial" w:cs="Arial"/>
          <w:sz w:val="24"/>
          <w:szCs w:val="24"/>
        </w:rPr>
        <w:t>opérabilité</w:t>
      </w:r>
      <w:proofErr w:type="spellEnd"/>
      <w:r w:rsidR="00C04B02">
        <w:rPr>
          <w:rFonts w:ascii="Arial" w:hAnsi="Arial" w:cs="Arial"/>
          <w:sz w:val="24"/>
          <w:szCs w:val="24"/>
        </w:rPr>
        <w:t xml:space="preserve"> </w:t>
      </w:r>
      <w:r w:rsidR="00CD041D">
        <w:rPr>
          <w:rFonts w:ascii="Arial" w:hAnsi="Arial" w:cs="Arial"/>
          <w:sz w:val="24"/>
          <w:szCs w:val="24"/>
        </w:rPr>
        <w:t>entre les différents outils</w:t>
      </w:r>
      <w:r w:rsidR="00C04B02">
        <w:rPr>
          <w:rFonts w:ascii="Arial" w:hAnsi="Arial" w:cs="Arial"/>
          <w:sz w:val="24"/>
          <w:szCs w:val="24"/>
        </w:rPr>
        <w:t xml:space="preserve"> dématérialisés</w:t>
      </w:r>
      <w:r w:rsidR="00CD041D">
        <w:rPr>
          <w:rFonts w:ascii="Arial" w:hAnsi="Arial" w:cs="Arial"/>
          <w:sz w:val="24"/>
          <w:szCs w:val="24"/>
        </w:rPr>
        <w:t xml:space="preserve"> de</w:t>
      </w:r>
      <w:r w:rsidR="00C04B02">
        <w:rPr>
          <w:rFonts w:ascii="Arial" w:hAnsi="Arial" w:cs="Arial"/>
          <w:sz w:val="24"/>
          <w:szCs w:val="24"/>
        </w:rPr>
        <w:t xml:space="preserve"> collecte et de</w:t>
      </w:r>
      <w:r w:rsidR="00CD041D">
        <w:rPr>
          <w:rFonts w:ascii="Arial" w:hAnsi="Arial" w:cs="Arial"/>
          <w:sz w:val="24"/>
          <w:szCs w:val="24"/>
        </w:rPr>
        <w:t xml:space="preserve"> traitement de l’information.</w:t>
      </w:r>
    </w:p>
    <w:p w14:paraId="4ADCA47D" w14:textId="77777777" w:rsidR="0021723B" w:rsidRDefault="0021723B" w:rsidP="0021723B">
      <w:pPr>
        <w:spacing w:before="120" w:after="0" w:line="360" w:lineRule="auto"/>
        <w:jc w:val="both"/>
        <w:rPr>
          <w:rFonts w:ascii="Arial" w:hAnsi="Arial" w:cs="Arial"/>
          <w:sz w:val="24"/>
          <w:szCs w:val="24"/>
        </w:rPr>
      </w:pPr>
      <w:r>
        <w:rPr>
          <w:rFonts w:ascii="Arial" w:hAnsi="Arial" w:cs="Arial"/>
          <w:sz w:val="24"/>
          <w:szCs w:val="24"/>
        </w:rPr>
        <w:t>La figure ci-après donne la cartographie des outils de collecte de transmission de l’information à tous les paliers de la pyramide sanitaire.</w:t>
      </w:r>
    </w:p>
    <w:p w14:paraId="399AF0E3" w14:textId="14B3E95B" w:rsidR="0021723B" w:rsidRDefault="0021723B" w:rsidP="00CD041D">
      <w:pPr>
        <w:spacing w:before="120" w:after="0" w:line="360" w:lineRule="auto"/>
        <w:jc w:val="both"/>
        <w:rPr>
          <w:rFonts w:ascii="Arial" w:hAnsi="Arial" w:cs="Arial"/>
          <w:sz w:val="24"/>
          <w:szCs w:val="24"/>
        </w:rPr>
        <w:sectPr w:rsidR="0021723B" w:rsidSect="0021723B">
          <w:pgSz w:w="11906" w:h="16838"/>
          <w:pgMar w:top="1417" w:right="1417" w:bottom="1417" w:left="1417" w:header="708" w:footer="708" w:gutter="0"/>
          <w:cols w:space="708"/>
          <w:docGrid w:linePitch="360"/>
        </w:sectPr>
      </w:pPr>
    </w:p>
    <w:p w14:paraId="57E0997B" w14:textId="51E5E99A" w:rsidR="00CD041D" w:rsidRDefault="00682AAD" w:rsidP="00CD041D">
      <w:pPr>
        <w:spacing w:before="120" w:after="0" w:line="360" w:lineRule="auto"/>
        <w:jc w:val="both"/>
        <w:rPr>
          <w:rFonts w:ascii="Arial" w:hAnsi="Arial" w:cs="Arial"/>
          <w:sz w:val="24"/>
          <w:szCs w:val="24"/>
        </w:rPr>
      </w:pPr>
      <w:r>
        <w:rPr>
          <w:rFonts w:ascii="Arial" w:hAnsi="Arial" w:cs="Arial"/>
          <w:noProof/>
          <w:sz w:val="24"/>
          <w:szCs w:val="24"/>
          <w:lang w:eastAsia="fr-FR"/>
        </w:rPr>
        <w:lastRenderedPageBreak/>
        <w:drawing>
          <wp:inline distT="0" distB="0" distL="0" distR="0" wp14:anchorId="7C3F8DFC" wp14:editId="3279B8D7">
            <wp:extent cx="8229600" cy="5321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8229600" cy="5321300"/>
                    </a:xfrm>
                    <a:prstGeom prst="rect">
                      <a:avLst/>
                    </a:prstGeom>
                  </pic:spPr>
                </pic:pic>
              </a:graphicData>
            </a:graphic>
          </wp:inline>
        </w:drawing>
      </w:r>
    </w:p>
    <w:p w14:paraId="1E3D9B83" w14:textId="5537D12C" w:rsidR="00CD041D" w:rsidRPr="00CD041D" w:rsidRDefault="009C57C3" w:rsidP="009C57C3">
      <w:pPr>
        <w:pStyle w:val="Caption"/>
        <w:rPr>
          <w:rFonts w:ascii="Arial" w:hAnsi="Arial" w:cs="Arial"/>
          <w:i w:val="0"/>
          <w:iCs w:val="0"/>
          <w:sz w:val="24"/>
          <w:szCs w:val="24"/>
        </w:rPr>
      </w:pPr>
      <w:bookmarkStart w:id="15" w:name="_Toc94941315"/>
      <w:r w:rsidRPr="009C57C3">
        <w:rPr>
          <w:rFonts w:ascii="Arial" w:hAnsi="Arial" w:cs="Arial"/>
          <w:sz w:val="24"/>
          <w:szCs w:val="24"/>
        </w:rPr>
        <w:t xml:space="preserve">Figure </w:t>
      </w:r>
      <w:r w:rsidRPr="009C57C3">
        <w:rPr>
          <w:rFonts w:ascii="Arial" w:hAnsi="Arial" w:cs="Arial"/>
          <w:sz w:val="24"/>
          <w:szCs w:val="24"/>
        </w:rPr>
        <w:fldChar w:fldCharType="begin"/>
      </w:r>
      <w:r w:rsidRPr="009C57C3">
        <w:rPr>
          <w:rFonts w:ascii="Arial" w:hAnsi="Arial" w:cs="Arial"/>
          <w:sz w:val="24"/>
          <w:szCs w:val="24"/>
        </w:rPr>
        <w:instrText xml:space="preserve"> SEQ Figure \* ARABIC </w:instrText>
      </w:r>
      <w:r w:rsidRPr="009C57C3">
        <w:rPr>
          <w:rFonts w:ascii="Arial" w:hAnsi="Arial" w:cs="Arial"/>
          <w:sz w:val="24"/>
          <w:szCs w:val="24"/>
        </w:rPr>
        <w:fldChar w:fldCharType="separate"/>
      </w:r>
      <w:r w:rsidR="00004163">
        <w:rPr>
          <w:rFonts w:ascii="Arial" w:hAnsi="Arial" w:cs="Arial"/>
          <w:noProof/>
          <w:sz w:val="24"/>
          <w:szCs w:val="24"/>
        </w:rPr>
        <w:t>2</w:t>
      </w:r>
      <w:r w:rsidRPr="009C57C3">
        <w:rPr>
          <w:rFonts w:ascii="Arial" w:hAnsi="Arial" w:cs="Arial"/>
          <w:sz w:val="24"/>
          <w:szCs w:val="24"/>
        </w:rPr>
        <w:fldChar w:fldCharType="end"/>
      </w:r>
      <w:r w:rsidRPr="009C57C3">
        <w:rPr>
          <w:rFonts w:ascii="Arial" w:hAnsi="Arial" w:cs="Arial"/>
          <w:sz w:val="24"/>
          <w:szCs w:val="24"/>
        </w:rPr>
        <w:t> :</w:t>
      </w:r>
      <w:r>
        <w:t xml:space="preserve"> </w:t>
      </w:r>
      <w:r w:rsidR="00CD041D" w:rsidRPr="00CD041D">
        <w:rPr>
          <w:rFonts w:ascii="Arial" w:hAnsi="Arial" w:cs="Arial"/>
          <w:sz w:val="24"/>
          <w:szCs w:val="24"/>
        </w:rPr>
        <w:t>Cartographie des outils/applications de collecte et de transmission des données par niveau de la pyramide sanitaire</w:t>
      </w:r>
      <w:bookmarkEnd w:id="15"/>
    </w:p>
    <w:p w14:paraId="1E3E881A" w14:textId="77777777" w:rsidR="009C57C3" w:rsidRDefault="009C57C3" w:rsidP="00CD041D">
      <w:pPr>
        <w:spacing w:line="360" w:lineRule="auto"/>
        <w:jc w:val="both"/>
        <w:rPr>
          <w:rFonts w:ascii="Arial" w:hAnsi="Arial" w:cs="Arial"/>
          <w:sz w:val="24"/>
          <w:szCs w:val="24"/>
          <w:highlight w:val="yellow"/>
        </w:rPr>
        <w:sectPr w:rsidR="009C57C3" w:rsidSect="0021723B">
          <w:pgSz w:w="16838" w:h="11906" w:orient="landscape"/>
          <w:pgMar w:top="1417" w:right="1417" w:bottom="1417" w:left="1417" w:header="708" w:footer="708" w:gutter="0"/>
          <w:cols w:space="708"/>
          <w:docGrid w:linePitch="360"/>
        </w:sectPr>
      </w:pPr>
    </w:p>
    <w:p w14:paraId="4883B8E4" w14:textId="7C1F2374" w:rsidR="009C57C3" w:rsidRPr="009C57C3" w:rsidRDefault="009C57C3" w:rsidP="009C57C3">
      <w:pPr>
        <w:pStyle w:val="Caption"/>
        <w:keepNext/>
        <w:jc w:val="both"/>
        <w:rPr>
          <w:rFonts w:ascii="Arial" w:hAnsi="Arial" w:cs="Arial"/>
          <w:sz w:val="24"/>
          <w:szCs w:val="24"/>
        </w:rPr>
      </w:pPr>
      <w:bookmarkStart w:id="16" w:name="_Toc99467004"/>
      <w:r w:rsidRPr="009C57C3">
        <w:rPr>
          <w:rFonts w:ascii="Arial" w:hAnsi="Arial" w:cs="Arial"/>
          <w:sz w:val="24"/>
          <w:szCs w:val="24"/>
        </w:rPr>
        <w:lastRenderedPageBreak/>
        <w:t xml:space="preserve">Tableau </w:t>
      </w:r>
      <w:r w:rsidRPr="009C57C3">
        <w:rPr>
          <w:rFonts w:ascii="Arial" w:hAnsi="Arial" w:cs="Arial"/>
          <w:sz w:val="24"/>
          <w:szCs w:val="24"/>
        </w:rPr>
        <w:fldChar w:fldCharType="begin"/>
      </w:r>
      <w:r w:rsidRPr="009C57C3">
        <w:rPr>
          <w:rFonts w:ascii="Arial" w:hAnsi="Arial" w:cs="Arial"/>
          <w:sz w:val="24"/>
          <w:szCs w:val="24"/>
        </w:rPr>
        <w:instrText xml:space="preserve"> SEQ Tableau \* ARABIC </w:instrText>
      </w:r>
      <w:r w:rsidRPr="009C57C3">
        <w:rPr>
          <w:rFonts w:ascii="Arial" w:hAnsi="Arial" w:cs="Arial"/>
          <w:sz w:val="24"/>
          <w:szCs w:val="24"/>
        </w:rPr>
        <w:fldChar w:fldCharType="separate"/>
      </w:r>
      <w:r w:rsidR="00A45512">
        <w:rPr>
          <w:rFonts w:ascii="Arial" w:hAnsi="Arial" w:cs="Arial"/>
          <w:noProof/>
          <w:sz w:val="24"/>
          <w:szCs w:val="24"/>
        </w:rPr>
        <w:t>1</w:t>
      </w:r>
      <w:r w:rsidRPr="009C57C3">
        <w:rPr>
          <w:rFonts w:ascii="Arial" w:hAnsi="Arial" w:cs="Arial"/>
          <w:sz w:val="24"/>
          <w:szCs w:val="24"/>
        </w:rPr>
        <w:fldChar w:fldCharType="end"/>
      </w:r>
      <w:r w:rsidRPr="009C57C3">
        <w:rPr>
          <w:rFonts w:ascii="Arial" w:hAnsi="Arial" w:cs="Arial"/>
          <w:sz w:val="24"/>
          <w:szCs w:val="24"/>
        </w:rPr>
        <w:t xml:space="preserve"> : </w:t>
      </w:r>
      <w:r w:rsidR="00303006">
        <w:rPr>
          <w:rFonts w:ascii="Arial" w:hAnsi="Arial" w:cs="Arial"/>
          <w:sz w:val="24"/>
          <w:szCs w:val="24"/>
        </w:rPr>
        <w:t>A</w:t>
      </w:r>
      <w:r w:rsidRPr="009C57C3">
        <w:rPr>
          <w:rFonts w:ascii="Arial" w:hAnsi="Arial" w:cs="Arial"/>
          <w:sz w:val="24"/>
          <w:szCs w:val="24"/>
        </w:rPr>
        <w:t>pplications de collecte de données par niveau de la pyramide sanitaire</w:t>
      </w:r>
      <w:bookmarkEnd w:id="16"/>
    </w:p>
    <w:tbl>
      <w:tblPr>
        <w:tblStyle w:val="TableGrid"/>
        <w:tblW w:w="9288" w:type="dxa"/>
        <w:tblInd w:w="708" w:type="dxa"/>
        <w:tblLook w:val="04A0" w:firstRow="1" w:lastRow="0" w:firstColumn="1" w:lastColumn="0" w:noHBand="0" w:noVBand="1"/>
      </w:tblPr>
      <w:tblGrid>
        <w:gridCol w:w="2060"/>
        <w:gridCol w:w="2785"/>
        <w:gridCol w:w="1146"/>
        <w:gridCol w:w="3297"/>
      </w:tblGrid>
      <w:tr w:rsidR="00C03D37" w:rsidRPr="00C03D37" w14:paraId="4C369776" w14:textId="77777777" w:rsidTr="00807493">
        <w:tc>
          <w:tcPr>
            <w:tcW w:w="0" w:type="auto"/>
          </w:tcPr>
          <w:p w14:paraId="7620C1D6" w14:textId="123E3B6A" w:rsidR="00C03D37" w:rsidRPr="00C03D37" w:rsidRDefault="00C03D37" w:rsidP="00C03D37">
            <w:pPr>
              <w:spacing w:line="360" w:lineRule="auto"/>
              <w:jc w:val="center"/>
              <w:rPr>
                <w:rFonts w:ascii="Arial" w:hAnsi="Arial" w:cs="Arial"/>
                <w:b/>
                <w:bCs/>
                <w:i/>
                <w:iCs/>
                <w:sz w:val="24"/>
                <w:szCs w:val="24"/>
              </w:rPr>
            </w:pPr>
            <w:r w:rsidRPr="00C03D37">
              <w:rPr>
                <w:rFonts w:ascii="Arial" w:hAnsi="Arial" w:cs="Arial"/>
                <w:b/>
                <w:bCs/>
                <w:i/>
                <w:iCs/>
                <w:sz w:val="24"/>
                <w:szCs w:val="24"/>
              </w:rPr>
              <w:t>Niveaux de la pyramide sanitaire</w:t>
            </w:r>
          </w:p>
        </w:tc>
        <w:tc>
          <w:tcPr>
            <w:tcW w:w="0" w:type="auto"/>
          </w:tcPr>
          <w:p w14:paraId="61B91A30" w14:textId="4ABAB14E" w:rsidR="00C03D37" w:rsidRPr="00C03D37" w:rsidRDefault="00C03D37" w:rsidP="00C03D37">
            <w:pPr>
              <w:spacing w:line="360" w:lineRule="auto"/>
              <w:jc w:val="center"/>
              <w:rPr>
                <w:rFonts w:ascii="Arial" w:hAnsi="Arial" w:cs="Arial"/>
                <w:b/>
                <w:bCs/>
                <w:i/>
                <w:iCs/>
                <w:sz w:val="24"/>
                <w:szCs w:val="24"/>
              </w:rPr>
            </w:pPr>
            <w:r w:rsidRPr="00C03D37">
              <w:rPr>
                <w:rFonts w:ascii="Arial" w:hAnsi="Arial" w:cs="Arial"/>
                <w:b/>
                <w:bCs/>
                <w:i/>
                <w:iCs/>
                <w:sz w:val="24"/>
                <w:szCs w:val="24"/>
              </w:rPr>
              <w:t>Base de données relationnelle</w:t>
            </w:r>
          </w:p>
        </w:tc>
        <w:tc>
          <w:tcPr>
            <w:tcW w:w="0" w:type="auto"/>
          </w:tcPr>
          <w:p w14:paraId="152E8F90" w14:textId="653B3C07" w:rsidR="00C03D37" w:rsidRPr="00C03D37" w:rsidRDefault="00C03D37" w:rsidP="00C03D37">
            <w:pPr>
              <w:spacing w:line="360" w:lineRule="auto"/>
              <w:jc w:val="center"/>
              <w:rPr>
                <w:rFonts w:ascii="Arial" w:hAnsi="Arial" w:cs="Arial"/>
                <w:b/>
                <w:bCs/>
                <w:i/>
                <w:iCs/>
                <w:sz w:val="24"/>
                <w:szCs w:val="24"/>
              </w:rPr>
            </w:pPr>
            <w:r w:rsidRPr="00C03D37">
              <w:rPr>
                <w:rFonts w:ascii="Arial" w:hAnsi="Arial" w:cs="Arial"/>
                <w:b/>
                <w:bCs/>
                <w:i/>
                <w:iCs/>
                <w:sz w:val="24"/>
                <w:szCs w:val="24"/>
              </w:rPr>
              <w:t>Fichier plat</w:t>
            </w:r>
          </w:p>
        </w:tc>
        <w:tc>
          <w:tcPr>
            <w:tcW w:w="0" w:type="auto"/>
          </w:tcPr>
          <w:p w14:paraId="36463EE9" w14:textId="56CB3EB4" w:rsidR="00C03D37" w:rsidRPr="00C03D37" w:rsidRDefault="00C03D37" w:rsidP="00C03D37">
            <w:pPr>
              <w:spacing w:line="360" w:lineRule="auto"/>
              <w:jc w:val="center"/>
              <w:rPr>
                <w:rFonts w:ascii="Arial" w:hAnsi="Arial" w:cs="Arial"/>
                <w:b/>
                <w:bCs/>
                <w:i/>
                <w:iCs/>
                <w:sz w:val="24"/>
                <w:szCs w:val="24"/>
              </w:rPr>
            </w:pPr>
            <w:r w:rsidRPr="00C03D37">
              <w:rPr>
                <w:rFonts w:ascii="Arial" w:hAnsi="Arial" w:cs="Arial"/>
                <w:b/>
                <w:bCs/>
                <w:i/>
                <w:iCs/>
                <w:sz w:val="24"/>
                <w:szCs w:val="24"/>
              </w:rPr>
              <w:t>Commentaires</w:t>
            </w:r>
          </w:p>
        </w:tc>
      </w:tr>
      <w:tr w:rsidR="00C03D37" w:rsidRPr="00C03D37" w14:paraId="73FF8C6A" w14:textId="77777777" w:rsidTr="00807493">
        <w:tc>
          <w:tcPr>
            <w:tcW w:w="0" w:type="auto"/>
          </w:tcPr>
          <w:p w14:paraId="655D6CB2" w14:textId="7CC7A196"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 xml:space="preserve">Premier niveau </w:t>
            </w:r>
          </w:p>
        </w:tc>
        <w:tc>
          <w:tcPr>
            <w:tcW w:w="0" w:type="auto"/>
          </w:tcPr>
          <w:p w14:paraId="4C1FD8E8" w14:textId="54F311A4" w:rsidR="00C03D37" w:rsidRPr="00C03D37" w:rsidRDefault="00C03D37" w:rsidP="00CD041D">
            <w:pPr>
              <w:spacing w:line="360" w:lineRule="auto"/>
              <w:jc w:val="both"/>
              <w:rPr>
                <w:rFonts w:ascii="Arial" w:hAnsi="Arial" w:cs="Arial"/>
                <w:sz w:val="24"/>
                <w:szCs w:val="24"/>
                <w:lang w:val="en-US"/>
              </w:rPr>
            </w:pPr>
            <w:r w:rsidRPr="00C03D37">
              <w:rPr>
                <w:rFonts w:ascii="Arial" w:hAnsi="Arial" w:cs="Arial"/>
                <w:sz w:val="24"/>
                <w:szCs w:val="24"/>
                <w:lang w:val="en-US"/>
              </w:rPr>
              <w:t xml:space="preserve">DHIS2, </w:t>
            </w:r>
            <w:proofErr w:type="spellStart"/>
            <w:r w:rsidRPr="00C03D37">
              <w:rPr>
                <w:rFonts w:ascii="Arial" w:hAnsi="Arial" w:cs="Arial"/>
                <w:sz w:val="24"/>
                <w:szCs w:val="24"/>
                <w:lang w:val="en-US"/>
              </w:rPr>
              <w:t>iHRIRI</w:t>
            </w:r>
            <w:proofErr w:type="spellEnd"/>
            <w:r w:rsidRPr="00C03D37">
              <w:rPr>
                <w:rFonts w:ascii="Arial" w:hAnsi="Arial" w:cs="Arial"/>
                <w:sz w:val="24"/>
                <w:szCs w:val="24"/>
                <w:lang w:val="en-US"/>
              </w:rPr>
              <w:t>, e-SIGL, Log-Vac, SISAC, Epi-Pass</w:t>
            </w:r>
          </w:p>
        </w:tc>
        <w:tc>
          <w:tcPr>
            <w:tcW w:w="0" w:type="auto"/>
          </w:tcPr>
          <w:p w14:paraId="7CD119DD" w14:textId="37373CBB"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Excel</w:t>
            </w:r>
          </w:p>
        </w:tc>
        <w:tc>
          <w:tcPr>
            <w:tcW w:w="0" w:type="auto"/>
            <w:vMerge w:val="restart"/>
          </w:tcPr>
          <w:p w14:paraId="7CDA2E77" w14:textId="52BCF8C5"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Trois (03) instances DHSI2 sont utilisée</w:t>
            </w:r>
            <w:r w:rsidR="00686AF0">
              <w:rPr>
                <w:rFonts w:ascii="Arial" w:hAnsi="Arial" w:cs="Arial"/>
                <w:sz w:val="24"/>
                <w:szCs w:val="24"/>
              </w:rPr>
              <w:t>s</w:t>
            </w:r>
            <w:r w:rsidRPr="00C03D37">
              <w:rPr>
                <w:rFonts w:ascii="Arial" w:hAnsi="Arial" w:cs="Arial"/>
                <w:sz w:val="24"/>
                <w:szCs w:val="24"/>
              </w:rPr>
              <w:t xml:space="preserve"> de manière verticale</w:t>
            </w:r>
          </w:p>
        </w:tc>
      </w:tr>
      <w:tr w:rsidR="00C03D37" w:rsidRPr="00C03D37" w14:paraId="1CC19C21" w14:textId="77777777" w:rsidTr="00807493">
        <w:tc>
          <w:tcPr>
            <w:tcW w:w="0" w:type="auto"/>
          </w:tcPr>
          <w:p w14:paraId="2DBAC754" w14:textId="233C1860"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Deuxième niveau</w:t>
            </w:r>
          </w:p>
        </w:tc>
        <w:tc>
          <w:tcPr>
            <w:tcW w:w="0" w:type="auto"/>
          </w:tcPr>
          <w:p w14:paraId="717DAF10" w14:textId="2895BD6A"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 xml:space="preserve">DHIS2, </w:t>
            </w:r>
            <w:proofErr w:type="spellStart"/>
            <w:r w:rsidRPr="00C03D37">
              <w:rPr>
                <w:rFonts w:ascii="Arial" w:hAnsi="Arial" w:cs="Arial"/>
                <w:sz w:val="24"/>
                <w:szCs w:val="24"/>
              </w:rPr>
              <w:t>iHRIRI</w:t>
            </w:r>
            <w:proofErr w:type="spellEnd"/>
            <w:r w:rsidRPr="00C03D37">
              <w:rPr>
                <w:rFonts w:ascii="Arial" w:hAnsi="Arial" w:cs="Arial"/>
                <w:sz w:val="24"/>
                <w:szCs w:val="24"/>
              </w:rPr>
              <w:t>, e-SIGL, Log-</w:t>
            </w:r>
            <w:proofErr w:type="spellStart"/>
            <w:r w:rsidRPr="00C03D37">
              <w:rPr>
                <w:rFonts w:ascii="Arial" w:hAnsi="Arial" w:cs="Arial"/>
                <w:sz w:val="24"/>
                <w:szCs w:val="24"/>
              </w:rPr>
              <w:t>Vac</w:t>
            </w:r>
            <w:proofErr w:type="spellEnd"/>
            <w:r w:rsidRPr="00C03D37">
              <w:rPr>
                <w:rFonts w:ascii="Arial" w:hAnsi="Arial" w:cs="Arial"/>
                <w:sz w:val="24"/>
                <w:szCs w:val="24"/>
              </w:rPr>
              <w:t>, SISAC</w:t>
            </w:r>
          </w:p>
        </w:tc>
        <w:tc>
          <w:tcPr>
            <w:tcW w:w="0" w:type="auto"/>
          </w:tcPr>
          <w:p w14:paraId="7DB1F8F0" w14:textId="5CE4539A"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Excel</w:t>
            </w:r>
          </w:p>
        </w:tc>
        <w:tc>
          <w:tcPr>
            <w:tcW w:w="0" w:type="auto"/>
            <w:vMerge/>
          </w:tcPr>
          <w:p w14:paraId="2FA80068" w14:textId="77777777" w:rsidR="00C03D37" w:rsidRPr="00C03D37" w:rsidRDefault="00C03D37" w:rsidP="00CD041D">
            <w:pPr>
              <w:spacing w:line="360" w:lineRule="auto"/>
              <w:jc w:val="both"/>
              <w:rPr>
                <w:rFonts w:ascii="Arial" w:hAnsi="Arial" w:cs="Arial"/>
                <w:sz w:val="24"/>
                <w:szCs w:val="24"/>
              </w:rPr>
            </w:pPr>
          </w:p>
        </w:tc>
      </w:tr>
      <w:tr w:rsidR="00C03D37" w14:paraId="5A3F6190" w14:textId="77777777" w:rsidTr="00807493">
        <w:tc>
          <w:tcPr>
            <w:tcW w:w="0" w:type="auto"/>
          </w:tcPr>
          <w:p w14:paraId="4A8F69E4" w14:textId="44078A2D"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Troisième niveau</w:t>
            </w:r>
          </w:p>
        </w:tc>
        <w:tc>
          <w:tcPr>
            <w:tcW w:w="0" w:type="auto"/>
          </w:tcPr>
          <w:p w14:paraId="7ADE29BD" w14:textId="139052C5"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 xml:space="preserve">DHIS2, </w:t>
            </w:r>
            <w:proofErr w:type="spellStart"/>
            <w:r w:rsidRPr="00C03D37">
              <w:rPr>
                <w:rFonts w:ascii="Arial" w:hAnsi="Arial" w:cs="Arial"/>
                <w:sz w:val="24"/>
                <w:szCs w:val="24"/>
              </w:rPr>
              <w:t>iHRIRI</w:t>
            </w:r>
            <w:proofErr w:type="spellEnd"/>
            <w:r w:rsidRPr="00C03D37">
              <w:rPr>
                <w:rFonts w:ascii="Arial" w:hAnsi="Arial" w:cs="Arial"/>
                <w:sz w:val="24"/>
                <w:szCs w:val="24"/>
              </w:rPr>
              <w:t>, e-SIGL, Log-</w:t>
            </w:r>
            <w:proofErr w:type="spellStart"/>
            <w:r w:rsidRPr="00C03D37">
              <w:rPr>
                <w:rFonts w:ascii="Arial" w:hAnsi="Arial" w:cs="Arial"/>
                <w:sz w:val="24"/>
                <w:szCs w:val="24"/>
              </w:rPr>
              <w:t>Vac</w:t>
            </w:r>
            <w:proofErr w:type="spellEnd"/>
            <w:r w:rsidRPr="00C03D37">
              <w:rPr>
                <w:rFonts w:ascii="Arial" w:hAnsi="Arial" w:cs="Arial"/>
                <w:sz w:val="24"/>
                <w:szCs w:val="24"/>
              </w:rPr>
              <w:t>, SISAC</w:t>
            </w:r>
          </w:p>
        </w:tc>
        <w:tc>
          <w:tcPr>
            <w:tcW w:w="0" w:type="auto"/>
          </w:tcPr>
          <w:p w14:paraId="37F436AA" w14:textId="526BCC8E" w:rsidR="00C03D37" w:rsidRPr="00C03D37" w:rsidRDefault="00C03D37" w:rsidP="00CD041D">
            <w:pPr>
              <w:spacing w:line="360" w:lineRule="auto"/>
              <w:jc w:val="both"/>
              <w:rPr>
                <w:rFonts w:ascii="Arial" w:hAnsi="Arial" w:cs="Arial"/>
                <w:sz w:val="24"/>
                <w:szCs w:val="24"/>
              </w:rPr>
            </w:pPr>
            <w:r w:rsidRPr="00C03D37">
              <w:rPr>
                <w:rFonts w:ascii="Arial" w:hAnsi="Arial" w:cs="Arial"/>
                <w:sz w:val="24"/>
                <w:szCs w:val="24"/>
              </w:rPr>
              <w:t>Excel</w:t>
            </w:r>
          </w:p>
        </w:tc>
        <w:tc>
          <w:tcPr>
            <w:tcW w:w="0" w:type="auto"/>
            <w:vMerge/>
          </w:tcPr>
          <w:p w14:paraId="2EE1ED1A" w14:textId="77777777" w:rsidR="00C03D37" w:rsidRPr="00C03D37" w:rsidRDefault="00C03D37" w:rsidP="00CD041D">
            <w:pPr>
              <w:spacing w:line="360" w:lineRule="auto"/>
              <w:jc w:val="both"/>
              <w:rPr>
                <w:rFonts w:ascii="Arial" w:hAnsi="Arial" w:cs="Arial"/>
                <w:sz w:val="24"/>
                <w:szCs w:val="24"/>
              </w:rPr>
            </w:pPr>
          </w:p>
        </w:tc>
      </w:tr>
    </w:tbl>
    <w:p w14:paraId="747FCA58" w14:textId="5C1C7FBC" w:rsidR="00CD041D" w:rsidRDefault="00CD041D" w:rsidP="00CD041D">
      <w:pPr>
        <w:spacing w:line="360" w:lineRule="auto"/>
        <w:jc w:val="both"/>
        <w:rPr>
          <w:rFonts w:ascii="Arial" w:hAnsi="Arial" w:cs="Arial"/>
          <w:sz w:val="24"/>
          <w:szCs w:val="24"/>
          <w:highlight w:val="yellow"/>
        </w:rPr>
      </w:pPr>
    </w:p>
    <w:p w14:paraId="4C5D45E8" w14:textId="5E0BCD30" w:rsidR="00905576" w:rsidRPr="000C68B4" w:rsidRDefault="00905576" w:rsidP="000C68B4">
      <w:pPr>
        <w:pStyle w:val="Heading2"/>
        <w:rPr>
          <w:rFonts w:ascii="Arial" w:hAnsi="Arial" w:cs="Arial"/>
          <w:i/>
          <w:iCs/>
          <w:color w:val="000000" w:themeColor="text1"/>
          <w:sz w:val="24"/>
          <w:szCs w:val="24"/>
        </w:rPr>
      </w:pPr>
      <w:r w:rsidRPr="000C68B4">
        <w:rPr>
          <w:rFonts w:ascii="Arial" w:hAnsi="Arial" w:cs="Arial"/>
          <w:i/>
          <w:iCs/>
          <w:color w:val="000000" w:themeColor="text1"/>
          <w:sz w:val="24"/>
          <w:szCs w:val="24"/>
        </w:rPr>
        <w:t xml:space="preserve">      </w:t>
      </w:r>
      <w:r w:rsidRPr="00807493">
        <w:rPr>
          <w:rFonts w:ascii="Arial" w:hAnsi="Arial" w:cs="Arial"/>
          <w:b/>
          <w:i/>
          <w:iCs/>
          <w:color w:val="000000" w:themeColor="text1"/>
          <w:sz w:val="24"/>
          <w:szCs w:val="24"/>
        </w:rPr>
        <w:t xml:space="preserve"> </w:t>
      </w:r>
      <w:bookmarkStart w:id="17" w:name="_Toc95082856"/>
      <w:r w:rsidR="0021723B">
        <w:rPr>
          <w:rFonts w:ascii="Arial" w:hAnsi="Arial" w:cs="Arial"/>
          <w:b/>
          <w:i/>
          <w:iCs/>
          <w:color w:val="000000" w:themeColor="text1"/>
          <w:sz w:val="24"/>
          <w:szCs w:val="24"/>
        </w:rPr>
        <w:t>1</w:t>
      </w:r>
      <w:r w:rsidRPr="00807493">
        <w:rPr>
          <w:rFonts w:ascii="Arial" w:hAnsi="Arial" w:cs="Arial"/>
          <w:b/>
          <w:i/>
          <w:iCs/>
          <w:color w:val="000000" w:themeColor="text1"/>
          <w:sz w:val="24"/>
          <w:szCs w:val="24"/>
        </w:rPr>
        <w:t>.3 Analyse de l’</w:t>
      </w:r>
      <w:r w:rsidR="00686AF0" w:rsidRPr="00807493">
        <w:rPr>
          <w:rFonts w:ascii="Arial" w:hAnsi="Arial" w:cs="Arial"/>
          <w:b/>
          <w:i/>
          <w:iCs/>
          <w:color w:val="000000" w:themeColor="text1"/>
          <w:sz w:val="24"/>
          <w:szCs w:val="24"/>
        </w:rPr>
        <w:t>é</w:t>
      </w:r>
      <w:r w:rsidRPr="00807493">
        <w:rPr>
          <w:rFonts w:ascii="Arial" w:hAnsi="Arial" w:cs="Arial"/>
          <w:b/>
          <w:i/>
          <w:iCs/>
          <w:color w:val="000000" w:themeColor="text1"/>
          <w:sz w:val="24"/>
          <w:szCs w:val="24"/>
        </w:rPr>
        <w:t>tat des lieux du SNIS selon la matrice SWOT</w:t>
      </w:r>
      <w:r w:rsidRPr="000C68B4">
        <w:rPr>
          <w:rFonts w:ascii="Arial" w:hAnsi="Arial" w:cs="Arial"/>
          <w:i/>
          <w:iCs/>
          <w:color w:val="000000" w:themeColor="text1"/>
          <w:sz w:val="24"/>
          <w:szCs w:val="24"/>
        </w:rPr>
        <w:t xml:space="preserve"> (Strengths - Weaknesses - Opportunities – Threats)</w:t>
      </w:r>
      <w:bookmarkEnd w:id="17"/>
    </w:p>
    <w:p w14:paraId="5DB0A884" w14:textId="56372EB6" w:rsidR="0019376D" w:rsidRDefault="00D20842" w:rsidP="00D20842">
      <w:pPr>
        <w:spacing w:line="360" w:lineRule="auto"/>
        <w:jc w:val="both"/>
        <w:rPr>
          <w:rFonts w:ascii="Arial" w:hAnsi="Arial" w:cs="Arial"/>
          <w:sz w:val="24"/>
          <w:szCs w:val="24"/>
        </w:rPr>
      </w:pPr>
      <w:r>
        <w:rPr>
          <w:rFonts w:ascii="Arial" w:hAnsi="Arial" w:cs="Arial"/>
          <w:sz w:val="24"/>
          <w:szCs w:val="24"/>
        </w:rPr>
        <w:t>L</w:t>
      </w:r>
      <w:r w:rsidR="00905576">
        <w:rPr>
          <w:rFonts w:ascii="Arial" w:hAnsi="Arial" w:cs="Arial"/>
          <w:sz w:val="24"/>
          <w:szCs w:val="24"/>
        </w:rPr>
        <w:t>’</w:t>
      </w:r>
      <w:r>
        <w:rPr>
          <w:rFonts w:ascii="Arial" w:hAnsi="Arial" w:cs="Arial"/>
          <w:sz w:val="24"/>
          <w:szCs w:val="24"/>
        </w:rPr>
        <w:t>analyse de l’état des lieux du SNIS a</w:t>
      </w:r>
      <w:r w:rsidR="00905576">
        <w:rPr>
          <w:rFonts w:ascii="Arial" w:hAnsi="Arial" w:cs="Arial"/>
          <w:sz w:val="24"/>
          <w:szCs w:val="24"/>
        </w:rPr>
        <w:t xml:space="preserve"> </w:t>
      </w:r>
      <w:r w:rsidR="0019376D">
        <w:rPr>
          <w:rFonts w:ascii="Arial" w:hAnsi="Arial" w:cs="Arial"/>
          <w:sz w:val="24"/>
          <w:szCs w:val="24"/>
        </w:rPr>
        <w:t xml:space="preserve">été </w:t>
      </w:r>
      <w:r w:rsidR="0019376D" w:rsidRPr="00905576">
        <w:rPr>
          <w:rFonts w:ascii="Arial" w:hAnsi="Arial" w:cs="Arial"/>
          <w:sz w:val="24"/>
          <w:szCs w:val="24"/>
        </w:rPr>
        <w:t>synthétisé</w:t>
      </w:r>
      <w:r w:rsidR="00303006">
        <w:rPr>
          <w:rFonts w:ascii="Arial" w:hAnsi="Arial" w:cs="Arial"/>
          <w:sz w:val="24"/>
          <w:szCs w:val="24"/>
        </w:rPr>
        <w:t>e</w:t>
      </w:r>
      <w:r w:rsidR="00905576" w:rsidRPr="00905576">
        <w:rPr>
          <w:rFonts w:ascii="Arial" w:hAnsi="Arial" w:cs="Arial"/>
          <w:sz w:val="24"/>
          <w:szCs w:val="24"/>
        </w:rPr>
        <w:t xml:space="preserve"> en un seul visuel concurrentiel </w:t>
      </w:r>
      <w:r w:rsidR="0019376D">
        <w:rPr>
          <w:rFonts w:ascii="Arial" w:hAnsi="Arial" w:cs="Arial"/>
          <w:sz w:val="24"/>
          <w:szCs w:val="24"/>
        </w:rPr>
        <w:t>à travers</w:t>
      </w:r>
      <w:r w:rsidR="00905576">
        <w:rPr>
          <w:rFonts w:ascii="Arial" w:hAnsi="Arial" w:cs="Arial"/>
          <w:sz w:val="24"/>
          <w:szCs w:val="24"/>
        </w:rPr>
        <w:t xml:space="preserve"> un diagnostic interne</w:t>
      </w:r>
      <w:r w:rsidR="0019376D">
        <w:rPr>
          <w:rFonts w:ascii="Arial" w:hAnsi="Arial" w:cs="Arial"/>
          <w:sz w:val="24"/>
          <w:szCs w:val="24"/>
        </w:rPr>
        <w:t xml:space="preserve"> </w:t>
      </w:r>
      <w:r w:rsidR="0019376D" w:rsidRPr="0019376D">
        <w:rPr>
          <w:rFonts w:ascii="Arial" w:hAnsi="Arial" w:cs="Arial"/>
          <w:sz w:val="24"/>
          <w:szCs w:val="24"/>
        </w:rPr>
        <w:t>(technologie, positionnement, compétences…)</w:t>
      </w:r>
      <w:r w:rsidR="00905576">
        <w:rPr>
          <w:rFonts w:ascii="Arial" w:hAnsi="Arial" w:cs="Arial"/>
          <w:sz w:val="24"/>
          <w:szCs w:val="24"/>
        </w:rPr>
        <w:t xml:space="preserve"> et externe</w:t>
      </w:r>
      <w:r w:rsidR="0019376D">
        <w:rPr>
          <w:rFonts w:ascii="Arial" w:hAnsi="Arial" w:cs="Arial"/>
          <w:sz w:val="24"/>
          <w:szCs w:val="24"/>
        </w:rPr>
        <w:t xml:space="preserve"> </w:t>
      </w:r>
      <w:r w:rsidR="0019376D" w:rsidRPr="0019376D">
        <w:rPr>
          <w:rFonts w:ascii="Arial" w:hAnsi="Arial" w:cs="Arial"/>
          <w:sz w:val="24"/>
          <w:szCs w:val="24"/>
        </w:rPr>
        <w:t>(évolution du marché, concurrence, législation…)</w:t>
      </w:r>
      <w:r w:rsidR="0019376D">
        <w:rPr>
          <w:rFonts w:ascii="Arial" w:hAnsi="Arial" w:cs="Arial"/>
          <w:sz w:val="24"/>
          <w:szCs w:val="24"/>
        </w:rPr>
        <w:t xml:space="preserve"> afin d’identifier les forces, faiblesses, opportunités et menaces </w:t>
      </w:r>
      <w:r w:rsidR="00905576">
        <w:rPr>
          <w:rFonts w:ascii="Arial" w:hAnsi="Arial" w:cs="Arial"/>
          <w:sz w:val="24"/>
          <w:szCs w:val="24"/>
        </w:rPr>
        <w:t xml:space="preserve">du système d’information </w:t>
      </w:r>
      <w:r w:rsidR="0044657B">
        <w:rPr>
          <w:rFonts w:ascii="Arial" w:hAnsi="Arial" w:cs="Arial"/>
          <w:sz w:val="24"/>
          <w:szCs w:val="24"/>
        </w:rPr>
        <w:t xml:space="preserve">sanitaire </w:t>
      </w:r>
      <w:r w:rsidR="00905576">
        <w:rPr>
          <w:rFonts w:ascii="Arial" w:hAnsi="Arial" w:cs="Arial"/>
          <w:sz w:val="24"/>
          <w:szCs w:val="24"/>
        </w:rPr>
        <w:t>de la Guinée</w:t>
      </w:r>
      <w:r w:rsidR="0019376D">
        <w:rPr>
          <w:rFonts w:ascii="Arial" w:hAnsi="Arial" w:cs="Arial"/>
          <w:sz w:val="24"/>
          <w:szCs w:val="24"/>
        </w:rPr>
        <w:t xml:space="preserve"> (voir tableau </w:t>
      </w:r>
      <w:r w:rsidR="00A45512">
        <w:rPr>
          <w:rFonts w:ascii="Arial" w:hAnsi="Arial" w:cs="Arial"/>
          <w:sz w:val="24"/>
          <w:szCs w:val="24"/>
        </w:rPr>
        <w:t>2</w:t>
      </w:r>
      <w:r w:rsidR="0019376D">
        <w:rPr>
          <w:rFonts w:ascii="Arial" w:hAnsi="Arial" w:cs="Arial"/>
          <w:sz w:val="24"/>
          <w:szCs w:val="24"/>
        </w:rPr>
        <w:t>)</w:t>
      </w:r>
      <w:r w:rsidR="00905576">
        <w:rPr>
          <w:rFonts w:ascii="Arial" w:hAnsi="Arial" w:cs="Arial"/>
          <w:sz w:val="24"/>
          <w:szCs w:val="24"/>
        </w:rPr>
        <w:t>.</w:t>
      </w:r>
      <w:r w:rsidR="0019376D">
        <w:rPr>
          <w:rFonts w:ascii="Arial" w:hAnsi="Arial" w:cs="Arial"/>
          <w:sz w:val="24"/>
          <w:szCs w:val="24"/>
        </w:rPr>
        <w:t xml:space="preserve"> </w:t>
      </w:r>
    </w:p>
    <w:p w14:paraId="29A81542" w14:textId="71657E71" w:rsidR="00303006" w:rsidRDefault="00303006" w:rsidP="00D20842">
      <w:pPr>
        <w:spacing w:line="360" w:lineRule="auto"/>
        <w:jc w:val="both"/>
        <w:rPr>
          <w:rFonts w:ascii="Arial" w:hAnsi="Arial" w:cs="Arial"/>
          <w:sz w:val="24"/>
          <w:szCs w:val="24"/>
        </w:rPr>
        <w:sectPr w:rsidR="00303006">
          <w:pgSz w:w="11906" w:h="16838"/>
          <w:pgMar w:top="1417" w:right="1417" w:bottom="1417" w:left="1417" w:header="708" w:footer="708" w:gutter="0"/>
          <w:cols w:space="708"/>
          <w:docGrid w:linePitch="360"/>
        </w:sectPr>
      </w:pPr>
    </w:p>
    <w:p w14:paraId="06C99B32" w14:textId="1237EDF2" w:rsidR="00D20842" w:rsidRDefault="0019376D" w:rsidP="0019376D">
      <w:pPr>
        <w:pStyle w:val="Caption"/>
        <w:keepNext/>
        <w:jc w:val="both"/>
        <w:rPr>
          <w:rFonts w:ascii="Arial" w:hAnsi="Arial" w:cs="Arial"/>
          <w:sz w:val="24"/>
          <w:szCs w:val="24"/>
        </w:rPr>
      </w:pPr>
      <w:bookmarkStart w:id="18" w:name="_Toc99467005"/>
      <w:r w:rsidRPr="0019376D">
        <w:rPr>
          <w:rFonts w:ascii="Arial" w:hAnsi="Arial" w:cs="Arial"/>
          <w:sz w:val="24"/>
          <w:szCs w:val="24"/>
        </w:rPr>
        <w:lastRenderedPageBreak/>
        <w:t xml:space="preserve">Tableau </w:t>
      </w:r>
      <w:r w:rsidRPr="0019376D">
        <w:rPr>
          <w:rFonts w:ascii="Arial" w:hAnsi="Arial" w:cs="Arial"/>
          <w:sz w:val="24"/>
          <w:szCs w:val="24"/>
        </w:rPr>
        <w:fldChar w:fldCharType="begin"/>
      </w:r>
      <w:r w:rsidRPr="0019376D">
        <w:rPr>
          <w:rFonts w:ascii="Arial" w:hAnsi="Arial" w:cs="Arial"/>
          <w:sz w:val="24"/>
          <w:szCs w:val="24"/>
        </w:rPr>
        <w:instrText xml:space="preserve"> SEQ Tableau \* ARABIC </w:instrText>
      </w:r>
      <w:r w:rsidRPr="0019376D">
        <w:rPr>
          <w:rFonts w:ascii="Arial" w:hAnsi="Arial" w:cs="Arial"/>
          <w:sz w:val="24"/>
          <w:szCs w:val="24"/>
        </w:rPr>
        <w:fldChar w:fldCharType="separate"/>
      </w:r>
      <w:r w:rsidR="00A45512">
        <w:rPr>
          <w:rFonts w:ascii="Arial" w:hAnsi="Arial" w:cs="Arial"/>
          <w:noProof/>
          <w:sz w:val="24"/>
          <w:szCs w:val="24"/>
        </w:rPr>
        <w:t>2</w:t>
      </w:r>
      <w:r w:rsidRPr="0019376D">
        <w:rPr>
          <w:rFonts w:ascii="Arial" w:hAnsi="Arial" w:cs="Arial"/>
          <w:sz w:val="24"/>
          <w:szCs w:val="24"/>
        </w:rPr>
        <w:fldChar w:fldCharType="end"/>
      </w:r>
      <w:r w:rsidRPr="0019376D">
        <w:rPr>
          <w:rFonts w:ascii="Arial" w:hAnsi="Arial" w:cs="Arial"/>
          <w:sz w:val="24"/>
          <w:szCs w:val="24"/>
        </w:rPr>
        <w:t> : R</w:t>
      </w:r>
      <w:r w:rsidR="00D20842">
        <w:rPr>
          <w:rFonts w:ascii="Arial" w:hAnsi="Arial" w:cs="Arial"/>
          <w:sz w:val="24"/>
          <w:szCs w:val="24"/>
        </w:rPr>
        <w:t>ésum</w:t>
      </w:r>
      <w:r>
        <w:rPr>
          <w:rFonts w:ascii="Arial" w:hAnsi="Arial" w:cs="Arial"/>
          <w:sz w:val="24"/>
          <w:szCs w:val="24"/>
        </w:rPr>
        <w:t>é des forces et faiblesses du SNIS</w:t>
      </w:r>
      <w:r w:rsidR="00D20842">
        <w:rPr>
          <w:rFonts w:ascii="Arial" w:hAnsi="Arial" w:cs="Arial"/>
          <w:sz w:val="24"/>
          <w:szCs w:val="24"/>
        </w:rPr>
        <w:t>.</w:t>
      </w:r>
      <w:bookmarkEnd w:id="18"/>
    </w:p>
    <w:tbl>
      <w:tblPr>
        <w:tblStyle w:val="TableGrid"/>
        <w:tblW w:w="13994" w:type="dxa"/>
        <w:jc w:val="center"/>
        <w:tblLook w:val="04A0" w:firstRow="1" w:lastRow="0" w:firstColumn="1" w:lastColumn="0" w:noHBand="0" w:noVBand="1"/>
      </w:tblPr>
      <w:tblGrid>
        <w:gridCol w:w="6516"/>
        <w:gridCol w:w="7478"/>
      </w:tblGrid>
      <w:tr w:rsidR="0019376D" w:rsidRPr="0019376D" w14:paraId="0FC4AC93" w14:textId="77777777" w:rsidTr="0019376D">
        <w:trPr>
          <w:jc w:val="center"/>
        </w:trPr>
        <w:tc>
          <w:tcPr>
            <w:tcW w:w="6516" w:type="dxa"/>
            <w:shd w:val="clear" w:color="auto" w:fill="E2EFD9" w:themeFill="accent6" w:themeFillTint="33"/>
            <w:vAlign w:val="center"/>
          </w:tcPr>
          <w:p w14:paraId="6D4A5FE4" w14:textId="77777777" w:rsidR="0019376D" w:rsidRPr="0019376D" w:rsidRDefault="0019376D" w:rsidP="0019376D">
            <w:pPr>
              <w:spacing w:line="360" w:lineRule="auto"/>
              <w:jc w:val="center"/>
              <w:rPr>
                <w:rFonts w:ascii="Arial" w:hAnsi="Arial" w:cs="Arial"/>
                <w:b/>
                <w:bCs/>
                <w:sz w:val="28"/>
                <w:szCs w:val="28"/>
              </w:rPr>
            </w:pPr>
            <w:r w:rsidRPr="0019376D">
              <w:rPr>
                <w:rFonts w:ascii="Arial" w:hAnsi="Arial" w:cs="Arial"/>
                <w:b/>
                <w:bCs/>
                <w:sz w:val="28"/>
                <w:szCs w:val="28"/>
              </w:rPr>
              <w:t>Forces</w:t>
            </w:r>
          </w:p>
        </w:tc>
        <w:tc>
          <w:tcPr>
            <w:tcW w:w="7478" w:type="dxa"/>
            <w:shd w:val="clear" w:color="auto" w:fill="E2EFD9" w:themeFill="accent6" w:themeFillTint="33"/>
            <w:vAlign w:val="center"/>
          </w:tcPr>
          <w:p w14:paraId="594D911B" w14:textId="77777777" w:rsidR="0019376D" w:rsidRPr="0019376D" w:rsidRDefault="0019376D" w:rsidP="0019376D">
            <w:pPr>
              <w:spacing w:line="360" w:lineRule="auto"/>
              <w:jc w:val="center"/>
              <w:rPr>
                <w:rFonts w:ascii="Arial" w:hAnsi="Arial" w:cs="Arial"/>
                <w:b/>
                <w:bCs/>
                <w:sz w:val="28"/>
                <w:szCs w:val="28"/>
              </w:rPr>
            </w:pPr>
            <w:r w:rsidRPr="0019376D">
              <w:rPr>
                <w:rFonts w:ascii="Arial" w:hAnsi="Arial" w:cs="Arial"/>
                <w:b/>
                <w:bCs/>
                <w:sz w:val="28"/>
                <w:szCs w:val="28"/>
              </w:rPr>
              <w:t>Faiblesses</w:t>
            </w:r>
          </w:p>
        </w:tc>
      </w:tr>
      <w:tr w:rsidR="0019376D" w:rsidRPr="00745361" w14:paraId="3DD49513" w14:textId="77777777" w:rsidTr="0019376D">
        <w:trPr>
          <w:jc w:val="center"/>
        </w:trPr>
        <w:tc>
          <w:tcPr>
            <w:tcW w:w="6516" w:type="dxa"/>
          </w:tcPr>
          <w:p w14:paraId="071D4F3C" w14:textId="2E2663FD"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44657B">
              <w:rPr>
                <w:rFonts w:ascii="Arial" w:hAnsi="Arial" w:cs="Arial"/>
                <w:sz w:val="24"/>
                <w:szCs w:val="24"/>
              </w:rPr>
              <w:t>d</w:t>
            </w:r>
            <w:r w:rsidR="0044657B" w:rsidRPr="002053FE">
              <w:rPr>
                <w:rFonts w:ascii="Arial" w:hAnsi="Arial" w:cs="Arial"/>
                <w:sz w:val="24"/>
                <w:szCs w:val="24"/>
              </w:rPr>
              <w:t xml:space="preserve">isponibilité </w:t>
            </w:r>
            <w:r w:rsidRPr="002053FE">
              <w:rPr>
                <w:rFonts w:ascii="Arial" w:hAnsi="Arial" w:cs="Arial"/>
                <w:sz w:val="24"/>
                <w:szCs w:val="24"/>
              </w:rPr>
              <w:t>des outils de collecte (registre</w:t>
            </w:r>
            <w:r>
              <w:rPr>
                <w:rFonts w:ascii="Arial" w:hAnsi="Arial" w:cs="Arial"/>
                <w:sz w:val="24"/>
                <w:szCs w:val="24"/>
              </w:rPr>
              <w:t>s</w:t>
            </w:r>
            <w:r w:rsidRPr="002053FE">
              <w:rPr>
                <w:rFonts w:ascii="Arial" w:hAnsi="Arial" w:cs="Arial"/>
                <w:sz w:val="24"/>
                <w:szCs w:val="24"/>
              </w:rPr>
              <w:t>, fiche</w:t>
            </w:r>
            <w:r>
              <w:rPr>
                <w:rFonts w:ascii="Arial" w:hAnsi="Arial" w:cs="Arial"/>
                <w:sz w:val="24"/>
                <w:szCs w:val="24"/>
              </w:rPr>
              <w:t>s</w:t>
            </w:r>
            <w:r w:rsidRPr="002053FE">
              <w:rPr>
                <w:rFonts w:ascii="Arial" w:hAnsi="Arial" w:cs="Arial"/>
                <w:sz w:val="24"/>
                <w:szCs w:val="24"/>
              </w:rPr>
              <w:t>…)</w:t>
            </w:r>
          </w:p>
          <w:p w14:paraId="0A755D62" w14:textId="7F21A833"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303006">
              <w:rPr>
                <w:rFonts w:ascii="Arial" w:hAnsi="Arial" w:cs="Arial"/>
                <w:sz w:val="24"/>
                <w:szCs w:val="24"/>
              </w:rPr>
              <w:t>p</w:t>
            </w:r>
            <w:r w:rsidRPr="002053FE">
              <w:rPr>
                <w:rFonts w:ascii="Arial" w:hAnsi="Arial" w:cs="Arial"/>
                <w:sz w:val="24"/>
                <w:szCs w:val="24"/>
              </w:rPr>
              <w:t>rise en compte de l’ensemble des données sanitaires</w:t>
            </w:r>
            <w:r w:rsidR="00A16838">
              <w:rPr>
                <w:rFonts w:ascii="Arial" w:hAnsi="Arial" w:cs="Arial"/>
                <w:sz w:val="24"/>
                <w:szCs w:val="24"/>
              </w:rPr>
              <w:t xml:space="preserve"> dans la dématérialisation</w:t>
            </w:r>
            <w:r w:rsidRPr="002053FE">
              <w:rPr>
                <w:rFonts w:ascii="Arial" w:hAnsi="Arial" w:cs="Arial"/>
                <w:sz w:val="24"/>
                <w:szCs w:val="24"/>
              </w:rPr>
              <w:t xml:space="preserve"> </w:t>
            </w:r>
          </w:p>
          <w:p w14:paraId="538C2F00" w14:textId="65F6108C"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303006" w:rsidRPr="002053FE">
              <w:rPr>
                <w:rFonts w:ascii="Arial" w:hAnsi="Arial" w:cs="Arial"/>
                <w:sz w:val="24"/>
                <w:szCs w:val="24"/>
              </w:rPr>
              <w:t>existence d'un département central dédié au système d’information</w:t>
            </w:r>
          </w:p>
          <w:p w14:paraId="43F3E7E5" w14:textId="07E5AF02"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disponibilité d</w:t>
            </w:r>
            <w:r>
              <w:rPr>
                <w:rFonts w:ascii="Arial" w:hAnsi="Arial" w:cs="Arial"/>
                <w:sz w:val="24"/>
                <w:szCs w:val="24"/>
              </w:rPr>
              <w:t>’un</w:t>
            </w:r>
            <w:r w:rsidRPr="002053FE">
              <w:rPr>
                <w:rFonts w:ascii="Arial" w:hAnsi="Arial" w:cs="Arial"/>
                <w:sz w:val="24"/>
                <w:szCs w:val="24"/>
              </w:rPr>
              <w:t xml:space="preserve"> personnel technique spécifique pour la gestion du système d’information</w:t>
            </w:r>
            <w:r>
              <w:rPr>
                <w:rFonts w:ascii="Arial" w:hAnsi="Arial" w:cs="Arial"/>
                <w:sz w:val="24"/>
                <w:szCs w:val="24"/>
              </w:rPr>
              <w:t xml:space="preserve"> (plateformes, bases de données)</w:t>
            </w:r>
          </w:p>
          <w:p w14:paraId="7F140E4F" w14:textId="3165B9F0"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appui continu du niveau périphérique par les niveaux intermédiaire et central du ministère de la santé </w:t>
            </w:r>
          </w:p>
          <w:p w14:paraId="3F75EFE6" w14:textId="6E4776E1"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existence d</w:t>
            </w:r>
            <w:r>
              <w:rPr>
                <w:rFonts w:ascii="Arial" w:hAnsi="Arial" w:cs="Arial"/>
                <w:sz w:val="24"/>
                <w:szCs w:val="24"/>
              </w:rPr>
              <w:t>’un</w:t>
            </w:r>
            <w:r w:rsidRPr="002053FE">
              <w:rPr>
                <w:rFonts w:ascii="Arial" w:hAnsi="Arial" w:cs="Arial"/>
                <w:sz w:val="24"/>
                <w:szCs w:val="24"/>
              </w:rPr>
              <w:t xml:space="preserve"> système informatisé de gestion des données de</w:t>
            </w:r>
            <w:r>
              <w:rPr>
                <w:rFonts w:ascii="Arial" w:hAnsi="Arial" w:cs="Arial"/>
                <w:sz w:val="24"/>
                <w:szCs w:val="24"/>
              </w:rPr>
              <w:t xml:space="preserve"> santé</w:t>
            </w:r>
            <w:r w:rsidRPr="002053FE">
              <w:rPr>
                <w:rFonts w:ascii="Arial" w:hAnsi="Arial" w:cs="Arial"/>
                <w:sz w:val="24"/>
                <w:szCs w:val="24"/>
              </w:rPr>
              <w:t>, des ressources humaines et des médicaments</w:t>
            </w:r>
          </w:p>
          <w:p w14:paraId="37AE84BE" w14:textId="70C8C752"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existence d’applications fonctionnant en réseau </w:t>
            </w:r>
          </w:p>
          <w:p w14:paraId="26B99F41" w14:textId="77777777" w:rsidR="0019376D" w:rsidRPr="002053FE" w:rsidRDefault="0019376D" w:rsidP="0019376D">
            <w:pPr>
              <w:autoSpaceDE w:val="0"/>
              <w:autoSpaceDN w:val="0"/>
              <w:adjustRightInd w:val="0"/>
              <w:spacing w:line="360" w:lineRule="auto"/>
              <w:rPr>
                <w:rFonts w:ascii="Arial" w:hAnsi="Arial" w:cs="Arial"/>
                <w:sz w:val="24"/>
                <w:szCs w:val="24"/>
              </w:rPr>
            </w:pPr>
          </w:p>
        </w:tc>
        <w:tc>
          <w:tcPr>
            <w:tcW w:w="7478" w:type="dxa"/>
          </w:tcPr>
          <w:p w14:paraId="3A1F367D" w14:textId="11D69E6E" w:rsidR="0019376D"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44657B">
              <w:rPr>
                <w:rFonts w:ascii="Arial" w:hAnsi="Arial" w:cs="Arial"/>
                <w:sz w:val="24"/>
                <w:szCs w:val="24"/>
              </w:rPr>
              <w:t>i</w:t>
            </w:r>
            <w:r w:rsidR="0044657B" w:rsidRPr="002053FE">
              <w:rPr>
                <w:rFonts w:ascii="Arial" w:hAnsi="Arial" w:cs="Arial"/>
                <w:sz w:val="24"/>
                <w:szCs w:val="24"/>
              </w:rPr>
              <w:t xml:space="preserve">nsuffisance </w:t>
            </w:r>
            <w:r w:rsidRPr="002053FE">
              <w:rPr>
                <w:rFonts w:ascii="Arial" w:hAnsi="Arial" w:cs="Arial"/>
                <w:sz w:val="24"/>
                <w:szCs w:val="24"/>
              </w:rPr>
              <w:t>de capitalisation des données du secteur privé de la santé</w:t>
            </w:r>
          </w:p>
          <w:p w14:paraId="5A7A23E3" w14:textId="7F50DB55"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insuffisance </w:t>
            </w:r>
            <w:r>
              <w:rPr>
                <w:rFonts w:ascii="Arial" w:hAnsi="Arial" w:cs="Arial"/>
                <w:sz w:val="24"/>
                <w:szCs w:val="24"/>
              </w:rPr>
              <w:t>de ressources humaines</w:t>
            </w:r>
            <w:r w:rsidRPr="002053FE">
              <w:rPr>
                <w:rFonts w:ascii="Arial" w:hAnsi="Arial" w:cs="Arial"/>
                <w:sz w:val="24"/>
                <w:szCs w:val="24"/>
              </w:rPr>
              <w:t xml:space="preserve"> (épidémiologistes, statisticiens, informaticiens, maintenance</w:t>
            </w:r>
            <w:r>
              <w:rPr>
                <w:rFonts w:ascii="Arial" w:hAnsi="Arial" w:cs="Arial"/>
                <w:sz w:val="24"/>
                <w:szCs w:val="24"/>
              </w:rPr>
              <w:t>, gestionnaires de données</w:t>
            </w:r>
            <w:r w:rsidRPr="002053FE">
              <w:rPr>
                <w:rFonts w:ascii="Arial" w:hAnsi="Arial" w:cs="Arial"/>
                <w:sz w:val="24"/>
                <w:szCs w:val="24"/>
              </w:rPr>
              <w:t>…)</w:t>
            </w:r>
          </w:p>
          <w:p w14:paraId="1ABFAA70" w14:textId="50A8AA23"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insuffisance d'infrastructures (locaux, matériel informatique)</w:t>
            </w:r>
          </w:p>
          <w:p w14:paraId="45FA3E8A" w14:textId="40F072FC"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applications informatique</w:t>
            </w:r>
            <w:r w:rsidR="00686AF0">
              <w:rPr>
                <w:rFonts w:ascii="Arial" w:hAnsi="Arial" w:cs="Arial"/>
                <w:sz w:val="24"/>
                <w:szCs w:val="24"/>
              </w:rPr>
              <w:t>s</w:t>
            </w:r>
            <w:r w:rsidRPr="002053FE">
              <w:rPr>
                <w:rFonts w:ascii="Arial" w:hAnsi="Arial" w:cs="Arial"/>
                <w:sz w:val="24"/>
                <w:szCs w:val="24"/>
              </w:rPr>
              <w:t xml:space="preserve"> non </w:t>
            </w:r>
            <w:proofErr w:type="spellStart"/>
            <w:r w:rsidRPr="002053FE">
              <w:rPr>
                <w:rFonts w:ascii="Arial" w:hAnsi="Arial" w:cs="Arial"/>
                <w:sz w:val="24"/>
                <w:szCs w:val="24"/>
              </w:rPr>
              <w:t>inter</w:t>
            </w:r>
            <w:r w:rsidR="0044657B">
              <w:rPr>
                <w:rFonts w:ascii="Arial" w:hAnsi="Arial" w:cs="Arial"/>
                <w:sz w:val="24"/>
                <w:szCs w:val="24"/>
              </w:rPr>
              <w:t>-</w:t>
            </w:r>
            <w:r w:rsidRPr="002053FE">
              <w:rPr>
                <w:rFonts w:ascii="Arial" w:hAnsi="Arial" w:cs="Arial"/>
                <w:sz w:val="24"/>
                <w:szCs w:val="24"/>
              </w:rPr>
              <w:t>opérables</w:t>
            </w:r>
            <w:proofErr w:type="spellEnd"/>
          </w:p>
          <w:p w14:paraId="79BCD36E" w14:textId="6377F8B3"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absence de procédure</w:t>
            </w:r>
            <w:r w:rsidR="0044657B">
              <w:rPr>
                <w:rFonts w:ascii="Arial" w:hAnsi="Arial" w:cs="Arial"/>
                <w:sz w:val="24"/>
                <w:szCs w:val="24"/>
              </w:rPr>
              <w:t>s</w:t>
            </w:r>
            <w:r w:rsidRPr="002053FE">
              <w:rPr>
                <w:rFonts w:ascii="Arial" w:hAnsi="Arial" w:cs="Arial"/>
                <w:sz w:val="24"/>
                <w:szCs w:val="24"/>
              </w:rPr>
              <w:t xml:space="preserve"> de gestion des données</w:t>
            </w:r>
          </w:p>
          <w:p w14:paraId="5C0829D5" w14:textId="71889A4E"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absence </w:t>
            </w:r>
            <w:proofErr w:type="gramStart"/>
            <w:r w:rsidRPr="002053FE">
              <w:rPr>
                <w:rFonts w:ascii="Arial" w:hAnsi="Arial" w:cs="Arial"/>
                <w:sz w:val="24"/>
                <w:szCs w:val="24"/>
              </w:rPr>
              <w:t>des description</w:t>
            </w:r>
            <w:proofErr w:type="gramEnd"/>
            <w:r w:rsidRPr="002053FE">
              <w:rPr>
                <w:rFonts w:ascii="Arial" w:hAnsi="Arial" w:cs="Arial"/>
                <w:sz w:val="24"/>
                <w:szCs w:val="24"/>
              </w:rPr>
              <w:t xml:space="preserve"> de tâches</w:t>
            </w:r>
            <w:r>
              <w:rPr>
                <w:rFonts w:ascii="Arial" w:hAnsi="Arial" w:cs="Arial"/>
                <w:sz w:val="24"/>
                <w:szCs w:val="24"/>
              </w:rPr>
              <w:t xml:space="preserve"> des acteurs intervenant au SNIS</w:t>
            </w:r>
          </w:p>
          <w:p w14:paraId="4039A86C" w14:textId="79C7C376"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absence d’un dictionnaire des données sanitaires nationales</w:t>
            </w:r>
          </w:p>
          <w:p w14:paraId="16F49D78" w14:textId="18407AD3"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insuffisance/manque de formations continues du personnel</w:t>
            </w:r>
          </w:p>
          <w:p w14:paraId="49179668" w14:textId="209492F5" w:rsidR="00C1782B"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Pr>
                <w:rFonts w:ascii="Arial" w:hAnsi="Arial" w:cs="Arial"/>
                <w:sz w:val="24"/>
                <w:szCs w:val="24"/>
              </w:rPr>
              <w:t>existence de f</w:t>
            </w:r>
            <w:r w:rsidRPr="002053FE">
              <w:rPr>
                <w:rFonts w:ascii="Arial" w:hAnsi="Arial" w:cs="Arial"/>
                <w:sz w:val="24"/>
                <w:szCs w:val="24"/>
              </w:rPr>
              <w:t xml:space="preserve">onctionnement vertical </w:t>
            </w:r>
            <w:r>
              <w:rPr>
                <w:rFonts w:ascii="Arial" w:hAnsi="Arial" w:cs="Arial"/>
                <w:sz w:val="24"/>
                <w:szCs w:val="24"/>
              </w:rPr>
              <w:t>entre certains services devant travailler ensemble</w:t>
            </w:r>
            <w:r w:rsidRPr="002053FE">
              <w:rPr>
                <w:rFonts w:ascii="Arial" w:hAnsi="Arial" w:cs="Arial"/>
                <w:sz w:val="24"/>
                <w:szCs w:val="24"/>
              </w:rPr>
              <w:t xml:space="preserve"> </w:t>
            </w:r>
            <w:r>
              <w:rPr>
                <w:rFonts w:ascii="Arial" w:hAnsi="Arial" w:cs="Arial"/>
                <w:sz w:val="24"/>
                <w:szCs w:val="24"/>
              </w:rPr>
              <w:t>(duplication des attributions)</w:t>
            </w:r>
          </w:p>
          <w:p w14:paraId="3A7FCEFC" w14:textId="36AE02DE"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insuffisance de procédures standardisées pour l’utilisation des progiciels</w:t>
            </w:r>
          </w:p>
          <w:p w14:paraId="54347436" w14:textId="5ED456B7"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faible maitrise des applications</w:t>
            </w:r>
            <w:r>
              <w:rPr>
                <w:rFonts w:ascii="Arial" w:hAnsi="Arial" w:cs="Arial"/>
                <w:sz w:val="24"/>
                <w:szCs w:val="24"/>
              </w:rPr>
              <w:t xml:space="preserve"> métiers </w:t>
            </w:r>
            <w:r w:rsidRPr="002053FE">
              <w:rPr>
                <w:rFonts w:ascii="Arial" w:hAnsi="Arial" w:cs="Arial"/>
                <w:sz w:val="24"/>
                <w:szCs w:val="24"/>
              </w:rPr>
              <w:t>par les utilisateurs</w:t>
            </w:r>
          </w:p>
          <w:p w14:paraId="7B5B0D36" w14:textId="1853B1C1"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insuffisance de prise en compte des besoins des utilisateurs dans la mise en place des solutions informatiques</w:t>
            </w:r>
          </w:p>
          <w:p w14:paraId="6F16C966" w14:textId="044AE3D8"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lastRenderedPageBreak/>
              <w:t xml:space="preserve">- </w:t>
            </w:r>
            <w:r w:rsidR="0044657B">
              <w:rPr>
                <w:rFonts w:ascii="Arial" w:hAnsi="Arial" w:cs="Arial"/>
                <w:sz w:val="24"/>
                <w:szCs w:val="24"/>
              </w:rPr>
              <w:t>a</w:t>
            </w:r>
            <w:r w:rsidR="0044657B" w:rsidRPr="002053FE">
              <w:rPr>
                <w:rFonts w:ascii="Arial" w:hAnsi="Arial" w:cs="Arial"/>
                <w:sz w:val="24"/>
                <w:szCs w:val="24"/>
              </w:rPr>
              <w:t xml:space="preserve">bsence </w:t>
            </w:r>
            <w:r w:rsidRPr="002053FE">
              <w:rPr>
                <w:rFonts w:ascii="Arial" w:hAnsi="Arial" w:cs="Arial"/>
                <w:sz w:val="24"/>
                <w:szCs w:val="24"/>
              </w:rPr>
              <w:t xml:space="preserve">de haute disponibilité de certaines plateformes </w:t>
            </w:r>
            <w:r w:rsidR="00C1782B">
              <w:rPr>
                <w:rFonts w:ascii="Arial" w:hAnsi="Arial" w:cs="Arial"/>
                <w:sz w:val="24"/>
                <w:szCs w:val="24"/>
              </w:rPr>
              <w:t>critique</w:t>
            </w:r>
            <w:r w:rsidR="00686AF0">
              <w:rPr>
                <w:rFonts w:ascii="Arial" w:hAnsi="Arial" w:cs="Arial"/>
                <w:sz w:val="24"/>
                <w:szCs w:val="24"/>
              </w:rPr>
              <w:t>s</w:t>
            </w:r>
            <w:r w:rsidR="00C1782B">
              <w:rPr>
                <w:rFonts w:ascii="Arial" w:hAnsi="Arial" w:cs="Arial"/>
                <w:sz w:val="24"/>
                <w:szCs w:val="24"/>
              </w:rPr>
              <w:t xml:space="preserve"> </w:t>
            </w:r>
            <w:r w:rsidRPr="002053FE">
              <w:rPr>
                <w:rFonts w:ascii="Arial" w:hAnsi="Arial" w:cs="Arial"/>
                <w:sz w:val="24"/>
                <w:szCs w:val="24"/>
              </w:rPr>
              <w:t>de gestion des données de santé</w:t>
            </w:r>
          </w:p>
          <w:p w14:paraId="583946C3" w14:textId="48137829"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712E43">
              <w:rPr>
                <w:rFonts w:ascii="Arial" w:hAnsi="Arial" w:cs="Arial"/>
                <w:sz w:val="24"/>
                <w:szCs w:val="24"/>
              </w:rPr>
              <w:t>p</w:t>
            </w:r>
            <w:r w:rsidR="00712E43" w:rsidRPr="002053FE">
              <w:rPr>
                <w:rFonts w:ascii="Arial" w:hAnsi="Arial" w:cs="Arial"/>
                <w:sz w:val="24"/>
                <w:szCs w:val="24"/>
              </w:rPr>
              <w:t xml:space="preserve">résence </w:t>
            </w:r>
            <w:r w:rsidRPr="002053FE">
              <w:rPr>
                <w:rFonts w:ascii="Arial" w:hAnsi="Arial" w:cs="Arial"/>
                <w:sz w:val="24"/>
                <w:szCs w:val="24"/>
              </w:rPr>
              <w:t>d’applications redondantes (Classeur Excel et DHIS2)</w:t>
            </w:r>
          </w:p>
          <w:p w14:paraId="285C98A8" w14:textId="2DF59A8E"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712E43">
              <w:rPr>
                <w:rFonts w:ascii="Arial" w:hAnsi="Arial" w:cs="Arial"/>
                <w:sz w:val="24"/>
                <w:szCs w:val="24"/>
              </w:rPr>
              <w:t>a</w:t>
            </w:r>
            <w:r w:rsidR="00712E43" w:rsidRPr="002053FE">
              <w:rPr>
                <w:rFonts w:ascii="Arial" w:hAnsi="Arial" w:cs="Arial"/>
                <w:sz w:val="24"/>
                <w:szCs w:val="24"/>
              </w:rPr>
              <w:t xml:space="preserve">bsence </w:t>
            </w:r>
            <w:r w:rsidRPr="002053FE">
              <w:rPr>
                <w:rFonts w:ascii="Arial" w:hAnsi="Arial" w:cs="Arial"/>
                <w:sz w:val="24"/>
                <w:szCs w:val="24"/>
              </w:rPr>
              <w:t xml:space="preserve">de système de sauvegarde continue des données  </w:t>
            </w:r>
          </w:p>
          <w:p w14:paraId="03593B81" w14:textId="42371560"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712E43">
              <w:rPr>
                <w:rFonts w:ascii="Arial" w:hAnsi="Arial" w:cs="Arial"/>
                <w:sz w:val="24"/>
                <w:szCs w:val="24"/>
              </w:rPr>
              <w:t xml:space="preserve">absence </w:t>
            </w:r>
            <w:r w:rsidR="00C1782B">
              <w:rPr>
                <w:rFonts w:ascii="Arial" w:hAnsi="Arial" w:cs="Arial"/>
                <w:sz w:val="24"/>
                <w:szCs w:val="24"/>
              </w:rPr>
              <w:t xml:space="preserve">de plan de maintenance des </w:t>
            </w:r>
            <w:r w:rsidRPr="002053FE">
              <w:rPr>
                <w:rFonts w:ascii="Arial" w:hAnsi="Arial" w:cs="Arial"/>
                <w:sz w:val="24"/>
                <w:szCs w:val="24"/>
              </w:rPr>
              <w:t>applicati</w:t>
            </w:r>
            <w:r w:rsidR="00C1782B">
              <w:rPr>
                <w:rFonts w:ascii="Arial" w:hAnsi="Arial" w:cs="Arial"/>
                <w:sz w:val="24"/>
                <w:szCs w:val="24"/>
              </w:rPr>
              <w:t xml:space="preserve">ons métiers et du </w:t>
            </w:r>
            <w:r w:rsidR="00C1782B" w:rsidRPr="002053FE">
              <w:rPr>
                <w:rFonts w:ascii="Arial" w:hAnsi="Arial" w:cs="Arial"/>
                <w:sz w:val="24"/>
                <w:szCs w:val="24"/>
              </w:rPr>
              <w:t>patrimoine informatique</w:t>
            </w:r>
          </w:p>
          <w:p w14:paraId="3B51EFE2" w14:textId="563BCAE8"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712E43">
              <w:rPr>
                <w:rFonts w:ascii="Arial" w:hAnsi="Arial" w:cs="Arial"/>
                <w:sz w:val="24"/>
                <w:szCs w:val="24"/>
              </w:rPr>
              <w:t>a</w:t>
            </w:r>
            <w:r w:rsidR="00712E43" w:rsidRPr="002053FE">
              <w:rPr>
                <w:rFonts w:ascii="Arial" w:hAnsi="Arial" w:cs="Arial"/>
                <w:sz w:val="24"/>
                <w:szCs w:val="24"/>
              </w:rPr>
              <w:t xml:space="preserve">bsence </w:t>
            </w:r>
            <w:r w:rsidRPr="002053FE">
              <w:rPr>
                <w:rFonts w:ascii="Arial" w:hAnsi="Arial" w:cs="Arial"/>
                <w:sz w:val="24"/>
                <w:szCs w:val="24"/>
              </w:rPr>
              <w:t>d’un plan de transfert des compétences de certaines applications développées par les PTF au profit du SNIS</w:t>
            </w:r>
          </w:p>
          <w:p w14:paraId="3338A15D" w14:textId="6091E547" w:rsidR="0019376D" w:rsidRDefault="0019376D" w:rsidP="00C1782B">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712E43">
              <w:rPr>
                <w:rFonts w:ascii="Arial" w:hAnsi="Arial" w:cs="Arial"/>
                <w:sz w:val="24"/>
                <w:szCs w:val="24"/>
              </w:rPr>
              <w:t>a</w:t>
            </w:r>
            <w:r w:rsidR="00712E43" w:rsidRPr="002053FE">
              <w:rPr>
                <w:rFonts w:ascii="Arial" w:hAnsi="Arial" w:cs="Arial"/>
                <w:sz w:val="24"/>
                <w:szCs w:val="24"/>
              </w:rPr>
              <w:t xml:space="preserve">bsence </w:t>
            </w:r>
            <w:r w:rsidRPr="002053FE">
              <w:rPr>
                <w:rFonts w:ascii="Arial" w:hAnsi="Arial" w:cs="Arial"/>
                <w:sz w:val="24"/>
                <w:szCs w:val="24"/>
              </w:rPr>
              <w:t>d’un</w:t>
            </w:r>
            <w:r w:rsidR="00C1782B">
              <w:rPr>
                <w:rFonts w:ascii="Arial" w:hAnsi="Arial" w:cs="Arial"/>
                <w:sz w:val="24"/>
                <w:szCs w:val="24"/>
              </w:rPr>
              <w:t>e</w:t>
            </w:r>
            <w:r w:rsidRPr="002053FE">
              <w:rPr>
                <w:rFonts w:ascii="Arial" w:hAnsi="Arial" w:cs="Arial"/>
                <w:sz w:val="24"/>
                <w:szCs w:val="24"/>
              </w:rPr>
              <w:t xml:space="preserve"> salle </w:t>
            </w:r>
            <w:r w:rsidR="004E11CF">
              <w:rPr>
                <w:rFonts w:ascii="Arial" w:hAnsi="Arial" w:cs="Arial"/>
                <w:sz w:val="24"/>
                <w:szCs w:val="24"/>
              </w:rPr>
              <w:t>de S</w:t>
            </w:r>
            <w:r w:rsidR="004E11CF" w:rsidRPr="002053FE">
              <w:rPr>
                <w:rFonts w:ascii="Arial" w:hAnsi="Arial" w:cs="Arial"/>
                <w:sz w:val="24"/>
                <w:szCs w:val="24"/>
              </w:rPr>
              <w:t xml:space="preserve">erveur </w:t>
            </w:r>
            <w:r w:rsidRPr="002053FE">
              <w:rPr>
                <w:rFonts w:ascii="Arial" w:hAnsi="Arial" w:cs="Arial"/>
                <w:sz w:val="24"/>
                <w:szCs w:val="24"/>
              </w:rPr>
              <w:t xml:space="preserve">de redondance au </w:t>
            </w:r>
            <w:r w:rsidR="00686AF0">
              <w:rPr>
                <w:rFonts w:ascii="Arial" w:hAnsi="Arial" w:cs="Arial"/>
                <w:sz w:val="24"/>
                <w:szCs w:val="24"/>
              </w:rPr>
              <w:t>m</w:t>
            </w:r>
            <w:r w:rsidRPr="002053FE">
              <w:rPr>
                <w:rFonts w:ascii="Arial" w:hAnsi="Arial" w:cs="Arial"/>
                <w:sz w:val="24"/>
                <w:szCs w:val="24"/>
              </w:rPr>
              <w:t xml:space="preserve">inistère de la </w:t>
            </w:r>
            <w:r w:rsidR="00686AF0">
              <w:rPr>
                <w:rFonts w:ascii="Arial" w:hAnsi="Arial" w:cs="Arial"/>
                <w:sz w:val="24"/>
                <w:szCs w:val="24"/>
              </w:rPr>
              <w:t>S</w:t>
            </w:r>
            <w:r w:rsidRPr="002053FE">
              <w:rPr>
                <w:rFonts w:ascii="Arial" w:hAnsi="Arial" w:cs="Arial"/>
                <w:sz w:val="24"/>
                <w:szCs w:val="24"/>
              </w:rPr>
              <w:t xml:space="preserve">anté </w:t>
            </w:r>
          </w:p>
          <w:p w14:paraId="21BF2AAB" w14:textId="13D8582F" w:rsidR="00745361" w:rsidRPr="00745361" w:rsidRDefault="00745361" w:rsidP="00C1782B">
            <w:pPr>
              <w:autoSpaceDE w:val="0"/>
              <w:autoSpaceDN w:val="0"/>
              <w:adjustRightInd w:val="0"/>
              <w:spacing w:line="360" w:lineRule="auto"/>
              <w:rPr>
                <w:rFonts w:ascii="Arial" w:hAnsi="Arial" w:cs="Arial"/>
                <w:sz w:val="24"/>
                <w:szCs w:val="24"/>
              </w:rPr>
            </w:pPr>
            <w:r w:rsidRPr="00745361">
              <w:rPr>
                <w:rFonts w:ascii="Arial" w:hAnsi="Arial" w:cs="Arial"/>
                <w:sz w:val="24"/>
                <w:szCs w:val="24"/>
              </w:rPr>
              <w:t>- multiple</w:t>
            </w:r>
            <w:r w:rsidR="004F010A">
              <w:rPr>
                <w:rFonts w:ascii="Arial" w:hAnsi="Arial" w:cs="Arial"/>
                <w:sz w:val="24"/>
                <w:szCs w:val="24"/>
              </w:rPr>
              <w:t>s</w:t>
            </w:r>
            <w:r w:rsidRPr="00745361">
              <w:rPr>
                <w:rFonts w:ascii="Arial" w:hAnsi="Arial" w:cs="Arial"/>
                <w:sz w:val="24"/>
                <w:szCs w:val="24"/>
              </w:rPr>
              <w:t xml:space="preserve"> source</w:t>
            </w:r>
            <w:r w:rsidR="004F010A">
              <w:rPr>
                <w:rFonts w:ascii="Arial" w:hAnsi="Arial" w:cs="Arial"/>
                <w:sz w:val="24"/>
                <w:szCs w:val="24"/>
              </w:rPr>
              <w:t>s</w:t>
            </w:r>
            <w:r w:rsidRPr="00745361">
              <w:rPr>
                <w:rFonts w:ascii="Arial" w:hAnsi="Arial" w:cs="Arial"/>
                <w:sz w:val="24"/>
                <w:szCs w:val="24"/>
              </w:rPr>
              <w:t xml:space="preserve"> d’hé</w:t>
            </w:r>
            <w:r>
              <w:rPr>
                <w:rFonts w:ascii="Arial" w:hAnsi="Arial" w:cs="Arial"/>
                <w:sz w:val="24"/>
                <w:szCs w:val="24"/>
              </w:rPr>
              <w:t>ber</w:t>
            </w:r>
            <w:r w:rsidRPr="00745361">
              <w:rPr>
                <w:rFonts w:ascii="Arial" w:hAnsi="Arial" w:cs="Arial"/>
                <w:sz w:val="24"/>
                <w:szCs w:val="24"/>
              </w:rPr>
              <w:t>gement des applications de gestion des données</w:t>
            </w:r>
          </w:p>
        </w:tc>
      </w:tr>
    </w:tbl>
    <w:p w14:paraId="2187AED2" w14:textId="77777777" w:rsidR="0019376D" w:rsidRPr="00745361" w:rsidRDefault="0019376D" w:rsidP="00745361">
      <w:pPr>
        <w:autoSpaceDE w:val="0"/>
        <w:autoSpaceDN w:val="0"/>
        <w:adjustRightInd w:val="0"/>
        <w:spacing w:after="0" w:line="360" w:lineRule="auto"/>
        <w:rPr>
          <w:rFonts w:ascii="Arial" w:eastAsia="Times New Roman" w:hAnsi="Arial" w:cs="Arial"/>
          <w:sz w:val="24"/>
          <w:szCs w:val="24"/>
          <w:lang w:eastAsia="fr-FR"/>
        </w:rPr>
      </w:pPr>
    </w:p>
    <w:p w14:paraId="11A4585B" w14:textId="77777777" w:rsidR="0019376D" w:rsidRDefault="0019376D" w:rsidP="0019376D">
      <w:pPr>
        <w:pStyle w:val="Caption"/>
        <w:rPr>
          <w:rFonts w:ascii="Arial" w:hAnsi="Arial" w:cs="Arial"/>
          <w:sz w:val="24"/>
          <w:szCs w:val="24"/>
        </w:rPr>
        <w:sectPr w:rsidR="0019376D" w:rsidSect="0019376D">
          <w:pgSz w:w="16838" w:h="11906" w:orient="landscape"/>
          <w:pgMar w:top="1417" w:right="1417" w:bottom="1417" w:left="1417" w:header="708" w:footer="708" w:gutter="0"/>
          <w:cols w:space="708"/>
          <w:docGrid w:linePitch="360"/>
        </w:sectPr>
      </w:pPr>
    </w:p>
    <w:p w14:paraId="5C34B14E" w14:textId="4935E64A" w:rsidR="0019376D" w:rsidRPr="0019376D" w:rsidRDefault="0019376D" w:rsidP="0019376D">
      <w:pPr>
        <w:pStyle w:val="Caption"/>
        <w:rPr>
          <w:rFonts w:ascii="Arial" w:hAnsi="Arial" w:cs="Arial"/>
          <w:sz w:val="24"/>
          <w:szCs w:val="24"/>
        </w:rPr>
      </w:pPr>
      <w:bookmarkStart w:id="19" w:name="_Toc99467006"/>
      <w:r w:rsidRPr="0019376D">
        <w:rPr>
          <w:rFonts w:ascii="Arial" w:hAnsi="Arial" w:cs="Arial"/>
          <w:sz w:val="24"/>
          <w:szCs w:val="24"/>
        </w:rPr>
        <w:lastRenderedPageBreak/>
        <w:t xml:space="preserve">Tableau </w:t>
      </w:r>
      <w:r w:rsidRPr="0019376D">
        <w:rPr>
          <w:rFonts w:ascii="Arial" w:hAnsi="Arial" w:cs="Arial"/>
          <w:sz w:val="24"/>
          <w:szCs w:val="24"/>
        </w:rPr>
        <w:fldChar w:fldCharType="begin"/>
      </w:r>
      <w:r w:rsidRPr="0019376D">
        <w:rPr>
          <w:rFonts w:ascii="Arial" w:hAnsi="Arial" w:cs="Arial"/>
          <w:sz w:val="24"/>
          <w:szCs w:val="24"/>
        </w:rPr>
        <w:instrText xml:space="preserve"> SEQ Tableau \* ARABIC </w:instrText>
      </w:r>
      <w:r w:rsidRPr="0019376D">
        <w:rPr>
          <w:rFonts w:ascii="Arial" w:hAnsi="Arial" w:cs="Arial"/>
          <w:sz w:val="24"/>
          <w:szCs w:val="24"/>
        </w:rPr>
        <w:fldChar w:fldCharType="separate"/>
      </w:r>
      <w:r w:rsidR="00A45512">
        <w:rPr>
          <w:rFonts w:ascii="Arial" w:hAnsi="Arial" w:cs="Arial"/>
          <w:noProof/>
          <w:sz w:val="24"/>
          <w:szCs w:val="24"/>
        </w:rPr>
        <w:t>3</w:t>
      </w:r>
      <w:r w:rsidRPr="0019376D">
        <w:rPr>
          <w:rFonts w:ascii="Arial" w:hAnsi="Arial" w:cs="Arial"/>
          <w:sz w:val="24"/>
          <w:szCs w:val="24"/>
        </w:rPr>
        <w:fldChar w:fldCharType="end"/>
      </w:r>
      <w:r w:rsidRPr="0019376D">
        <w:rPr>
          <w:rFonts w:ascii="Arial" w:hAnsi="Arial" w:cs="Arial"/>
          <w:sz w:val="24"/>
          <w:szCs w:val="24"/>
        </w:rPr>
        <w:t> : R</w:t>
      </w:r>
      <w:r>
        <w:rPr>
          <w:rFonts w:ascii="Arial" w:hAnsi="Arial" w:cs="Arial"/>
          <w:sz w:val="24"/>
          <w:szCs w:val="24"/>
        </w:rPr>
        <w:t>ésumé des opportunités et menaces du SNIS.</w:t>
      </w:r>
      <w:bookmarkEnd w:id="19"/>
    </w:p>
    <w:tbl>
      <w:tblPr>
        <w:tblStyle w:val="TableGrid"/>
        <w:tblW w:w="13994" w:type="dxa"/>
        <w:jc w:val="center"/>
        <w:tblLook w:val="04A0" w:firstRow="1" w:lastRow="0" w:firstColumn="1" w:lastColumn="0" w:noHBand="0" w:noVBand="1"/>
      </w:tblPr>
      <w:tblGrid>
        <w:gridCol w:w="7508"/>
        <w:gridCol w:w="6486"/>
      </w:tblGrid>
      <w:tr w:rsidR="0019376D" w:rsidRPr="0019376D" w14:paraId="0E1FCD4C" w14:textId="77777777" w:rsidTr="00C1782B">
        <w:trPr>
          <w:jc w:val="center"/>
        </w:trPr>
        <w:tc>
          <w:tcPr>
            <w:tcW w:w="7508" w:type="dxa"/>
            <w:shd w:val="clear" w:color="auto" w:fill="E2EFD9" w:themeFill="accent6" w:themeFillTint="33"/>
            <w:vAlign w:val="center"/>
          </w:tcPr>
          <w:p w14:paraId="7AC348DB" w14:textId="77777777" w:rsidR="0019376D" w:rsidRPr="0019376D" w:rsidRDefault="0019376D" w:rsidP="0019376D">
            <w:pPr>
              <w:spacing w:line="360" w:lineRule="auto"/>
              <w:jc w:val="center"/>
              <w:rPr>
                <w:rFonts w:ascii="Arial" w:hAnsi="Arial" w:cs="Arial"/>
                <w:b/>
                <w:bCs/>
                <w:sz w:val="28"/>
                <w:szCs w:val="28"/>
              </w:rPr>
            </w:pPr>
            <w:r w:rsidRPr="0019376D">
              <w:rPr>
                <w:rFonts w:ascii="Arial" w:hAnsi="Arial" w:cs="Arial"/>
                <w:b/>
                <w:bCs/>
                <w:sz w:val="28"/>
                <w:szCs w:val="28"/>
              </w:rPr>
              <w:t>Opportunités</w:t>
            </w:r>
          </w:p>
        </w:tc>
        <w:tc>
          <w:tcPr>
            <w:tcW w:w="6486" w:type="dxa"/>
            <w:shd w:val="clear" w:color="auto" w:fill="E2EFD9" w:themeFill="accent6" w:themeFillTint="33"/>
            <w:vAlign w:val="center"/>
          </w:tcPr>
          <w:p w14:paraId="30CEF1D2" w14:textId="77777777" w:rsidR="0019376D" w:rsidRPr="0019376D" w:rsidRDefault="0019376D" w:rsidP="0019376D">
            <w:pPr>
              <w:spacing w:line="360" w:lineRule="auto"/>
              <w:jc w:val="center"/>
              <w:rPr>
                <w:rFonts w:ascii="Arial" w:hAnsi="Arial" w:cs="Arial"/>
                <w:b/>
                <w:bCs/>
                <w:sz w:val="28"/>
                <w:szCs w:val="28"/>
              </w:rPr>
            </w:pPr>
            <w:r w:rsidRPr="0019376D">
              <w:rPr>
                <w:rFonts w:ascii="Arial" w:hAnsi="Arial" w:cs="Arial"/>
                <w:b/>
                <w:bCs/>
                <w:sz w:val="28"/>
                <w:szCs w:val="28"/>
              </w:rPr>
              <w:t>Menaces</w:t>
            </w:r>
          </w:p>
        </w:tc>
      </w:tr>
      <w:tr w:rsidR="0019376D" w:rsidRPr="002053FE" w14:paraId="524B6B37" w14:textId="77777777" w:rsidTr="00C1782B">
        <w:trPr>
          <w:jc w:val="center"/>
        </w:trPr>
        <w:tc>
          <w:tcPr>
            <w:tcW w:w="7508" w:type="dxa"/>
          </w:tcPr>
          <w:p w14:paraId="7513A570" w14:textId="5815C87B"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4E11CF">
              <w:rPr>
                <w:rFonts w:ascii="Arial" w:hAnsi="Arial" w:cs="Arial"/>
                <w:sz w:val="24"/>
                <w:szCs w:val="24"/>
              </w:rPr>
              <w:t>f</w:t>
            </w:r>
            <w:r w:rsidR="004E11CF" w:rsidRPr="002053FE">
              <w:rPr>
                <w:rFonts w:ascii="Arial" w:hAnsi="Arial" w:cs="Arial"/>
                <w:sz w:val="24"/>
                <w:szCs w:val="24"/>
              </w:rPr>
              <w:t xml:space="preserve">orte </w:t>
            </w:r>
            <w:r w:rsidRPr="002053FE">
              <w:rPr>
                <w:rFonts w:ascii="Arial" w:hAnsi="Arial" w:cs="Arial"/>
                <w:sz w:val="24"/>
                <w:szCs w:val="24"/>
              </w:rPr>
              <w:t>implication des PTF</w:t>
            </w:r>
          </w:p>
          <w:p w14:paraId="7F6F0135" w14:textId="7C69B701" w:rsidR="00C1782B"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existence de solutions informatiques </w:t>
            </w:r>
            <w:r>
              <w:rPr>
                <w:rFonts w:ascii="Arial" w:hAnsi="Arial" w:cs="Arial"/>
                <w:sz w:val="24"/>
                <w:szCs w:val="24"/>
              </w:rPr>
              <w:t>propriétaires ou libre</w:t>
            </w:r>
            <w:r w:rsidR="00686AF0">
              <w:rPr>
                <w:rFonts w:ascii="Arial" w:hAnsi="Arial" w:cs="Arial"/>
                <w:sz w:val="24"/>
                <w:szCs w:val="24"/>
              </w:rPr>
              <w:t>s d’appui à l’amélioration du</w:t>
            </w:r>
            <w:r>
              <w:rPr>
                <w:rFonts w:ascii="Arial" w:hAnsi="Arial" w:cs="Arial"/>
                <w:sz w:val="24"/>
                <w:szCs w:val="24"/>
              </w:rPr>
              <w:t xml:space="preserve"> SNIS</w:t>
            </w:r>
          </w:p>
          <w:p w14:paraId="665ECF0F" w14:textId="396CDE52" w:rsidR="0019376D" w:rsidRPr="002053FE" w:rsidRDefault="00303006" w:rsidP="0019376D">
            <w:pPr>
              <w:autoSpaceDE w:val="0"/>
              <w:autoSpaceDN w:val="0"/>
              <w:adjustRightInd w:val="0"/>
              <w:spacing w:line="360" w:lineRule="auto"/>
              <w:rPr>
                <w:rFonts w:ascii="Arial" w:hAnsi="Arial" w:cs="Arial"/>
                <w:sz w:val="24"/>
                <w:szCs w:val="24"/>
              </w:rPr>
            </w:pPr>
            <w:r>
              <w:rPr>
                <w:rFonts w:ascii="Arial" w:hAnsi="Arial" w:cs="Arial"/>
                <w:sz w:val="24"/>
                <w:szCs w:val="24"/>
              </w:rPr>
              <w:t xml:space="preserve"> </w:t>
            </w:r>
            <w:r w:rsidRPr="002053FE">
              <w:rPr>
                <w:rFonts w:ascii="Arial" w:hAnsi="Arial" w:cs="Arial"/>
                <w:sz w:val="24"/>
                <w:szCs w:val="24"/>
              </w:rPr>
              <w:t xml:space="preserve">- existence de capacités techniques et humaines d’hébergement et de sécurisation des données au niveau </w:t>
            </w:r>
            <w:r w:rsidR="00686AF0">
              <w:rPr>
                <w:rFonts w:ascii="Arial" w:hAnsi="Arial" w:cs="Arial"/>
                <w:sz w:val="24"/>
                <w:szCs w:val="24"/>
              </w:rPr>
              <w:t xml:space="preserve">du </w:t>
            </w:r>
            <w:r>
              <w:rPr>
                <w:rFonts w:ascii="Arial" w:hAnsi="Arial" w:cs="Arial"/>
                <w:sz w:val="24"/>
                <w:szCs w:val="24"/>
              </w:rPr>
              <w:t>ministère en charge des TIC</w:t>
            </w:r>
          </w:p>
          <w:p w14:paraId="5C43C85A" w14:textId="074D4D43" w:rsidR="0019376D" w:rsidRDefault="00303006" w:rsidP="004E11CF">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possibilité de renforcement </w:t>
            </w:r>
            <w:r w:rsidR="004E11CF">
              <w:rPr>
                <w:rFonts w:ascii="Arial" w:hAnsi="Arial" w:cs="Arial"/>
                <w:sz w:val="24"/>
                <w:szCs w:val="24"/>
              </w:rPr>
              <w:t>des</w:t>
            </w:r>
            <w:r w:rsidR="004E11CF" w:rsidRPr="002053FE">
              <w:rPr>
                <w:rFonts w:ascii="Arial" w:hAnsi="Arial" w:cs="Arial"/>
                <w:sz w:val="24"/>
                <w:szCs w:val="24"/>
              </w:rPr>
              <w:t xml:space="preserve"> </w:t>
            </w:r>
            <w:r w:rsidRPr="002053FE">
              <w:rPr>
                <w:rFonts w:ascii="Arial" w:hAnsi="Arial" w:cs="Arial"/>
                <w:sz w:val="24"/>
                <w:szCs w:val="24"/>
              </w:rPr>
              <w:t>compétence</w:t>
            </w:r>
            <w:r>
              <w:rPr>
                <w:rFonts w:ascii="Arial" w:hAnsi="Arial" w:cs="Arial"/>
                <w:sz w:val="24"/>
                <w:szCs w:val="24"/>
              </w:rPr>
              <w:t xml:space="preserve">s </w:t>
            </w:r>
            <w:r w:rsidR="004E11CF">
              <w:rPr>
                <w:rFonts w:ascii="Arial" w:hAnsi="Arial" w:cs="Arial"/>
                <w:sz w:val="24"/>
                <w:szCs w:val="24"/>
              </w:rPr>
              <w:t xml:space="preserve">des acteurs en </w:t>
            </w:r>
            <w:r w:rsidRPr="002053FE">
              <w:rPr>
                <w:rFonts w:ascii="Arial" w:hAnsi="Arial" w:cs="Arial"/>
                <w:sz w:val="24"/>
                <w:szCs w:val="24"/>
              </w:rPr>
              <w:t xml:space="preserve">informatique </w:t>
            </w:r>
            <w:r>
              <w:rPr>
                <w:rFonts w:ascii="Arial" w:hAnsi="Arial" w:cs="Arial"/>
                <w:sz w:val="24"/>
                <w:szCs w:val="24"/>
              </w:rPr>
              <w:t>en Guinée ou à l’extérieur</w:t>
            </w:r>
            <w:r w:rsidR="004E11CF">
              <w:rPr>
                <w:rFonts w:ascii="Arial" w:hAnsi="Arial" w:cs="Arial"/>
                <w:sz w:val="24"/>
                <w:szCs w:val="24"/>
              </w:rPr>
              <w:t xml:space="preserve"> du pays</w:t>
            </w:r>
          </w:p>
          <w:p w14:paraId="40614DE9" w14:textId="5F4F02B9" w:rsidR="0049293E" w:rsidRPr="0019376D" w:rsidRDefault="0049293E" w:rsidP="004E11CF">
            <w:pPr>
              <w:autoSpaceDE w:val="0"/>
              <w:autoSpaceDN w:val="0"/>
              <w:adjustRightInd w:val="0"/>
              <w:spacing w:line="360" w:lineRule="auto"/>
              <w:rPr>
                <w:rFonts w:ascii="Arial" w:hAnsi="Arial" w:cs="Arial"/>
                <w:sz w:val="24"/>
                <w:szCs w:val="24"/>
              </w:rPr>
            </w:pPr>
            <w:r>
              <w:rPr>
                <w:rFonts w:ascii="Arial" w:hAnsi="Arial" w:cs="Arial"/>
                <w:sz w:val="24"/>
                <w:szCs w:val="24"/>
              </w:rPr>
              <w:t>- accompagnement de l’ANGEIE au ministère de la santé (renforcement en compétence des acteurs du SNIS)</w:t>
            </w:r>
          </w:p>
        </w:tc>
        <w:tc>
          <w:tcPr>
            <w:tcW w:w="6486" w:type="dxa"/>
          </w:tcPr>
          <w:p w14:paraId="6FF6BDC8" w14:textId="3B99C3B4" w:rsidR="0019376D" w:rsidRPr="002053FE" w:rsidRDefault="0019376D"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w:t>
            </w:r>
            <w:r w:rsidR="004E11CF">
              <w:rPr>
                <w:rFonts w:ascii="Arial" w:hAnsi="Arial" w:cs="Arial"/>
                <w:sz w:val="24"/>
                <w:szCs w:val="24"/>
              </w:rPr>
              <w:t>i</w:t>
            </w:r>
            <w:r w:rsidR="004E11CF" w:rsidRPr="002053FE">
              <w:rPr>
                <w:rFonts w:ascii="Arial" w:hAnsi="Arial" w:cs="Arial"/>
                <w:sz w:val="24"/>
                <w:szCs w:val="24"/>
              </w:rPr>
              <w:t xml:space="preserve">nsuffisance </w:t>
            </w:r>
            <w:r w:rsidRPr="002053FE">
              <w:rPr>
                <w:rFonts w:ascii="Arial" w:hAnsi="Arial" w:cs="Arial"/>
                <w:sz w:val="24"/>
                <w:szCs w:val="24"/>
              </w:rPr>
              <w:t>de mobilisation de</w:t>
            </w:r>
            <w:r w:rsidR="00C1782B">
              <w:rPr>
                <w:rFonts w:ascii="Arial" w:hAnsi="Arial" w:cs="Arial"/>
                <w:sz w:val="24"/>
                <w:szCs w:val="24"/>
              </w:rPr>
              <w:t>s</w:t>
            </w:r>
            <w:r w:rsidRPr="002053FE">
              <w:rPr>
                <w:rFonts w:ascii="Arial" w:hAnsi="Arial" w:cs="Arial"/>
                <w:sz w:val="24"/>
                <w:szCs w:val="24"/>
              </w:rPr>
              <w:t xml:space="preserve"> ressources financière</w:t>
            </w:r>
            <w:r w:rsidR="00C1782B">
              <w:rPr>
                <w:rFonts w:ascii="Arial" w:hAnsi="Arial" w:cs="Arial"/>
                <w:sz w:val="24"/>
                <w:szCs w:val="24"/>
              </w:rPr>
              <w:t>s</w:t>
            </w:r>
            <w:r w:rsidRPr="002053FE">
              <w:rPr>
                <w:rFonts w:ascii="Arial" w:hAnsi="Arial" w:cs="Arial"/>
                <w:sz w:val="24"/>
                <w:szCs w:val="24"/>
              </w:rPr>
              <w:t xml:space="preserve"> pour le renforcement du SNIS </w:t>
            </w:r>
          </w:p>
          <w:p w14:paraId="67DB9AAA" w14:textId="3EAE6738"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absence de connexion internet </w:t>
            </w:r>
            <w:r>
              <w:rPr>
                <w:rFonts w:ascii="Arial" w:hAnsi="Arial" w:cs="Arial"/>
                <w:sz w:val="24"/>
                <w:szCs w:val="24"/>
              </w:rPr>
              <w:t>dans tous les centres</w:t>
            </w:r>
            <w:r w:rsidRPr="002053FE">
              <w:rPr>
                <w:rFonts w:ascii="Arial" w:hAnsi="Arial" w:cs="Arial"/>
                <w:sz w:val="24"/>
                <w:szCs w:val="24"/>
              </w:rPr>
              <w:t xml:space="preserve"> de</w:t>
            </w:r>
            <w:r>
              <w:rPr>
                <w:rFonts w:ascii="Arial" w:hAnsi="Arial" w:cs="Arial"/>
                <w:sz w:val="24"/>
                <w:szCs w:val="24"/>
              </w:rPr>
              <w:t xml:space="preserve"> </w:t>
            </w:r>
            <w:r w:rsidRPr="002053FE">
              <w:rPr>
                <w:rFonts w:ascii="Arial" w:hAnsi="Arial" w:cs="Arial"/>
                <w:sz w:val="24"/>
                <w:szCs w:val="24"/>
              </w:rPr>
              <w:t xml:space="preserve">santé </w:t>
            </w:r>
          </w:p>
          <w:p w14:paraId="6EC95315" w14:textId="55756486"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insuffisance de couverture de la connexion internet au dernier kilomètre des centres de santé</w:t>
            </w:r>
          </w:p>
          <w:p w14:paraId="3C8538FA" w14:textId="14F5AB5B" w:rsidR="0019376D" w:rsidRPr="002053FE"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xml:space="preserve">- instabilité </w:t>
            </w:r>
            <w:r w:rsidR="004E11CF" w:rsidRPr="002053FE">
              <w:rPr>
                <w:rFonts w:ascii="Arial" w:hAnsi="Arial" w:cs="Arial"/>
                <w:sz w:val="24"/>
                <w:szCs w:val="24"/>
              </w:rPr>
              <w:t>soci</w:t>
            </w:r>
            <w:r w:rsidR="004E11CF">
              <w:rPr>
                <w:rFonts w:ascii="Arial" w:hAnsi="Arial" w:cs="Arial"/>
                <w:sz w:val="24"/>
                <w:szCs w:val="24"/>
              </w:rPr>
              <w:t>o-politique</w:t>
            </w:r>
          </w:p>
          <w:p w14:paraId="5DE79B78" w14:textId="11AD7A48" w:rsidR="0019376D" w:rsidRDefault="00303006" w:rsidP="0019376D">
            <w:pPr>
              <w:autoSpaceDE w:val="0"/>
              <w:autoSpaceDN w:val="0"/>
              <w:adjustRightInd w:val="0"/>
              <w:spacing w:line="360" w:lineRule="auto"/>
              <w:rPr>
                <w:rFonts w:ascii="Arial" w:hAnsi="Arial" w:cs="Arial"/>
                <w:sz w:val="24"/>
                <w:szCs w:val="24"/>
              </w:rPr>
            </w:pPr>
            <w:r w:rsidRPr="002053FE">
              <w:rPr>
                <w:rFonts w:ascii="Arial" w:hAnsi="Arial" w:cs="Arial"/>
                <w:sz w:val="24"/>
                <w:szCs w:val="24"/>
              </w:rPr>
              <w:t>- piratage</w:t>
            </w:r>
            <w:r>
              <w:rPr>
                <w:rFonts w:ascii="Arial" w:hAnsi="Arial" w:cs="Arial"/>
                <w:sz w:val="24"/>
                <w:szCs w:val="24"/>
              </w:rPr>
              <w:t>s</w:t>
            </w:r>
            <w:r w:rsidRPr="002053FE">
              <w:rPr>
                <w:rFonts w:ascii="Arial" w:hAnsi="Arial" w:cs="Arial"/>
                <w:sz w:val="24"/>
                <w:szCs w:val="24"/>
              </w:rPr>
              <w:t xml:space="preserve"> informatique</w:t>
            </w:r>
            <w:r>
              <w:rPr>
                <w:rFonts w:ascii="Arial" w:hAnsi="Arial" w:cs="Arial"/>
                <w:sz w:val="24"/>
                <w:szCs w:val="24"/>
              </w:rPr>
              <w:t>s</w:t>
            </w:r>
          </w:p>
          <w:p w14:paraId="194443D5" w14:textId="227B864C" w:rsidR="0019376D" w:rsidRPr="002053FE" w:rsidRDefault="00303006" w:rsidP="0019376D">
            <w:pPr>
              <w:autoSpaceDE w:val="0"/>
              <w:autoSpaceDN w:val="0"/>
              <w:adjustRightInd w:val="0"/>
              <w:spacing w:line="360" w:lineRule="auto"/>
              <w:rPr>
                <w:rFonts w:ascii="Arial" w:hAnsi="Arial" w:cs="Arial"/>
                <w:sz w:val="24"/>
                <w:szCs w:val="24"/>
              </w:rPr>
            </w:pPr>
            <w:r>
              <w:rPr>
                <w:rFonts w:ascii="Arial" w:hAnsi="Arial" w:cs="Arial"/>
                <w:sz w:val="24"/>
                <w:szCs w:val="24"/>
              </w:rPr>
              <w:t>- absence de mise à l’échelle du réseau local de l’administration</w:t>
            </w:r>
          </w:p>
          <w:p w14:paraId="6AEAF1CE" w14:textId="77777777" w:rsidR="0019376D" w:rsidRPr="002053FE" w:rsidRDefault="0019376D" w:rsidP="0019376D">
            <w:pPr>
              <w:spacing w:line="360" w:lineRule="auto"/>
              <w:jc w:val="both"/>
              <w:rPr>
                <w:rFonts w:ascii="Arial" w:hAnsi="Arial" w:cs="Arial"/>
                <w:sz w:val="24"/>
                <w:szCs w:val="24"/>
                <w:highlight w:val="yellow"/>
              </w:rPr>
            </w:pPr>
          </w:p>
        </w:tc>
      </w:tr>
    </w:tbl>
    <w:p w14:paraId="33526396" w14:textId="77777777" w:rsidR="0019376D" w:rsidRDefault="0019376D" w:rsidP="0019376D"/>
    <w:p w14:paraId="772DBD6F" w14:textId="77777777" w:rsidR="0019376D" w:rsidRDefault="0019376D" w:rsidP="0019376D"/>
    <w:p w14:paraId="73D31C04" w14:textId="77777777" w:rsidR="0019376D" w:rsidRPr="0019376D" w:rsidRDefault="0019376D" w:rsidP="0019376D"/>
    <w:p w14:paraId="7BFF30D5" w14:textId="77777777" w:rsidR="0019376D" w:rsidRDefault="0019376D" w:rsidP="00CD041D">
      <w:pPr>
        <w:sectPr w:rsidR="0019376D" w:rsidSect="0019376D">
          <w:pgSz w:w="16838" w:h="11906" w:orient="landscape"/>
          <w:pgMar w:top="1417" w:right="1417" w:bottom="1417" w:left="1417" w:header="708" w:footer="708" w:gutter="0"/>
          <w:cols w:space="708"/>
          <w:docGrid w:linePitch="360"/>
        </w:sectPr>
      </w:pPr>
    </w:p>
    <w:p w14:paraId="06B9861B" w14:textId="061F2C4D" w:rsidR="00745361" w:rsidRPr="000C68B4" w:rsidRDefault="001813E5" w:rsidP="000C68B4">
      <w:pPr>
        <w:pStyle w:val="Heading1"/>
        <w:rPr>
          <w:rFonts w:ascii="Arial" w:hAnsi="Arial" w:cs="Arial"/>
          <w:b/>
          <w:bCs/>
          <w:color w:val="000000" w:themeColor="text1"/>
          <w:sz w:val="26"/>
          <w:szCs w:val="26"/>
        </w:rPr>
      </w:pPr>
      <w:bookmarkStart w:id="20" w:name="_Toc95082857"/>
      <w:r w:rsidRPr="000C68B4">
        <w:rPr>
          <w:rFonts w:ascii="Arial" w:hAnsi="Arial" w:cs="Arial"/>
          <w:b/>
          <w:bCs/>
          <w:color w:val="000000" w:themeColor="text1"/>
          <w:sz w:val="26"/>
          <w:szCs w:val="26"/>
        </w:rPr>
        <w:lastRenderedPageBreak/>
        <w:t>2. RENFORCEMENT ET EXTENSION DU SNIS</w:t>
      </w:r>
      <w:bookmarkEnd w:id="20"/>
    </w:p>
    <w:p w14:paraId="720B42CD" w14:textId="77777777" w:rsidR="000C68B4" w:rsidRDefault="000C68B4" w:rsidP="000C68B4">
      <w:pPr>
        <w:pStyle w:val="Heading2"/>
        <w:rPr>
          <w:rFonts w:ascii="Arial" w:hAnsi="Arial" w:cs="Arial"/>
          <w:i/>
          <w:iCs/>
          <w:color w:val="000000" w:themeColor="text1"/>
          <w:sz w:val="24"/>
          <w:szCs w:val="24"/>
        </w:rPr>
      </w:pPr>
      <w:r>
        <w:rPr>
          <w:rFonts w:ascii="Arial" w:hAnsi="Arial" w:cs="Arial"/>
          <w:i/>
          <w:iCs/>
          <w:color w:val="000000" w:themeColor="text1"/>
          <w:sz w:val="24"/>
          <w:szCs w:val="24"/>
        </w:rPr>
        <w:t xml:space="preserve">   </w:t>
      </w:r>
    </w:p>
    <w:p w14:paraId="04B2E710" w14:textId="46323EA9" w:rsidR="00745361" w:rsidRPr="00807493" w:rsidRDefault="000C68B4" w:rsidP="000C68B4">
      <w:pPr>
        <w:pStyle w:val="Heading2"/>
        <w:rPr>
          <w:rFonts w:ascii="Arial" w:hAnsi="Arial" w:cs="Arial"/>
          <w:b/>
          <w:i/>
          <w:iCs/>
          <w:color w:val="000000" w:themeColor="text1"/>
          <w:sz w:val="24"/>
          <w:szCs w:val="24"/>
        </w:rPr>
      </w:pPr>
      <w:r>
        <w:rPr>
          <w:rFonts w:ascii="Arial" w:hAnsi="Arial" w:cs="Arial"/>
          <w:i/>
          <w:iCs/>
          <w:color w:val="000000" w:themeColor="text1"/>
          <w:sz w:val="24"/>
          <w:szCs w:val="24"/>
        </w:rPr>
        <w:t xml:space="preserve">   </w:t>
      </w:r>
      <w:bookmarkStart w:id="21" w:name="_Toc95082858"/>
      <w:r w:rsidR="00745361" w:rsidRPr="000C68B4">
        <w:rPr>
          <w:rFonts w:ascii="Arial" w:hAnsi="Arial" w:cs="Arial"/>
          <w:i/>
          <w:iCs/>
          <w:color w:val="000000" w:themeColor="text1"/>
          <w:sz w:val="24"/>
          <w:szCs w:val="24"/>
        </w:rPr>
        <w:t>2.</w:t>
      </w:r>
      <w:r w:rsidR="00A601EE" w:rsidRPr="000C68B4">
        <w:rPr>
          <w:rFonts w:ascii="Arial" w:hAnsi="Arial" w:cs="Arial"/>
          <w:i/>
          <w:iCs/>
          <w:color w:val="000000" w:themeColor="text1"/>
          <w:sz w:val="24"/>
          <w:szCs w:val="24"/>
        </w:rPr>
        <w:t>1</w:t>
      </w:r>
      <w:r w:rsidR="00745361" w:rsidRPr="000C68B4">
        <w:rPr>
          <w:rFonts w:ascii="Arial" w:hAnsi="Arial" w:cs="Arial"/>
          <w:i/>
          <w:iCs/>
          <w:color w:val="000000" w:themeColor="text1"/>
          <w:sz w:val="24"/>
          <w:szCs w:val="24"/>
        </w:rPr>
        <w:t xml:space="preserve"> </w:t>
      </w:r>
      <w:r w:rsidR="00745361" w:rsidRPr="00807493">
        <w:rPr>
          <w:rFonts w:ascii="Arial" w:hAnsi="Arial" w:cs="Arial"/>
          <w:b/>
          <w:i/>
          <w:iCs/>
          <w:color w:val="000000" w:themeColor="text1"/>
          <w:sz w:val="24"/>
          <w:szCs w:val="24"/>
        </w:rPr>
        <w:t xml:space="preserve">Architecture du centre de traitement des données (Data </w:t>
      </w:r>
      <w:r w:rsidR="00686AF0" w:rsidRPr="00807493">
        <w:rPr>
          <w:rFonts w:ascii="Arial" w:hAnsi="Arial" w:cs="Arial"/>
          <w:b/>
          <w:i/>
          <w:iCs/>
          <w:color w:val="000000" w:themeColor="text1"/>
          <w:sz w:val="24"/>
          <w:szCs w:val="24"/>
        </w:rPr>
        <w:t>C</w:t>
      </w:r>
      <w:r w:rsidR="00745361" w:rsidRPr="00807493">
        <w:rPr>
          <w:rFonts w:ascii="Arial" w:hAnsi="Arial" w:cs="Arial"/>
          <w:b/>
          <w:i/>
          <w:iCs/>
          <w:color w:val="000000" w:themeColor="text1"/>
          <w:sz w:val="24"/>
          <w:szCs w:val="24"/>
        </w:rPr>
        <w:t>enter) du ministère de la santé</w:t>
      </w:r>
      <w:bookmarkEnd w:id="21"/>
    </w:p>
    <w:p w14:paraId="7B14EE5D" w14:textId="28502211" w:rsidR="00745361" w:rsidRDefault="00C51600" w:rsidP="000C68B4">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Un </w:t>
      </w:r>
      <w:r w:rsidR="00745361" w:rsidRPr="00745361">
        <w:rPr>
          <w:rFonts w:ascii="Arial" w:eastAsia="Times New Roman" w:hAnsi="Arial" w:cs="Arial"/>
          <w:sz w:val="24"/>
          <w:szCs w:val="24"/>
          <w:lang w:eastAsia="fr-FR"/>
        </w:rPr>
        <w:t>centre de</w:t>
      </w:r>
      <w:r w:rsidR="00745361">
        <w:rPr>
          <w:rFonts w:ascii="Arial" w:eastAsia="Times New Roman" w:hAnsi="Arial" w:cs="Arial"/>
          <w:sz w:val="24"/>
          <w:szCs w:val="24"/>
          <w:lang w:eastAsia="fr-FR"/>
        </w:rPr>
        <w:t xml:space="preserve"> traitement des</w:t>
      </w:r>
      <w:r w:rsidR="00745361" w:rsidRPr="00745361">
        <w:rPr>
          <w:rFonts w:ascii="Arial" w:eastAsia="Times New Roman" w:hAnsi="Arial" w:cs="Arial"/>
          <w:sz w:val="24"/>
          <w:szCs w:val="24"/>
          <w:lang w:eastAsia="fr-FR"/>
        </w:rPr>
        <w:t xml:space="preserve"> données</w:t>
      </w:r>
      <w:r w:rsidR="00745361">
        <w:rPr>
          <w:rFonts w:ascii="Arial" w:eastAsia="Times New Roman" w:hAnsi="Arial" w:cs="Arial"/>
          <w:sz w:val="24"/>
          <w:szCs w:val="24"/>
          <w:lang w:eastAsia="fr-FR"/>
        </w:rPr>
        <w:t xml:space="preserve"> (Data </w:t>
      </w:r>
      <w:r w:rsidR="00303006">
        <w:rPr>
          <w:rFonts w:ascii="Arial" w:eastAsia="Times New Roman" w:hAnsi="Arial" w:cs="Arial"/>
          <w:sz w:val="24"/>
          <w:szCs w:val="24"/>
          <w:lang w:eastAsia="fr-FR"/>
        </w:rPr>
        <w:t>C</w:t>
      </w:r>
      <w:r w:rsidR="00745361">
        <w:rPr>
          <w:rFonts w:ascii="Arial" w:eastAsia="Times New Roman" w:hAnsi="Arial" w:cs="Arial"/>
          <w:sz w:val="24"/>
          <w:szCs w:val="24"/>
          <w:lang w:eastAsia="fr-FR"/>
        </w:rPr>
        <w:t>enter)</w:t>
      </w:r>
      <w:r w:rsidR="00745361" w:rsidRPr="00745361">
        <w:rPr>
          <w:rFonts w:ascii="Arial" w:eastAsia="Times New Roman" w:hAnsi="Arial" w:cs="Arial"/>
          <w:sz w:val="24"/>
          <w:szCs w:val="24"/>
          <w:lang w:eastAsia="fr-FR"/>
        </w:rPr>
        <w:t xml:space="preserve"> est une installation physique que les organisations utilisent pour héberger leurs applications et données critiques. La conception d'un centre de données repose sur un réseau de ressources informatiques et de stockage qui permet de fournir des applications et des données partagées. Les principaux composants d'un </w:t>
      </w:r>
      <w:r w:rsidR="00745361">
        <w:rPr>
          <w:rFonts w:ascii="Arial" w:eastAsia="Times New Roman" w:hAnsi="Arial" w:cs="Arial"/>
          <w:sz w:val="24"/>
          <w:szCs w:val="24"/>
          <w:lang w:eastAsia="fr-FR"/>
        </w:rPr>
        <w:t xml:space="preserve">Data </w:t>
      </w:r>
      <w:r w:rsidR="00303006">
        <w:rPr>
          <w:rFonts w:ascii="Arial" w:eastAsia="Times New Roman" w:hAnsi="Arial" w:cs="Arial"/>
          <w:sz w:val="24"/>
          <w:szCs w:val="24"/>
          <w:lang w:eastAsia="fr-FR"/>
        </w:rPr>
        <w:t>C</w:t>
      </w:r>
      <w:r w:rsidR="00745361">
        <w:rPr>
          <w:rFonts w:ascii="Arial" w:eastAsia="Times New Roman" w:hAnsi="Arial" w:cs="Arial"/>
          <w:sz w:val="24"/>
          <w:szCs w:val="24"/>
          <w:lang w:eastAsia="fr-FR"/>
        </w:rPr>
        <w:t>enter</w:t>
      </w:r>
      <w:r w:rsidR="00745361" w:rsidRPr="00745361">
        <w:rPr>
          <w:rFonts w:ascii="Arial" w:eastAsia="Times New Roman" w:hAnsi="Arial" w:cs="Arial"/>
          <w:sz w:val="24"/>
          <w:szCs w:val="24"/>
          <w:lang w:eastAsia="fr-FR"/>
        </w:rPr>
        <w:t xml:space="preserve"> sont les routeurs, les commutateurs, les </w:t>
      </w:r>
      <w:proofErr w:type="spellStart"/>
      <w:r w:rsidR="00745361" w:rsidRPr="00745361">
        <w:rPr>
          <w:rFonts w:ascii="Arial" w:eastAsia="Times New Roman" w:hAnsi="Arial" w:cs="Arial"/>
          <w:sz w:val="24"/>
          <w:szCs w:val="24"/>
          <w:lang w:eastAsia="fr-FR"/>
        </w:rPr>
        <w:t>pare-feu</w:t>
      </w:r>
      <w:r w:rsidR="004E11CF">
        <w:rPr>
          <w:rFonts w:ascii="Arial" w:eastAsia="Times New Roman" w:hAnsi="Arial" w:cs="Arial"/>
          <w:sz w:val="24"/>
          <w:szCs w:val="24"/>
          <w:lang w:eastAsia="fr-FR"/>
        </w:rPr>
        <w:t>x</w:t>
      </w:r>
      <w:proofErr w:type="spellEnd"/>
      <w:r w:rsidR="00745361" w:rsidRPr="00745361">
        <w:rPr>
          <w:rFonts w:ascii="Arial" w:eastAsia="Times New Roman" w:hAnsi="Arial" w:cs="Arial"/>
          <w:sz w:val="24"/>
          <w:szCs w:val="24"/>
          <w:lang w:eastAsia="fr-FR"/>
        </w:rPr>
        <w:t>, les systèmes de stockage, les serveurs et les contrôleurs de livraison d'applications.</w:t>
      </w:r>
      <w:r w:rsidR="00693D41">
        <w:rPr>
          <w:rFonts w:ascii="Arial" w:eastAsia="Times New Roman" w:hAnsi="Arial" w:cs="Arial"/>
          <w:sz w:val="24"/>
          <w:szCs w:val="24"/>
          <w:lang w:eastAsia="fr-FR"/>
        </w:rPr>
        <w:t xml:space="preserve"> Il contient également </w:t>
      </w:r>
      <w:r w:rsidR="00693D41" w:rsidRPr="00693D41">
        <w:rPr>
          <w:rFonts w:ascii="Arial" w:eastAsia="Times New Roman" w:hAnsi="Arial" w:cs="Arial"/>
          <w:sz w:val="24"/>
          <w:szCs w:val="24"/>
          <w:lang w:eastAsia="fr-FR"/>
        </w:rPr>
        <w:t>l'alimentation électrique, les dispositifs de sécurité et les systèmes de contrôle de l'environnement tels que les systèmes d'extinction d'incendie et de climatisation</w:t>
      </w:r>
      <w:r w:rsidR="00693D41">
        <w:rPr>
          <w:rFonts w:ascii="Arial" w:eastAsia="Times New Roman" w:hAnsi="Arial" w:cs="Arial"/>
          <w:sz w:val="24"/>
          <w:szCs w:val="24"/>
          <w:lang w:eastAsia="fr-FR"/>
        </w:rPr>
        <w:t>.</w:t>
      </w:r>
    </w:p>
    <w:p w14:paraId="0F15906A" w14:textId="1B1CC7FD" w:rsidR="00745361" w:rsidRPr="00745361" w:rsidRDefault="00745361" w:rsidP="000C68B4">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Dans le cadre du renforcement du SNIS, l’un des livrables clés est la constitution d’un entrepôt de données. La verticalisation de l’hébergement constitue un frein et une limite pour la constitution d’un entrepôt. En effet, l</w:t>
      </w:r>
      <w:r w:rsidRPr="00745361">
        <w:rPr>
          <w:rFonts w:ascii="Arial" w:eastAsia="Times New Roman" w:hAnsi="Arial" w:cs="Arial"/>
          <w:sz w:val="24"/>
          <w:szCs w:val="24"/>
          <w:lang w:eastAsia="fr-FR"/>
        </w:rPr>
        <w:t xml:space="preserve">’analyse de l’état des lieux a permis de noter que toutes les applications </w:t>
      </w:r>
      <w:r>
        <w:rPr>
          <w:rFonts w:ascii="Arial" w:eastAsia="Times New Roman" w:hAnsi="Arial" w:cs="Arial"/>
          <w:sz w:val="24"/>
          <w:szCs w:val="24"/>
          <w:lang w:eastAsia="fr-FR"/>
        </w:rPr>
        <w:t>utilisées</w:t>
      </w:r>
      <w:r w:rsidRPr="00745361">
        <w:rPr>
          <w:rFonts w:ascii="Arial" w:eastAsia="Times New Roman" w:hAnsi="Arial" w:cs="Arial"/>
          <w:sz w:val="24"/>
          <w:szCs w:val="24"/>
          <w:lang w:eastAsia="fr-FR"/>
        </w:rPr>
        <w:t xml:space="preserve"> pour la collecte et la prise de décision du ministère de la santé sont hébergées par </w:t>
      </w:r>
      <w:r w:rsidR="00354D10">
        <w:rPr>
          <w:rFonts w:ascii="Arial" w:eastAsia="Times New Roman" w:hAnsi="Arial" w:cs="Arial"/>
          <w:sz w:val="24"/>
          <w:szCs w:val="24"/>
          <w:lang w:eastAsia="fr-FR"/>
        </w:rPr>
        <w:t>différentes</w:t>
      </w:r>
      <w:r>
        <w:rPr>
          <w:rFonts w:ascii="Arial" w:eastAsia="Times New Roman" w:hAnsi="Arial" w:cs="Arial"/>
          <w:sz w:val="24"/>
          <w:szCs w:val="24"/>
          <w:lang w:eastAsia="fr-FR"/>
        </w:rPr>
        <w:t xml:space="preserve"> structures nationales (</w:t>
      </w:r>
      <w:r w:rsidRPr="00745361">
        <w:rPr>
          <w:rFonts w:ascii="Arial" w:eastAsia="Times New Roman" w:hAnsi="Arial" w:cs="Arial"/>
          <w:sz w:val="24"/>
          <w:szCs w:val="24"/>
          <w:lang w:eastAsia="fr-FR"/>
        </w:rPr>
        <w:t>ARPT, GUILAB</w:t>
      </w:r>
      <w:r>
        <w:rPr>
          <w:rFonts w:ascii="Arial" w:eastAsia="Times New Roman" w:hAnsi="Arial" w:cs="Arial"/>
          <w:sz w:val="24"/>
          <w:szCs w:val="24"/>
          <w:lang w:eastAsia="fr-FR"/>
        </w:rPr>
        <w:t>) ou sur</w:t>
      </w:r>
      <w:r w:rsidRPr="00745361">
        <w:rPr>
          <w:rFonts w:ascii="Arial" w:eastAsia="Times New Roman" w:hAnsi="Arial" w:cs="Arial"/>
          <w:sz w:val="24"/>
          <w:szCs w:val="24"/>
          <w:lang w:eastAsia="fr-FR"/>
        </w:rPr>
        <w:t xml:space="preserve"> le cloud</w:t>
      </w:r>
      <w:r>
        <w:rPr>
          <w:rFonts w:ascii="Arial" w:eastAsia="Times New Roman" w:hAnsi="Arial" w:cs="Arial"/>
          <w:sz w:val="24"/>
          <w:szCs w:val="24"/>
          <w:lang w:eastAsia="fr-FR"/>
        </w:rPr>
        <w:t>.</w:t>
      </w:r>
      <w:r w:rsidR="008B5C60">
        <w:rPr>
          <w:rFonts w:ascii="Arial" w:eastAsia="Times New Roman" w:hAnsi="Arial" w:cs="Arial"/>
          <w:sz w:val="24"/>
          <w:szCs w:val="24"/>
          <w:lang w:eastAsia="fr-FR"/>
        </w:rPr>
        <w:t xml:space="preserve"> Aussi,</w:t>
      </w:r>
      <w:r>
        <w:rPr>
          <w:rFonts w:ascii="Arial" w:eastAsia="Times New Roman" w:hAnsi="Arial" w:cs="Arial"/>
          <w:sz w:val="24"/>
          <w:szCs w:val="24"/>
          <w:lang w:eastAsia="fr-FR"/>
        </w:rPr>
        <w:t xml:space="preserve"> </w:t>
      </w:r>
      <w:r w:rsidR="00686AF0">
        <w:rPr>
          <w:rFonts w:ascii="Arial" w:eastAsia="Times New Roman" w:hAnsi="Arial" w:cs="Arial"/>
          <w:sz w:val="24"/>
          <w:szCs w:val="24"/>
          <w:lang w:eastAsia="fr-FR"/>
        </w:rPr>
        <w:t>c</w:t>
      </w:r>
      <w:r>
        <w:rPr>
          <w:rFonts w:ascii="Arial" w:eastAsia="Times New Roman" w:hAnsi="Arial" w:cs="Arial"/>
          <w:sz w:val="24"/>
          <w:szCs w:val="24"/>
          <w:lang w:eastAsia="fr-FR"/>
        </w:rPr>
        <w:t>ertaines données sont collectées avec des fichier</w:t>
      </w:r>
      <w:r w:rsidR="00354D10">
        <w:rPr>
          <w:rFonts w:ascii="Arial" w:eastAsia="Times New Roman" w:hAnsi="Arial" w:cs="Arial"/>
          <w:sz w:val="24"/>
          <w:szCs w:val="24"/>
          <w:lang w:eastAsia="fr-FR"/>
        </w:rPr>
        <w:t>s</w:t>
      </w:r>
      <w:r>
        <w:rPr>
          <w:rFonts w:ascii="Arial" w:eastAsia="Times New Roman" w:hAnsi="Arial" w:cs="Arial"/>
          <w:sz w:val="24"/>
          <w:szCs w:val="24"/>
          <w:lang w:eastAsia="fr-FR"/>
        </w:rPr>
        <w:t xml:space="preserve"> plat</w:t>
      </w:r>
      <w:r w:rsidR="00354D10">
        <w:rPr>
          <w:rFonts w:ascii="Arial" w:eastAsia="Times New Roman" w:hAnsi="Arial" w:cs="Arial"/>
          <w:sz w:val="24"/>
          <w:szCs w:val="24"/>
          <w:lang w:eastAsia="fr-FR"/>
        </w:rPr>
        <w:t>s (Excel essentiellement)</w:t>
      </w:r>
      <w:r>
        <w:rPr>
          <w:rFonts w:ascii="Arial" w:eastAsia="Times New Roman" w:hAnsi="Arial" w:cs="Arial"/>
          <w:sz w:val="24"/>
          <w:szCs w:val="24"/>
          <w:lang w:eastAsia="fr-FR"/>
        </w:rPr>
        <w:t xml:space="preserve"> et </w:t>
      </w:r>
      <w:r w:rsidR="00354D10">
        <w:rPr>
          <w:rFonts w:ascii="Arial" w:eastAsia="Times New Roman" w:hAnsi="Arial" w:cs="Arial"/>
          <w:sz w:val="24"/>
          <w:szCs w:val="24"/>
          <w:lang w:eastAsia="fr-FR"/>
        </w:rPr>
        <w:t>envoyées par mail (voir figure 2)</w:t>
      </w:r>
      <w:r w:rsidRPr="00745361">
        <w:rPr>
          <w:rFonts w:ascii="Arial" w:eastAsia="Times New Roman" w:hAnsi="Arial" w:cs="Arial"/>
          <w:sz w:val="24"/>
          <w:szCs w:val="24"/>
          <w:lang w:eastAsia="fr-FR"/>
        </w:rPr>
        <w:t xml:space="preserve">. </w:t>
      </w:r>
    </w:p>
    <w:p w14:paraId="2913FED8" w14:textId="02D550B5" w:rsidR="00354D10" w:rsidRPr="00745361" w:rsidRDefault="00745361" w:rsidP="000C68B4">
      <w:pPr>
        <w:spacing w:line="360" w:lineRule="auto"/>
        <w:jc w:val="both"/>
        <w:rPr>
          <w:rFonts w:ascii="Arial" w:eastAsia="Times New Roman" w:hAnsi="Arial" w:cs="Arial"/>
          <w:sz w:val="24"/>
          <w:szCs w:val="24"/>
          <w:lang w:eastAsia="fr-FR"/>
        </w:rPr>
      </w:pPr>
      <w:r w:rsidRPr="00745361">
        <w:rPr>
          <w:rFonts w:ascii="Arial" w:eastAsia="Times New Roman" w:hAnsi="Arial" w:cs="Arial"/>
          <w:sz w:val="24"/>
          <w:szCs w:val="24"/>
          <w:lang w:eastAsia="fr-FR"/>
        </w:rPr>
        <w:t xml:space="preserve">Le ministère de la santé ne dispose pas de salle </w:t>
      </w:r>
      <w:r w:rsidR="004E11CF">
        <w:rPr>
          <w:rFonts w:ascii="Arial" w:eastAsia="Times New Roman" w:hAnsi="Arial" w:cs="Arial"/>
          <w:sz w:val="24"/>
          <w:szCs w:val="24"/>
          <w:lang w:eastAsia="fr-FR"/>
        </w:rPr>
        <w:t xml:space="preserve">de </w:t>
      </w:r>
      <w:r w:rsidRPr="00745361">
        <w:rPr>
          <w:rFonts w:ascii="Arial" w:eastAsia="Times New Roman" w:hAnsi="Arial" w:cs="Arial"/>
          <w:sz w:val="24"/>
          <w:szCs w:val="24"/>
          <w:lang w:eastAsia="fr-FR"/>
        </w:rPr>
        <w:t xml:space="preserve">serveur pour l’hébergement des données de santé. </w:t>
      </w:r>
      <w:r w:rsidR="00633F8D">
        <w:rPr>
          <w:rFonts w:ascii="Arial" w:eastAsia="Times New Roman" w:hAnsi="Arial" w:cs="Arial"/>
          <w:sz w:val="24"/>
          <w:szCs w:val="24"/>
          <w:lang w:eastAsia="fr-FR"/>
        </w:rPr>
        <w:t xml:space="preserve">L’analyse de la mise en </w:t>
      </w:r>
      <w:r w:rsidR="004E11CF">
        <w:rPr>
          <w:rFonts w:ascii="Arial" w:eastAsia="Times New Roman" w:hAnsi="Arial" w:cs="Arial"/>
          <w:sz w:val="24"/>
          <w:szCs w:val="24"/>
          <w:lang w:eastAsia="fr-FR"/>
        </w:rPr>
        <w:t xml:space="preserve">place </w:t>
      </w:r>
      <w:r w:rsidR="00354D10">
        <w:rPr>
          <w:rFonts w:ascii="Arial" w:eastAsia="Times New Roman" w:hAnsi="Arial" w:cs="Arial"/>
          <w:sz w:val="24"/>
          <w:szCs w:val="24"/>
          <w:lang w:eastAsia="fr-FR"/>
        </w:rPr>
        <w:t xml:space="preserve">d’une salle </w:t>
      </w:r>
      <w:r w:rsidR="004E11CF">
        <w:rPr>
          <w:rFonts w:ascii="Arial" w:eastAsia="Times New Roman" w:hAnsi="Arial" w:cs="Arial"/>
          <w:sz w:val="24"/>
          <w:szCs w:val="24"/>
          <w:lang w:eastAsia="fr-FR"/>
        </w:rPr>
        <w:t xml:space="preserve">de </w:t>
      </w:r>
      <w:r w:rsidR="00354D10">
        <w:rPr>
          <w:rFonts w:ascii="Arial" w:eastAsia="Times New Roman" w:hAnsi="Arial" w:cs="Arial"/>
          <w:sz w:val="24"/>
          <w:szCs w:val="24"/>
          <w:lang w:eastAsia="fr-FR"/>
        </w:rPr>
        <w:t>serveur</w:t>
      </w:r>
      <w:r w:rsidR="00633F8D">
        <w:rPr>
          <w:rFonts w:ascii="Arial" w:eastAsia="Times New Roman" w:hAnsi="Arial" w:cs="Arial"/>
          <w:sz w:val="24"/>
          <w:szCs w:val="24"/>
          <w:lang w:eastAsia="fr-FR"/>
        </w:rPr>
        <w:t xml:space="preserve"> adéquate</w:t>
      </w:r>
      <w:r w:rsidR="00354D10">
        <w:rPr>
          <w:rFonts w:ascii="Arial" w:eastAsia="Times New Roman" w:hAnsi="Arial" w:cs="Arial"/>
          <w:sz w:val="24"/>
          <w:szCs w:val="24"/>
          <w:lang w:eastAsia="fr-FR"/>
        </w:rPr>
        <w:t xml:space="preserve"> au sein du ministère à court ou moyen terme </w:t>
      </w:r>
      <w:r w:rsidR="00633F8D">
        <w:rPr>
          <w:rFonts w:ascii="Arial" w:eastAsia="Times New Roman" w:hAnsi="Arial" w:cs="Arial"/>
          <w:sz w:val="24"/>
          <w:szCs w:val="24"/>
          <w:lang w:eastAsia="fr-FR"/>
        </w:rPr>
        <w:t>n’est pas envisageable car il y’a</w:t>
      </w:r>
      <w:r w:rsidR="00354D10">
        <w:rPr>
          <w:rFonts w:ascii="Arial" w:eastAsia="Times New Roman" w:hAnsi="Arial" w:cs="Arial"/>
          <w:sz w:val="24"/>
          <w:szCs w:val="24"/>
          <w:lang w:eastAsia="fr-FR"/>
        </w:rPr>
        <w:t xml:space="preserve"> </w:t>
      </w:r>
      <w:r w:rsidR="008B5C60">
        <w:rPr>
          <w:rFonts w:ascii="Arial" w:eastAsia="Times New Roman" w:hAnsi="Arial" w:cs="Arial"/>
          <w:sz w:val="24"/>
          <w:szCs w:val="24"/>
          <w:lang w:eastAsia="fr-FR"/>
        </w:rPr>
        <w:t xml:space="preserve">une </w:t>
      </w:r>
      <w:r w:rsidRPr="00745361">
        <w:rPr>
          <w:rFonts w:ascii="Arial" w:eastAsia="Times New Roman" w:hAnsi="Arial" w:cs="Arial"/>
          <w:sz w:val="24"/>
          <w:szCs w:val="24"/>
          <w:lang w:eastAsia="fr-FR"/>
        </w:rPr>
        <w:t>insuffisance</w:t>
      </w:r>
      <w:r w:rsidR="004E11CF">
        <w:rPr>
          <w:rFonts w:ascii="Arial" w:eastAsia="Times New Roman" w:hAnsi="Arial" w:cs="Arial"/>
          <w:sz w:val="24"/>
          <w:szCs w:val="24"/>
          <w:lang w:eastAsia="fr-FR"/>
        </w:rPr>
        <w:t xml:space="preserve"> voire la non </w:t>
      </w:r>
      <w:r w:rsidRPr="00745361">
        <w:rPr>
          <w:rFonts w:ascii="Arial" w:eastAsia="Times New Roman" w:hAnsi="Arial" w:cs="Arial"/>
          <w:sz w:val="24"/>
          <w:szCs w:val="24"/>
          <w:lang w:eastAsia="fr-FR"/>
        </w:rPr>
        <w:t>disponibilité en ressources humaines compétentes</w:t>
      </w:r>
      <w:r w:rsidR="00633F8D">
        <w:rPr>
          <w:rFonts w:ascii="Arial" w:eastAsia="Times New Roman" w:hAnsi="Arial" w:cs="Arial"/>
          <w:sz w:val="24"/>
          <w:szCs w:val="24"/>
          <w:lang w:eastAsia="fr-FR"/>
        </w:rPr>
        <w:t>. Le ministère n’a pas les capacité</w:t>
      </w:r>
      <w:r w:rsidR="004E11CF">
        <w:rPr>
          <w:rFonts w:ascii="Arial" w:eastAsia="Times New Roman" w:hAnsi="Arial" w:cs="Arial"/>
          <w:sz w:val="24"/>
          <w:szCs w:val="24"/>
          <w:lang w:eastAsia="fr-FR"/>
        </w:rPr>
        <w:t>s</w:t>
      </w:r>
      <w:r w:rsidR="00354D10">
        <w:rPr>
          <w:rFonts w:ascii="Arial" w:eastAsia="Times New Roman" w:hAnsi="Arial" w:cs="Arial"/>
          <w:sz w:val="24"/>
          <w:szCs w:val="24"/>
          <w:lang w:eastAsia="fr-FR"/>
        </w:rPr>
        <w:t xml:space="preserve"> </w:t>
      </w:r>
      <w:r w:rsidR="008B5C60" w:rsidRPr="00745361">
        <w:rPr>
          <w:rFonts w:ascii="Arial" w:eastAsia="Times New Roman" w:hAnsi="Arial" w:cs="Arial"/>
          <w:sz w:val="24"/>
          <w:szCs w:val="24"/>
          <w:lang w:eastAsia="fr-FR"/>
        </w:rPr>
        <w:t xml:space="preserve">pour la gestion </w:t>
      </w:r>
      <w:r w:rsidR="008B5C60">
        <w:rPr>
          <w:rFonts w:ascii="Arial" w:eastAsia="Times New Roman" w:hAnsi="Arial" w:cs="Arial"/>
          <w:sz w:val="24"/>
          <w:szCs w:val="24"/>
          <w:lang w:eastAsia="fr-FR"/>
        </w:rPr>
        <w:t>et la maintenance d</w:t>
      </w:r>
      <w:r w:rsidR="00633F8D">
        <w:rPr>
          <w:rFonts w:ascii="Arial" w:eastAsia="Times New Roman" w:hAnsi="Arial" w:cs="Arial"/>
          <w:sz w:val="24"/>
          <w:szCs w:val="24"/>
          <w:lang w:eastAsia="fr-FR"/>
        </w:rPr>
        <w:t xml:space="preserve">’une telle </w:t>
      </w:r>
      <w:r w:rsidR="008B5C60">
        <w:rPr>
          <w:rFonts w:ascii="Arial" w:eastAsia="Times New Roman" w:hAnsi="Arial" w:cs="Arial"/>
          <w:sz w:val="24"/>
          <w:szCs w:val="24"/>
          <w:lang w:eastAsia="fr-FR"/>
        </w:rPr>
        <w:t xml:space="preserve">salle </w:t>
      </w:r>
      <w:r w:rsidR="00354D10" w:rsidRPr="00745361">
        <w:rPr>
          <w:rFonts w:ascii="Arial" w:eastAsia="Times New Roman" w:hAnsi="Arial" w:cs="Arial"/>
          <w:sz w:val="24"/>
          <w:szCs w:val="24"/>
          <w:lang w:eastAsia="fr-FR"/>
        </w:rPr>
        <w:t>(</w:t>
      </w:r>
      <w:r w:rsidR="008B5C60">
        <w:rPr>
          <w:rFonts w:ascii="Arial" w:eastAsia="Times New Roman" w:hAnsi="Arial" w:cs="Arial"/>
          <w:sz w:val="24"/>
          <w:szCs w:val="24"/>
          <w:lang w:eastAsia="fr-FR"/>
        </w:rPr>
        <w:t>besoins d’</w:t>
      </w:r>
      <w:r w:rsidR="00354D10" w:rsidRPr="00745361">
        <w:rPr>
          <w:rFonts w:ascii="Arial" w:eastAsia="Times New Roman" w:hAnsi="Arial" w:cs="Arial"/>
          <w:sz w:val="24"/>
          <w:szCs w:val="24"/>
          <w:lang w:eastAsia="fr-FR"/>
        </w:rPr>
        <w:t>expert</w:t>
      </w:r>
      <w:r w:rsidR="008B5C60">
        <w:rPr>
          <w:rFonts w:ascii="Arial" w:eastAsia="Times New Roman" w:hAnsi="Arial" w:cs="Arial"/>
          <w:sz w:val="24"/>
          <w:szCs w:val="24"/>
          <w:lang w:eastAsia="fr-FR"/>
        </w:rPr>
        <w:t>s</w:t>
      </w:r>
      <w:r w:rsidR="00354D10" w:rsidRPr="00745361">
        <w:rPr>
          <w:rFonts w:ascii="Arial" w:eastAsia="Times New Roman" w:hAnsi="Arial" w:cs="Arial"/>
          <w:sz w:val="24"/>
          <w:szCs w:val="24"/>
          <w:lang w:eastAsia="fr-FR"/>
        </w:rPr>
        <w:t xml:space="preserve"> en connectivité </w:t>
      </w:r>
      <w:r w:rsidR="00354D10">
        <w:rPr>
          <w:rFonts w:ascii="Arial" w:eastAsia="Times New Roman" w:hAnsi="Arial" w:cs="Arial"/>
          <w:sz w:val="24"/>
          <w:szCs w:val="24"/>
          <w:lang w:eastAsia="fr-FR"/>
        </w:rPr>
        <w:t>D</w:t>
      </w:r>
      <w:r w:rsidR="00354D10" w:rsidRPr="00745361">
        <w:rPr>
          <w:rFonts w:ascii="Arial" w:eastAsia="Times New Roman" w:hAnsi="Arial" w:cs="Arial"/>
          <w:sz w:val="24"/>
          <w:szCs w:val="24"/>
          <w:lang w:eastAsia="fr-FR"/>
        </w:rPr>
        <w:t xml:space="preserve">ata </w:t>
      </w:r>
      <w:r w:rsidR="00686AF0">
        <w:rPr>
          <w:rFonts w:ascii="Arial" w:eastAsia="Times New Roman" w:hAnsi="Arial" w:cs="Arial"/>
          <w:sz w:val="24"/>
          <w:szCs w:val="24"/>
          <w:lang w:eastAsia="fr-FR"/>
        </w:rPr>
        <w:t>C</w:t>
      </w:r>
      <w:r w:rsidR="00354D10" w:rsidRPr="00745361">
        <w:rPr>
          <w:rFonts w:ascii="Arial" w:eastAsia="Times New Roman" w:hAnsi="Arial" w:cs="Arial"/>
          <w:sz w:val="24"/>
          <w:szCs w:val="24"/>
          <w:lang w:eastAsia="fr-FR"/>
        </w:rPr>
        <w:t>enter</w:t>
      </w:r>
      <w:r w:rsidR="008B5C60">
        <w:rPr>
          <w:rFonts w:ascii="Arial" w:eastAsia="Times New Roman" w:hAnsi="Arial" w:cs="Arial"/>
          <w:sz w:val="24"/>
          <w:szCs w:val="24"/>
          <w:lang w:eastAsia="fr-FR"/>
        </w:rPr>
        <w:t>, en</w:t>
      </w:r>
      <w:r w:rsidR="00354D10" w:rsidRPr="00745361">
        <w:rPr>
          <w:rFonts w:ascii="Arial" w:eastAsia="Times New Roman" w:hAnsi="Arial" w:cs="Arial"/>
          <w:sz w:val="24"/>
          <w:szCs w:val="24"/>
          <w:lang w:eastAsia="fr-FR"/>
        </w:rPr>
        <w:t xml:space="preserve"> informatique</w:t>
      </w:r>
      <w:r w:rsidR="004E11CF">
        <w:rPr>
          <w:rFonts w:ascii="Arial" w:eastAsia="Times New Roman" w:hAnsi="Arial" w:cs="Arial"/>
          <w:sz w:val="24"/>
          <w:szCs w:val="24"/>
          <w:lang w:eastAsia="fr-FR"/>
        </w:rPr>
        <w:t>,</w:t>
      </w:r>
      <w:r w:rsidR="00354D10" w:rsidRPr="00745361">
        <w:rPr>
          <w:rFonts w:ascii="Arial" w:eastAsia="Times New Roman" w:hAnsi="Arial" w:cs="Arial"/>
          <w:sz w:val="24"/>
          <w:szCs w:val="24"/>
          <w:lang w:eastAsia="fr-FR"/>
        </w:rPr>
        <w:t xml:space="preserve"> en gestion de données de cloud et colocation ; un web architecte Cloud</w:t>
      </w:r>
      <w:r w:rsidR="00354D10">
        <w:rPr>
          <w:rFonts w:ascii="Arial" w:eastAsia="Times New Roman" w:hAnsi="Arial" w:cs="Arial"/>
          <w:sz w:val="24"/>
          <w:szCs w:val="24"/>
          <w:lang w:eastAsia="fr-FR"/>
        </w:rPr>
        <w:t> ;</w:t>
      </w:r>
      <w:r w:rsidR="00354D10" w:rsidRPr="00745361">
        <w:rPr>
          <w:rFonts w:ascii="Arial" w:eastAsia="Times New Roman" w:hAnsi="Arial" w:cs="Arial"/>
          <w:sz w:val="24"/>
          <w:szCs w:val="24"/>
          <w:lang w:eastAsia="fr-FR"/>
        </w:rPr>
        <w:t xml:space="preserve"> une compétence avancée en sécurité cloud…)</w:t>
      </w:r>
      <w:r w:rsidR="00354D10">
        <w:rPr>
          <w:rFonts w:ascii="Arial" w:eastAsia="Times New Roman" w:hAnsi="Arial" w:cs="Arial"/>
          <w:sz w:val="24"/>
          <w:szCs w:val="24"/>
          <w:lang w:eastAsia="fr-FR"/>
        </w:rPr>
        <w:t xml:space="preserve">. </w:t>
      </w:r>
      <w:r w:rsidRPr="00745361">
        <w:rPr>
          <w:rFonts w:ascii="Arial" w:eastAsia="Times New Roman" w:hAnsi="Arial" w:cs="Arial"/>
          <w:sz w:val="24"/>
          <w:szCs w:val="24"/>
          <w:lang w:eastAsia="fr-FR"/>
        </w:rPr>
        <w:t>Cependant</w:t>
      </w:r>
      <w:r w:rsidR="00686AF0">
        <w:rPr>
          <w:rFonts w:ascii="Arial" w:eastAsia="Times New Roman" w:hAnsi="Arial" w:cs="Arial"/>
          <w:sz w:val="24"/>
          <w:szCs w:val="24"/>
          <w:lang w:eastAsia="fr-FR"/>
        </w:rPr>
        <w:t xml:space="preserve">, </w:t>
      </w:r>
      <w:r w:rsidRPr="00745361">
        <w:rPr>
          <w:rFonts w:ascii="Arial" w:eastAsia="Times New Roman" w:hAnsi="Arial" w:cs="Arial"/>
          <w:sz w:val="24"/>
          <w:szCs w:val="24"/>
          <w:lang w:eastAsia="fr-FR"/>
        </w:rPr>
        <w:t>d’autres structures</w:t>
      </w:r>
      <w:r w:rsidR="00354D10">
        <w:rPr>
          <w:rFonts w:ascii="Arial" w:eastAsia="Times New Roman" w:hAnsi="Arial" w:cs="Arial"/>
          <w:sz w:val="24"/>
          <w:szCs w:val="24"/>
          <w:lang w:eastAsia="fr-FR"/>
        </w:rPr>
        <w:t xml:space="preserve"> nationales disposent déjà d’infrastructures adéquates et de ressources humaines qualifiées qui peuvent être</w:t>
      </w:r>
      <w:r w:rsidRPr="00745361">
        <w:rPr>
          <w:rFonts w:ascii="Arial" w:eastAsia="Times New Roman" w:hAnsi="Arial" w:cs="Arial"/>
          <w:sz w:val="24"/>
          <w:szCs w:val="24"/>
          <w:lang w:eastAsia="fr-FR"/>
        </w:rPr>
        <w:t xml:space="preserve"> mis</w:t>
      </w:r>
      <w:r w:rsidR="00686AF0">
        <w:rPr>
          <w:rFonts w:ascii="Arial" w:eastAsia="Times New Roman" w:hAnsi="Arial" w:cs="Arial"/>
          <w:sz w:val="24"/>
          <w:szCs w:val="24"/>
          <w:lang w:eastAsia="fr-FR"/>
        </w:rPr>
        <w:t>es</w:t>
      </w:r>
      <w:r w:rsidRPr="00745361">
        <w:rPr>
          <w:rFonts w:ascii="Arial" w:eastAsia="Times New Roman" w:hAnsi="Arial" w:cs="Arial"/>
          <w:sz w:val="24"/>
          <w:szCs w:val="24"/>
          <w:lang w:eastAsia="fr-FR"/>
        </w:rPr>
        <w:t xml:space="preserve"> à contribution </w:t>
      </w:r>
      <w:r w:rsidR="00354D10">
        <w:rPr>
          <w:rFonts w:ascii="Arial" w:eastAsia="Times New Roman" w:hAnsi="Arial" w:cs="Arial"/>
          <w:sz w:val="24"/>
          <w:szCs w:val="24"/>
          <w:lang w:eastAsia="fr-FR"/>
        </w:rPr>
        <w:t xml:space="preserve">au profit du ministère de la santé pour </w:t>
      </w:r>
      <w:r w:rsidRPr="00745361">
        <w:rPr>
          <w:rFonts w:ascii="Arial" w:eastAsia="Times New Roman" w:hAnsi="Arial" w:cs="Arial"/>
          <w:sz w:val="24"/>
          <w:szCs w:val="24"/>
          <w:lang w:eastAsia="fr-FR"/>
        </w:rPr>
        <w:t xml:space="preserve">améliorer la disponibilité des données de santé. </w:t>
      </w:r>
      <w:r w:rsidR="00354D10" w:rsidRPr="00745361">
        <w:rPr>
          <w:rFonts w:ascii="Arial" w:eastAsia="Times New Roman" w:hAnsi="Arial" w:cs="Arial"/>
          <w:sz w:val="24"/>
          <w:szCs w:val="24"/>
          <w:lang w:eastAsia="fr-FR"/>
        </w:rPr>
        <w:t>Le tableau</w:t>
      </w:r>
      <w:r w:rsidR="00354D10">
        <w:rPr>
          <w:rFonts w:ascii="Arial" w:eastAsia="Times New Roman" w:hAnsi="Arial" w:cs="Arial"/>
          <w:sz w:val="24"/>
          <w:szCs w:val="24"/>
          <w:lang w:eastAsia="fr-FR"/>
        </w:rPr>
        <w:t xml:space="preserve"> 5 ci-dessous</w:t>
      </w:r>
      <w:r w:rsidR="00354D10" w:rsidRPr="00745361">
        <w:rPr>
          <w:rFonts w:ascii="Arial" w:eastAsia="Times New Roman" w:hAnsi="Arial" w:cs="Arial"/>
          <w:sz w:val="24"/>
          <w:szCs w:val="24"/>
          <w:lang w:eastAsia="fr-FR"/>
        </w:rPr>
        <w:t xml:space="preserve"> donne la </w:t>
      </w:r>
      <w:r w:rsidR="00354D10">
        <w:rPr>
          <w:rFonts w:ascii="Arial" w:eastAsia="Times New Roman" w:hAnsi="Arial" w:cs="Arial"/>
          <w:sz w:val="24"/>
          <w:szCs w:val="24"/>
          <w:lang w:eastAsia="fr-FR"/>
        </w:rPr>
        <w:t xml:space="preserve">cartographie comparative des structures nationales qui disposent de Data </w:t>
      </w:r>
      <w:r w:rsidR="008B5C60">
        <w:rPr>
          <w:rFonts w:ascii="Arial" w:eastAsia="Times New Roman" w:hAnsi="Arial" w:cs="Arial"/>
          <w:sz w:val="24"/>
          <w:szCs w:val="24"/>
          <w:lang w:eastAsia="fr-FR"/>
        </w:rPr>
        <w:t>C</w:t>
      </w:r>
      <w:r w:rsidR="00354D10">
        <w:rPr>
          <w:rFonts w:ascii="Arial" w:eastAsia="Times New Roman" w:hAnsi="Arial" w:cs="Arial"/>
          <w:sz w:val="24"/>
          <w:szCs w:val="24"/>
          <w:lang w:eastAsia="fr-FR"/>
        </w:rPr>
        <w:t>enter susceptible d’être utilisé pour l’</w:t>
      </w:r>
      <w:r w:rsidR="00E2434B">
        <w:rPr>
          <w:rFonts w:ascii="Arial" w:eastAsia="Times New Roman" w:hAnsi="Arial" w:cs="Arial"/>
          <w:sz w:val="24"/>
          <w:szCs w:val="24"/>
          <w:lang w:eastAsia="fr-FR"/>
        </w:rPr>
        <w:t>hébergement</w:t>
      </w:r>
      <w:r w:rsidR="00354D10">
        <w:rPr>
          <w:rFonts w:ascii="Arial" w:eastAsia="Times New Roman" w:hAnsi="Arial" w:cs="Arial"/>
          <w:sz w:val="24"/>
          <w:szCs w:val="24"/>
          <w:lang w:eastAsia="fr-FR"/>
        </w:rPr>
        <w:t xml:space="preserve"> des données de santé. </w:t>
      </w:r>
      <w:r w:rsidR="00354D10" w:rsidRPr="00745361">
        <w:rPr>
          <w:rFonts w:ascii="Arial" w:eastAsia="Times New Roman" w:hAnsi="Arial" w:cs="Arial"/>
          <w:sz w:val="24"/>
          <w:szCs w:val="24"/>
          <w:lang w:eastAsia="fr-FR"/>
        </w:rPr>
        <w:t xml:space="preserve"> </w:t>
      </w:r>
    </w:p>
    <w:p w14:paraId="45B7B0F9" w14:textId="39EB7B6C" w:rsidR="00354D10" w:rsidRPr="00354D10" w:rsidRDefault="00354D10" w:rsidP="00B51B97">
      <w:pPr>
        <w:pStyle w:val="Caption"/>
        <w:keepNext/>
        <w:jc w:val="center"/>
        <w:rPr>
          <w:rFonts w:ascii="Arial" w:hAnsi="Arial" w:cs="Arial"/>
          <w:sz w:val="24"/>
          <w:szCs w:val="24"/>
        </w:rPr>
      </w:pPr>
      <w:bookmarkStart w:id="22" w:name="_Toc99467007"/>
      <w:r w:rsidRPr="00354D10">
        <w:rPr>
          <w:rFonts w:ascii="Arial" w:hAnsi="Arial" w:cs="Arial"/>
          <w:sz w:val="24"/>
          <w:szCs w:val="24"/>
        </w:rPr>
        <w:lastRenderedPageBreak/>
        <w:t xml:space="preserve">Tableau </w:t>
      </w:r>
      <w:r w:rsidRPr="00354D10">
        <w:rPr>
          <w:rFonts w:ascii="Arial" w:hAnsi="Arial" w:cs="Arial"/>
          <w:sz w:val="24"/>
          <w:szCs w:val="24"/>
        </w:rPr>
        <w:fldChar w:fldCharType="begin"/>
      </w:r>
      <w:r w:rsidRPr="00354D10">
        <w:rPr>
          <w:rFonts w:ascii="Arial" w:hAnsi="Arial" w:cs="Arial"/>
          <w:sz w:val="24"/>
          <w:szCs w:val="24"/>
        </w:rPr>
        <w:instrText xml:space="preserve"> SEQ Tableau \* ARABIC </w:instrText>
      </w:r>
      <w:r w:rsidRPr="00354D10">
        <w:rPr>
          <w:rFonts w:ascii="Arial" w:hAnsi="Arial" w:cs="Arial"/>
          <w:sz w:val="24"/>
          <w:szCs w:val="24"/>
        </w:rPr>
        <w:fldChar w:fldCharType="separate"/>
      </w:r>
      <w:r w:rsidR="00A45512">
        <w:rPr>
          <w:rFonts w:ascii="Arial" w:hAnsi="Arial" w:cs="Arial"/>
          <w:noProof/>
          <w:sz w:val="24"/>
          <w:szCs w:val="24"/>
        </w:rPr>
        <w:t>4</w:t>
      </w:r>
      <w:r w:rsidRPr="00354D10">
        <w:rPr>
          <w:rFonts w:ascii="Arial" w:hAnsi="Arial" w:cs="Arial"/>
          <w:sz w:val="24"/>
          <w:szCs w:val="24"/>
        </w:rPr>
        <w:fldChar w:fldCharType="end"/>
      </w:r>
      <w:r w:rsidRPr="00354D10">
        <w:rPr>
          <w:rFonts w:ascii="Arial" w:hAnsi="Arial" w:cs="Arial"/>
          <w:sz w:val="24"/>
          <w:szCs w:val="24"/>
        </w:rPr>
        <w:t> :  Analyse de la disponibilité en infrastructure</w:t>
      </w:r>
      <w:r w:rsidR="00B51B97">
        <w:rPr>
          <w:rFonts w:ascii="Arial" w:hAnsi="Arial" w:cs="Arial"/>
          <w:sz w:val="24"/>
          <w:szCs w:val="24"/>
        </w:rPr>
        <w:t>s, équipements</w:t>
      </w:r>
      <w:r w:rsidRPr="00354D10">
        <w:rPr>
          <w:rFonts w:ascii="Arial" w:hAnsi="Arial" w:cs="Arial"/>
          <w:sz w:val="24"/>
          <w:szCs w:val="24"/>
        </w:rPr>
        <w:t xml:space="preserve"> </w:t>
      </w:r>
      <w:r w:rsidR="00B51B97">
        <w:rPr>
          <w:rFonts w:ascii="Arial" w:hAnsi="Arial" w:cs="Arial"/>
          <w:sz w:val="24"/>
          <w:szCs w:val="24"/>
        </w:rPr>
        <w:t xml:space="preserve">et </w:t>
      </w:r>
      <w:r w:rsidRPr="00354D10">
        <w:rPr>
          <w:rFonts w:ascii="Arial" w:hAnsi="Arial" w:cs="Arial"/>
          <w:sz w:val="24"/>
          <w:szCs w:val="24"/>
        </w:rPr>
        <w:t>ressource</w:t>
      </w:r>
      <w:r w:rsidR="00B51B97">
        <w:rPr>
          <w:rFonts w:ascii="Arial" w:hAnsi="Arial" w:cs="Arial"/>
          <w:sz w:val="24"/>
          <w:szCs w:val="24"/>
        </w:rPr>
        <w:t>s</w:t>
      </w:r>
      <w:r w:rsidRPr="00354D10">
        <w:rPr>
          <w:rFonts w:ascii="Arial" w:hAnsi="Arial" w:cs="Arial"/>
          <w:sz w:val="24"/>
          <w:szCs w:val="24"/>
        </w:rPr>
        <w:t xml:space="preserve"> humaine</w:t>
      </w:r>
      <w:r w:rsidR="00B51B97">
        <w:rPr>
          <w:rFonts w:ascii="Arial" w:hAnsi="Arial" w:cs="Arial"/>
          <w:sz w:val="24"/>
          <w:szCs w:val="24"/>
        </w:rPr>
        <w:t>s adéquate</w:t>
      </w:r>
      <w:r w:rsidR="00686AF0">
        <w:rPr>
          <w:rFonts w:ascii="Arial" w:hAnsi="Arial" w:cs="Arial"/>
          <w:sz w:val="24"/>
          <w:szCs w:val="24"/>
        </w:rPr>
        <w:t>s</w:t>
      </w:r>
      <w:r w:rsidR="00B51B97">
        <w:rPr>
          <w:rFonts w:ascii="Arial" w:hAnsi="Arial" w:cs="Arial"/>
          <w:sz w:val="24"/>
          <w:szCs w:val="24"/>
        </w:rPr>
        <w:t xml:space="preserve"> en </w:t>
      </w:r>
      <w:r w:rsidR="008B5C60">
        <w:rPr>
          <w:rFonts w:ascii="Arial" w:hAnsi="Arial" w:cs="Arial"/>
          <w:sz w:val="24"/>
          <w:szCs w:val="24"/>
        </w:rPr>
        <w:t>D</w:t>
      </w:r>
      <w:r w:rsidRPr="00354D10">
        <w:rPr>
          <w:rFonts w:ascii="Arial" w:hAnsi="Arial" w:cs="Arial"/>
          <w:sz w:val="24"/>
          <w:szCs w:val="24"/>
        </w:rPr>
        <w:t xml:space="preserve">ata </w:t>
      </w:r>
      <w:r w:rsidR="008B5C60">
        <w:rPr>
          <w:rFonts w:ascii="Arial" w:hAnsi="Arial" w:cs="Arial"/>
          <w:sz w:val="24"/>
          <w:szCs w:val="24"/>
        </w:rPr>
        <w:t>C</w:t>
      </w:r>
      <w:r w:rsidRPr="00354D10">
        <w:rPr>
          <w:rFonts w:ascii="Arial" w:hAnsi="Arial" w:cs="Arial"/>
          <w:sz w:val="24"/>
          <w:szCs w:val="24"/>
        </w:rPr>
        <w:t>enter</w:t>
      </w:r>
      <w:bookmarkEnd w:id="22"/>
    </w:p>
    <w:tbl>
      <w:tblPr>
        <w:tblStyle w:val="TableGrid"/>
        <w:tblW w:w="5686" w:type="pct"/>
        <w:tblInd w:w="-714" w:type="dxa"/>
        <w:tblLook w:val="04A0" w:firstRow="1" w:lastRow="0" w:firstColumn="1" w:lastColumn="0" w:noHBand="0" w:noVBand="1"/>
      </w:tblPr>
      <w:tblGrid>
        <w:gridCol w:w="2730"/>
        <w:gridCol w:w="2040"/>
        <w:gridCol w:w="1723"/>
        <w:gridCol w:w="1728"/>
        <w:gridCol w:w="2084"/>
      </w:tblGrid>
      <w:tr w:rsidR="00354D10" w:rsidRPr="00354D10" w14:paraId="20F69716" w14:textId="77777777" w:rsidTr="00EC285A">
        <w:tc>
          <w:tcPr>
            <w:tcW w:w="1334" w:type="pct"/>
          </w:tcPr>
          <w:p w14:paraId="330D2756" w14:textId="77777777" w:rsidR="00354D10" w:rsidRPr="00354D10" w:rsidRDefault="00354D10" w:rsidP="00EC285A">
            <w:pPr>
              <w:rPr>
                <w:rFonts w:ascii="Arial" w:hAnsi="Arial" w:cs="Arial"/>
                <w:b/>
                <w:bCs/>
                <w:sz w:val="24"/>
                <w:szCs w:val="24"/>
              </w:rPr>
            </w:pPr>
            <w:r w:rsidRPr="00354D10">
              <w:rPr>
                <w:rFonts w:ascii="Arial" w:hAnsi="Arial" w:cs="Arial"/>
                <w:b/>
                <w:bCs/>
                <w:sz w:val="24"/>
                <w:szCs w:val="24"/>
              </w:rPr>
              <w:t>Structures/ départements ministériels</w:t>
            </w:r>
          </w:p>
        </w:tc>
        <w:tc>
          <w:tcPr>
            <w:tcW w:w="999" w:type="pct"/>
          </w:tcPr>
          <w:p w14:paraId="1AAAD0C8" w14:textId="093D6EAA" w:rsidR="00354D10" w:rsidRPr="00354D10" w:rsidRDefault="00354D10" w:rsidP="00EC285A">
            <w:pPr>
              <w:rPr>
                <w:rFonts w:ascii="Arial" w:hAnsi="Arial" w:cs="Arial"/>
                <w:b/>
                <w:bCs/>
                <w:sz w:val="24"/>
                <w:szCs w:val="24"/>
              </w:rPr>
            </w:pPr>
            <w:r w:rsidRPr="00354D10">
              <w:rPr>
                <w:rFonts w:ascii="Arial" w:hAnsi="Arial" w:cs="Arial"/>
                <w:b/>
                <w:bCs/>
                <w:sz w:val="24"/>
                <w:szCs w:val="24"/>
              </w:rPr>
              <w:t>Disponibilité d’une infrastructure physique</w:t>
            </w:r>
            <w:r w:rsidR="00B51B97">
              <w:rPr>
                <w:rFonts w:ascii="Arial" w:hAnsi="Arial" w:cs="Arial"/>
                <w:b/>
                <w:bCs/>
                <w:sz w:val="24"/>
                <w:szCs w:val="24"/>
              </w:rPr>
              <w:t xml:space="preserve"> adéquate</w:t>
            </w:r>
          </w:p>
        </w:tc>
        <w:tc>
          <w:tcPr>
            <w:tcW w:w="800" w:type="pct"/>
          </w:tcPr>
          <w:p w14:paraId="26184786" w14:textId="16DDA43E" w:rsidR="00354D10" w:rsidRPr="00354D10" w:rsidRDefault="00B51B97" w:rsidP="00EC285A">
            <w:pPr>
              <w:rPr>
                <w:rFonts w:ascii="Arial" w:hAnsi="Arial" w:cs="Arial"/>
                <w:b/>
                <w:bCs/>
                <w:sz w:val="24"/>
                <w:szCs w:val="24"/>
              </w:rPr>
            </w:pPr>
            <w:r>
              <w:rPr>
                <w:rFonts w:ascii="Arial" w:hAnsi="Arial" w:cs="Arial"/>
                <w:b/>
                <w:bCs/>
                <w:sz w:val="24"/>
                <w:szCs w:val="24"/>
              </w:rPr>
              <w:t>Équipements</w:t>
            </w:r>
            <w:r w:rsidR="00354D10" w:rsidRPr="00354D10">
              <w:rPr>
                <w:rFonts w:ascii="Arial" w:hAnsi="Arial" w:cs="Arial"/>
                <w:b/>
                <w:bCs/>
                <w:sz w:val="24"/>
                <w:szCs w:val="24"/>
              </w:rPr>
              <w:t xml:space="preserve"> fonctionnel</w:t>
            </w:r>
            <w:r>
              <w:rPr>
                <w:rFonts w:ascii="Arial" w:hAnsi="Arial" w:cs="Arial"/>
                <w:b/>
                <w:bCs/>
                <w:sz w:val="24"/>
                <w:szCs w:val="24"/>
              </w:rPr>
              <w:t>s</w:t>
            </w:r>
            <w:r w:rsidR="00354D10" w:rsidRPr="00354D10">
              <w:rPr>
                <w:rFonts w:ascii="Arial" w:hAnsi="Arial" w:cs="Arial"/>
                <w:b/>
                <w:bCs/>
                <w:sz w:val="24"/>
                <w:szCs w:val="24"/>
              </w:rPr>
              <w:t xml:space="preserve"> pour un </w:t>
            </w:r>
            <w:proofErr w:type="spellStart"/>
            <w:r w:rsidR="00686AF0">
              <w:rPr>
                <w:rFonts w:ascii="Arial" w:hAnsi="Arial" w:cs="Arial"/>
                <w:b/>
                <w:bCs/>
                <w:sz w:val="24"/>
                <w:szCs w:val="24"/>
              </w:rPr>
              <w:t>D</w:t>
            </w:r>
            <w:r w:rsidR="00354D10" w:rsidRPr="00354D10">
              <w:rPr>
                <w:rFonts w:ascii="Arial" w:hAnsi="Arial" w:cs="Arial"/>
                <w:b/>
                <w:bCs/>
                <w:sz w:val="24"/>
                <w:szCs w:val="24"/>
              </w:rPr>
              <w:t>ata</w:t>
            </w:r>
            <w:r w:rsidR="00686AF0">
              <w:rPr>
                <w:rFonts w:ascii="Arial" w:hAnsi="Arial" w:cs="Arial"/>
                <w:b/>
                <w:bCs/>
                <w:sz w:val="24"/>
                <w:szCs w:val="24"/>
              </w:rPr>
              <w:t>C</w:t>
            </w:r>
            <w:proofErr w:type="spellEnd"/>
          </w:p>
        </w:tc>
        <w:tc>
          <w:tcPr>
            <w:tcW w:w="847" w:type="pct"/>
          </w:tcPr>
          <w:p w14:paraId="0C7CA25F" w14:textId="0E9D56C8" w:rsidR="00354D10" w:rsidRPr="00354D10" w:rsidRDefault="00354D10" w:rsidP="00EC285A">
            <w:pPr>
              <w:rPr>
                <w:rFonts w:ascii="Arial" w:hAnsi="Arial" w:cs="Arial"/>
                <w:b/>
                <w:bCs/>
                <w:sz w:val="24"/>
                <w:szCs w:val="24"/>
              </w:rPr>
            </w:pPr>
            <w:r w:rsidRPr="00354D10">
              <w:rPr>
                <w:rFonts w:ascii="Arial" w:hAnsi="Arial" w:cs="Arial"/>
                <w:b/>
                <w:bCs/>
                <w:sz w:val="24"/>
                <w:szCs w:val="24"/>
              </w:rPr>
              <w:t>Disponibilité de ressources humaines compétente</w:t>
            </w:r>
            <w:r w:rsidR="00B51B97">
              <w:rPr>
                <w:rFonts w:ascii="Arial" w:hAnsi="Arial" w:cs="Arial"/>
                <w:b/>
                <w:bCs/>
                <w:sz w:val="24"/>
                <w:szCs w:val="24"/>
              </w:rPr>
              <w:t>s</w:t>
            </w:r>
            <w:r w:rsidRPr="00354D10">
              <w:rPr>
                <w:rFonts w:ascii="Arial" w:hAnsi="Arial" w:cs="Arial"/>
                <w:b/>
                <w:bCs/>
                <w:sz w:val="24"/>
                <w:szCs w:val="24"/>
              </w:rPr>
              <w:t xml:space="preserve"> </w:t>
            </w:r>
          </w:p>
        </w:tc>
        <w:tc>
          <w:tcPr>
            <w:tcW w:w="1020" w:type="pct"/>
          </w:tcPr>
          <w:p w14:paraId="246DBCF4" w14:textId="77777777" w:rsidR="00354D10" w:rsidRPr="00354D10" w:rsidRDefault="00354D10" w:rsidP="00EC285A">
            <w:pPr>
              <w:rPr>
                <w:rFonts w:ascii="Arial" w:hAnsi="Arial" w:cs="Arial"/>
                <w:b/>
                <w:bCs/>
                <w:sz w:val="24"/>
                <w:szCs w:val="24"/>
              </w:rPr>
            </w:pPr>
            <w:r w:rsidRPr="00354D10">
              <w:rPr>
                <w:rFonts w:ascii="Arial" w:hAnsi="Arial" w:cs="Arial"/>
                <w:b/>
                <w:bCs/>
                <w:sz w:val="24"/>
                <w:szCs w:val="24"/>
              </w:rPr>
              <w:t xml:space="preserve">Hébergement de données de santé actuellement </w:t>
            </w:r>
          </w:p>
        </w:tc>
      </w:tr>
      <w:tr w:rsidR="00354D10" w:rsidRPr="00354D10" w14:paraId="2568934E" w14:textId="77777777" w:rsidTr="00EC285A">
        <w:tc>
          <w:tcPr>
            <w:tcW w:w="1334" w:type="pct"/>
          </w:tcPr>
          <w:p w14:paraId="2F0EF48B" w14:textId="77777777" w:rsidR="00354D10" w:rsidRPr="00354D10" w:rsidRDefault="00354D10" w:rsidP="00EC285A">
            <w:pPr>
              <w:rPr>
                <w:rFonts w:ascii="Arial" w:hAnsi="Arial" w:cs="Arial"/>
                <w:sz w:val="24"/>
                <w:szCs w:val="24"/>
              </w:rPr>
            </w:pPr>
            <w:r w:rsidRPr="00354D10">
              <w:rPr>
                <w:rFonts w:ascii="Arial" w:hAnsi="Arial" w:cs="Arial"/>
                <w:sz w:val="24"/>
                <w:szCs w:val="24"/>
              </w:rPr>
              <w:t>Ministère de la santé</w:t>
            </w:r>
          </w:p>
        </w:tc>
        <w:tc>
          <w:tcPr>
            <w:tcW w:w="999" w:type="pct"/>
          </w:tcPr>
          <w:p w14:paraId="6BC85242"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c>
          <w:tcPr>
            <w:tcW w:w="800" w:type="pct"/>
          </w:tcPr>
          <w:p w14:paraId="7F089F0A" w14:textId="77777777" w:rsidR="00354D10" w:rsidRPr="00354D10" w:rsidRDefault="00354D10" w:rsidP="00EC285A">
            <w:pPr>
              <w:rPr>
                <w:rFonts w:ascii="Arial" w:hAnsi="Arial" w:cs="Arial"/>
                <w:sz w:val="24"/>
                <w:szCs w:val="24"/>
              </w:rPr>
            </w:pPr>
            <w:r w:rsidRPr="00354D10">
              <w:rPr>
                <w:rFonts w:ascii="Arial" w:hAnsi="Arial" w:cs="Arial"/>
                <w:sz w:val="24"/>
                <w:szCs w:val="24"/>
              </w:rPr>
              <w:t>-</w:t>
            </w:r>
          </w:p>
        </w:tc>
        <w:tc>
          <w:tcPr>
            <w:tcW w:w="847" w:type="pct"/>
          </w:tcPr>
          <w:p w14:paraId="08CA4696"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c>
          <w:tcPr>
            <w:tcW w:w="1020" w:type="pct"/>
          </w:tcPr>
          <w:p w14:paraId="53029706"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r>
      <w:tr w:rsidR="00354D10" w:rsidRPr="00354D10" w14:paraId="513DEBE6" w14:textId="77777777" w:rsidTr="00EC285A">
        <w:tc>
          <w:tcPr>
            <w:tcW w:w="1334" w:type="pct"/>
          </w:tcPr>
          <w:p w14:paraId="37E7CDCF" w14:textId="77777777" w:rsidR="00354D10" w:rsidRPr="00354D10" w:rsidRDefault="00354D10" w:rsidP="00EC285A">
            <w:pPr>
              <w:rPr>
                <w:rFonts w:ascii="Arial" w:hAnsi="Arial" w:cs="Arial"/>
                <w:sz w:val="24"/>
                <w:szCs w:val="24"/>
              </w:rPr>
            </w:pPr>
            <w:r w:rsidRPr="00354D10">
              <w:rPr>
                <w:rFonts w:ascii="Arial" w:hAnsi="Arial" w:cs="Arial"/>
                <w:sz w:val="24"/>
                <w:szCs w:val="24"/>
              </w:rPr>
              <w:t>Guinéenne de la fibre (GUILAB)</w:t>
            </w:r>
          </w:p>
        </w:tc>
        <w:tc>
          <w:tcPr>
            <w:tcW w:w="999" w:type="pct"/>
          </w:tcPr>
          <w:p w14:paraId="52CF5A0F"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800" w:type="pct"/>
          </w:tcPr>
          <w:p w14:paraId="77BEE5CF"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847" w:type="pct"/>
          </w:tcPr>
          <w:p w14:paraId="718339C5"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1020" w:type="pct"/>
          </w:tcPr>
          <w:p w14:paraId="524C3945"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r>
      <w:tr w:rsidR="00354D10" w:rsidRPr="00354D10" w14:paraId="2DAF0843" w14:textId="77777777" w:rsidTr="00EC285A">
        <w:tc>
          <w:tcPr>
            <w:tcW w:w="1334" w:type="pct"/>
          </w:tcPr>
          <w:p w14:paraId="4F8FBC9B" w14:textId="77777777" w:rsidR="00354D10" w:rsidRPr="00354D10" w:rsidRDefault="00354D10" w:rsidP="00EC285A">
            <w:pPr>
              <w:rPr>
                <w:rFonts w:ascii="Arial" w:hAnsi="Arial" w:cs="Arial"/>
                <w:sz w:val="24"/>
                <w:szCs w:val="24"/>
              </w:rPr>
            </w:pPr>
            <w:r w:rsidRPr="00354D10">
              <w:rPr>
                <w:rFonts w:ascii="Arial" w:hAnsi="Arial" w:cs="Arial"/>
                <w:sz w:val="24"/>
                <w:szCs w:val="24"/>
              </w:rPr>
              <w:t>SOGEB</w:t>
            </w:r>
          </w:p>
        </w:tc>
        <w:tc>
          <w:tcPr>
            <w:tcW w:w="999" w:type="pct"/>
          </w:tcPr>
          <w:p w14:paraId="58436F48"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800" w:type="pct"/>
          </w:tcPr>
          <w:p w14:paraId="2E11095B"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c>
          <w:tcPr>
            <w:tcW w:w="847" w:type="pct"/>
          </w:tcPr>
          <w:p w14:paraId="5EA0A69F"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1020" w:type="pct"/>
          </w:tcPr>
          <w:p w14:paraId="5425154D"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r>
      <w:tr w:rsidR="00354D10" w:rsidRPr="00354D10" w14:paraId="339E07AA" w14:textId="77777777" w:rsidTr="00900412">
        <w:tc>
          <w:tcPr>
            <w:tcW w:w="1334" w:type="pct"/>
            <w:shd w:val="clear" w:color="auto" w:fill="C5E0B3" w:themeFill="accent6" w:themeFillTint="66"/>
          </w:tcPr>
          <w:p w14:paraId="2EDCAB49" w14:textId="77777777" w:rsidR="00354D10" w:rsidRPr="008B5C60" w:rsidRDefault="00354D10" w:rsidP="00EC285A">
            <w:pPr>
              <w:rPr>
                <w:rFonts w:ascii="Arial" w:hAnsi="Arial" w:cs="Arial"/>
                <w:sz w:val="24"/>
                <w:szCs w:val="24"/>
              </w:rPr>
            </w:pPr>
            <w:r w:rsidRPr="008B5C60">
              <w:rPr>
                <w:rFonts w:ascii="Arial" w:hAnsi="Arial" w:cs="Arial"/>
                <w:sz w:val="24"/>
                <w:szCs w:val="24"/>
              </w:rPr>
              <w:t>ARTP</w:t>
            </w:r>
          </w:p>
        </w:tc>
        <w:tc>
          <w:tcPr>
            <w:tcW w:w="999" w:type="pct"/>
            <w:shd w:val="clear" w:color="auto" w:fill="C5E0B3" w:themeFill="accent6" w:themeFillTint="66"/>
          </w:tcPr>
          <w:p w14:paraId="62A3EB28" w14:textId="77777777" w:rsidR="00354D10" w:rsidRPr="008B5C60" w:rsidRDefault="00354D10" w:rsidP="00EC285A">
            <w:pPr>
              <w:rPr>
                <w:rFonts w:ascii="Arial" w:hAnsi="Arial" w:cs="Arial"/>
                <w:sz w:val="24"/>
                <w:szCs w:val="24"/>
              </w:rPr>
            </w:pPr>
            <w:r w:rsidRPr="008B5C60">
              <w:rPr>
                <w:rFonts w:ascii="Arial" w:hAnsi="Arial" w:cs="Arial"/>
                <w:sz w:val="24"/>
                <w:szCs w:val="24"/>
              </w:rPr>
              <w:t>Oui</w:t>
            </w:r>
          </w:p>
        </w:tc>
        <w:tc>
          <w:tcPr>
            <w:tcW w:w="800" w:type="pct"/>
            <w:shd w:val="clear" w:color="auto" w:fill="C5E0B3" w:themeFill="accent6" w:themeFillTint="66"/>
          </w:tcPr>
          <w:p w14:paraId="45813CFD" w14:textId="77777777" w:rsidR="00354D10" w:rsidRPr="008B5C60" w:rsidRDefault="00354D10" w:rsidP="00EC285A">
            <w:pPr>
              <w:rPr>
                <w:rFonts w:ascii="Arial" w:hAnsi="Arial" w:cs="Arial"/>
                <w:sz w:val="24"/>
                <w:szCs w:val="24"/>
              </w:rPr>
            </w:pPr>
            <w:r w:rsidRPr="008B5C60">
              <w:rPr>
                <w:rFonts w:ascii="Arial" w:hAnsi="Arial" w:cs="Arial"/>
                <w:sz w:val="24"/>
                <w:szCs w:val="24"/>
              </w:rPr>
              <w:t>Oui</w:t>
            </w:r>
          </w:p>
        </w:tc>
        <w:tc>
          <w:tcPr>
            <w:tcW w:w="847" w:type="pct"/>
            <w:shd w:val="clear" w:color="auto" w:fill="C5E0B3" w:themeFill="accent6" w:themeFillTint="66"/>
          </w:tcPr>
          <w:p w14:paraId="0A0D9F7D" w14:textId="77777777" w:rsidR="00354D10" w:rsidRPr="008B5C60" w:rsidRDefault="00354D10" w:rsidP="00EC285A">
            <w:pPr>
              <w:rPr>
                <w:rFonts w:ascii="Arial" w:hAnsi="Arial" w:cs="Arial"/>
                <w:sz w:val="24"/>
                <w:szCs w:val="24"/>
              </w:rPr>
            </w:pPr>
            <w:r w:rsidRPr="008B5C60">
              <w:rPr>
                <w:rFonts w:ascii="Arial" w:hAnsi="Arial" w:cs="Arial"/>
                <w:sz w:val="24"/>
                <w:szCs w:val="24"/>
              </w:rPr>
              <w:t>Oui</w:t>
            </w:r>
          </w:p>
        </w:tc>
        <w:tc>
          <w:tcPr>
            <w:tcW w:w="1020" w:type="pct"/>
            <w:shd w:val="clear" w:color="auto" w:fill="C5E0B3" w:themeFill="accent6" w:themeFillTint="66"/>
          </w:tcPr>
          <w:p w14:paraId="47AC2F43" w14:textId="533E3A71" w:rsidR="00354D10" w:rsidRPr="008B5C60" w:rsidRDefault="00354D10" w:rsidP="00EC285A">
            <w:pPr>
              <w:rPr>
                <w:rFonts w:ascii="Arial" w:hAnsi="Arial" w:cs="Arial"/>
                <w:sz w:val="24"/>
                <w:szCs w:val="24"/>
              </w:rPr>
            </w:pPr>
            <w:r w:rsidRPr="008B5C60">
              <w:rPr>
                <w:rFonts w:ascii="Arial" w:hAnsi="Arial" w:cs="Arial"/>
                <w:sz w:val="24"/>
                <w:szCs w:val="24"/>
              </w:rPr>
              <w:t xml:space="preserve">Oui </w:t>
            </w:r>
          </w:p>
        </w:tc>
      </w:tr>
      <w:tr w:rsidR="00354D10" w:rsidRPr="00354D10" w14:paraId="67D38D96" w14:textId="77777777" w:rsidTr="00EC285A">
        <w:tc>
          <w:tcPr>
            <w:tcW w:w="1334" w:type="pct"/>
          </w:tcPr>
          <w:p w14:paraId="5098D4EE" w14:textId="77777777" w:rsidR="00354D10" w:rsidRPr="00354D10" w:rsidRDefault="00354D10" w:rsidP="00EC285A">
            <w:pPr>
              <w:rPr>
                <w:rFonts w:ascii="Arial" w:hAnsi="Arial" w:cs="Arial"/>
                <w:sz w:val="24"/>
                <w:szCs w:val="24"/>
              </w:rPr>
            </w:pPr>
            <w:r w:rsidRPr="00354D10">
              <w:rPr>
                <w:rFonts w:ascii="Arial" w:hAnsi="Arial" w:cs="Arial"/>
                <w:sz w:val="24"/>
                <w:szCs w:val="24"/>
              </w:rPr>
              <w:t>ANGEIE</w:t>
            </w:r>
          </w:p>
        </w:tc>
        <w:tc>
          <w:tcPr>
            <w:tcW w:w="999" w:type="pct"/>
          </w:tcPr>
          <w:p w14:paraId="122D95F1"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c>
          <w:tcPr>
            <w:tcW w:w="800" w:type="pct"/>
          </w:tcPr>
          <w:p w14:paraId="79DDEC1B"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c>
          <w:tcPr>
            <w:tcW w:w="847" w:type="pct"/>
          </w:tcPr>
          <w:p w14:paraId="51B7B26E"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1020" w:type="pct"/>
          </w:tcPr>
          <w:p w14:paraId="0F451216"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r>
      <w:tr w:rsidR="00354D10" w:rsidRPr="00354D10" w14:paraId="2BFA3D76" w14:textId="77777777" w:rsidTr="00900412">
        <w:tc>
          <w:tcPr>
            <w:tcW w:w="1334" w:type="pct"/>
            <w:shd w:val="clear" w:color="auto" w:fill="C5E0B3" w:themeFill="accent6" w:themeFillTint="66"/>
          </w:tcPr>
          <w:p w14:paraId="39EBAB27" w14:textId="77777777" w:rsidR="00354D10" w:rsidRPr="00354D10" w:rsidRDefault="00354D10" w:rsidP="00EC285A">
            <w:pPr>
              <w:rPr>
                <w:rFonts w:ascii="Arial" w:hAnsi="Arial" w:cs="Arial"/>
                <w:sz w:val="24"/>
                <w:szCs w:val="24"/>
              </w:rPr>
            </w:pPr>
            <w:r w:rsidRPr="00354D10">
              <w:rPr>
                <w:rFonts w:ascii="Arial" w:hAnsi="Arial" w:cs="Arial"/>
                <w:sz w:val="24"/>
                <w:szCs w:val="24"/>
              </w:rPr>
              <w:t>MTN</w:t>
            </w:r>
          </w:p>
        </w:tc>
        <w:tc>
          <w:tcPr>
            <w:tcW w:w="999" w:type="pct"/>
            <w:shd w:val="clear" w:color="auto" w:fill="C5E0B3" w:themeFill="accent6" w:themeFillTint="66"/>
          </w:tcPr>
          <w:p w14:paraId="2111D415"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800" w:type="pct"/>
            <w:shd w:val="clear" w:color="auto" w:fill="C5E0B3" w:themeFill="accent6" w:themeFillTint="66"/>
          </w:tcPr>
          <w:p w14:paraId="4401E619"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847" w:type="pct"/>
            <w:shd w:val="clear" w:color="auto" w:fill="C5E0B3" w:themeFill="accent6" w:themeFillTint="66"/>
          </w:tcPr>
          <w:p w14:paraId="17E516F7"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1020" w:type="pct"/>
            <w:shd w:val="clear" w:color="auto" w:fill="C5E0B3" w:themeFill="accent6" w:themeFillTint="66"/>
          </w:tcPr>
          <w:p w14:paraId="4AAEB8F4"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r>
      <w:tr w:rsidR="00354D10" w:rsidRPr="00354D10" w14:paraId="24C02BE9" w14:textId="77777777" w:rsidTr="00900412">
        <w:tc>
          <w:tcPr>
            <w:tcW w:w="1334" w:type="pct"/>
            <w:shd w:val="clear" w:color="auto" w:fill="C5E0B3" w:themeFill="accent6" w:themeFillTint="66"/>
          </w:tcPr>
          <w:p w14:paraId="3A14A305" w14:textId="77777777" w:rsidR="00354D10" w:rsidRPr="00354D10" w:rsidRDefault="00354D10" w:rsidP="00EC285A">
            <w:pPr>
              <w:rPr>
                <w:rFonts w:ascii="Arial" w:hAnsi="Arial" w:cs="Arial"/>
                <w:sz w:val="24"/>
                <w:szCs w:val="24"/>
              </w:rPr>
            </w:pPr>
            <w:r w:rsidRPr="00354D10">
              <w:rPr>
                <w:rFonts w:ascii="Arial" w:hAnsi="Arial" w:cs="Arial"/>
                <w:sz w:val="24"/>
                <w:szCs w:val="24"/>
              </w:rPr>
              <w:t>Orange</w:t>
            </w:r>
          </w:p>
        </w:tc>
        <w:tc>
          <w:tcPr>
            <w:tcW w:w="999" w:type="pct"/>
            <w:shd w:val="clear" w:color="auto" w:fill="C5E0B3" w:themeFill="accent6" w:themeFillTint="66"/>
          </w:tcPr>
          <w:p w14:paraId="44BED7C6" w14:textId="5024056E" w:rsidR="00354D10" w:rsidRPr="00354D10" w:rsidRDefault="00354D10" w:rsidP="00EC285A">
            <w:pPr>
              <w:rPr>
                <w:rFonts w:ascii="Arial" w:hAnsi="Arial" w:cs="Arial"/>
                <w:sz w:val="24"/>
                <w:szCs w:val="24"/>
              </w:rPr>
            </w:pPr>
            <w:r w:rsidRPr="00354D10">
              <w:rPr>
                <w:rFonts w:ascii="Arial" w:hAnsi="Arial" w:cs="Arial"/>
                <w:sz w:val="24"/>
                <w:szCs w:val="24"/>
              </w:rPr>
              <w:t xml:space="preserve">Oui </w:t>
            </w:r>
          </w:p>
        </w:tc>
        <w:tc>
          <w:tcPr>
            <w:tcW w:w="800" w:type="pct"/>
            <w:shd w:val="clear" w:color="auto" w:fill="C5E0B3" w:themeFill="accent6" w:themeFillTint="66"/>
          </w:tcPr>
          <w:p w14:paraId="6868A26A" w14:textId="55A54D77" w:rsidR="00354D10" w:rsidRPr="00354D10" w:rsidRDefault="00354D10" w:rsidP="00EC285A">
            <w:pPr>
              <w:rPr>
                <w:rFonts w:ascii="Arial" w:hAnsi="Arial" w:cs="Arial"/>
                <w:sz w:val="24"/>
                <w:szCs w:val="24"/>
              </w:rPr>
            </w:pPr>
            <w:r w:rsidRPr="00354D10">
              <w:rPr>
                <w:rFonts w:ascii="Arial" w:hAnsi="Arial" w:cs="Arial"/>
                <w:sz w:val="24"/>
                <w:szCs w:val="24"/>
              </w:rPr>
              <w:t xml:space="preserve">Oui </w:t>
            </w:r>
          </w:p>
        </w:tc>
        <w:tc>
          <w:tcPr>
            <w:tcW w:w="847" w:type="pct"/>
            <w:shd w:val="clear" w:color="auto" w:fill="C5E0B3" w:themeFill="accent6" w:themeFillTint="66"/>
          </w:tcPr>
          <w:p w14:paraId="112BB465" w14:textId="33E8890B" w:rsidR="00354D10" w:rsidRPr="00354D10" w:rsidRDefault="00354D10" w:rsidP="00EC285A">
            <w:pPr>
              <w:rPr>
                <w:rFonts w:ascii="Arial" w:hAnsi="Arial" w:cs="Arial"/>
                <w:sz w:val="24"/>
                <w:szCs w:val="24"/>
              </w:rPr>
            </w:pPr>
            <w:r w:rsidRPr="00354D10">
              <w:rPr>
                <w:rFonts w:ascii="Arial" w:hAnsi="Arial" w:cs="Arial"/>
                <w:sz w:val="24"/>
                <w:szCs w:val="24"/>
              </w:rPr>
              <w:t xml:space="preserve">Oui </w:t>
            </w:r>
          </w:p>
        </w:tc>
        <w:tc>
          <w:tcPr>
            <w:tcW w:w="1020" w:type="pct"/>
            <w:shd w:val="clear" w:color="auto" w:fill="C5E0B3" w:themeFill="accent6" w:themeFillTint="66"/>
          </w:tcPr>
          <w:p w14:paraId="54B45225" w14:textId="086479CB" w:rsidR="00354D10" w:rsidRPr="00354D10" w:rsidRDefault="00354D10" w:rsidP="00EC285A">
            <w:pPr>
              <w:rPr>
                <w:rFonts w:ascii="Arial" w:hAnsi="Arial" w:cs="Arial"/>
                <w:sz w:val="24"/>
                <w:szCs w:val="24"/>
              </w:rPr>
            </w:pPr>
            <w:r w:rsidRPr="00354D10">
              <w:rPr>
                <w:rFonts w:ascii="Arial" w:hAnsi="Arial" w:cs="Arial"/>
                <w:sz w:val="24"/>
                <w:szCs w:val="24"/>
              </w:rPr>
              <w:t>Non</w:t>
            </w:r>
          </w:p>
        </w:tc>
      </w:tr>
      <w:tr w:rsidR="00354D10" w:rsidRPr="00354D10" w14:paraId="36CA1F12" w14:textId="77777777" w:rsidTr="00EC285A">
        <w:tc>
          <w:tcPr>
            <w:tcW w:w="1334" w:type="pct"/>
          </w:tcPr>
          <w:p w14:paraId="7B6154A5" w14:textId="2BAEEF72" w:rsidR="00354D10" w:rsidRPr="00354D10" w:rsidRDefault="00354D10" w:rsidP="00EC285A">
            <w:pPr>
              <w:rPr>
                <w:rFonts w:ascii="Arial" w:hAnsi="Arial" w:cs="Arial"/>
                <w:sz w:val="24"/>
                <w:szCs w:val="24"/>
              </w:rPr>
            </w:pPr>
            <w:r w:rsidRPr="00354D10">
              <w:rPr>
                <w:rFonts w:ascii="Arial" w:hAnsi="Arial" w:cs="Arial"/>
                <w:sz w:val="24"/>
                <w:szCs w:val="24"/>
              </w:rPr>
              <w:t xml:space="preserve">Ministère des </w:t>
            </w:r>
            <w:r w:rsidR="00686AF0">
              <w:rPr>
                <w:rFonts w:ascii="Arial" w:hAnsi="Arial" w:cs="Arial"/>
                <w:sz w:val="24"/>
                <w:szCs w:val="24"/>
              </w:rPr>
              <w:t>T</w:t>
            </w:r>
            <w:r w:rsidRPr="00354D10">
              <w:rPr>
                <w:rFonts w:ascii="Arial" w:hAnsi="Arial" w:cs="Arial"/>
                <w:sz w:val="24"/>
                <w:szCs w:val="24"/>
              </w:rPr>
              <w:t>élécommunications</w:t>
            </w:r>
          </w:p>
        </w:tc>
        <w:tc>
          <w:tcPr>
            <w:tcW w:w="999" w:type="pct"/>
          </w:tcPr>
          <w:p w14:paraId="5FF93753"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c>
          <w:tcPr>
            <w:tcW w:w="800" w:type="pct"/>
          </w:tcPr>
          <w:p w14:paraId="76CC4EE1"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c>
          <w:tcPr>
            <w:tcW w:w="847" w:type="pct"/>
          </w:tcPr>
          <w:p w14:paraId="16FB04E1" w14:textId="77777777" w:rsidR="00354D10" w:rsidRPr="00354D10" w:rsidRDefault="00354D10" w:rsidP="00EC285A">
            <w:pPr>
              <w:rPr>
                <w:rFonts w:ascii="Arial" w:hAnsi="Arial" w:cs="Arial"/>
                <w:sz w:val="24"/>
                <w:szCs w:val="24"/>
              </w:rPr>
            </w:pPr>
            <w:r w:rsidRPr="00354D10">
              <w:rPr>
                <w:rFonts w:ascii="Arial" w:hAnsi="Arial" w:cs="Arial"/>
                <w:sz w:val="24"/>
                <w:szCs w:val="24"/>
              </w:rPr>
              <w:t>Oui</w:t>
            </w:r>
          </w:p>
        </w:tc>
        <w:tc>
          <w:tcPr>
            <w:tcW w:w="1020" w:type="pct"/>
          </w:tcPr>
          <w:p w14:paraId="36F6D806" w14:textId="77777777" w:rsidR="00354D10" w:rsidRPr="00354D10" w:rsidRDefault="00354D10" w:rsidP="00EC285A">
            <w:pPr>
              <w:rPr>
                <w:rFonts w:ascii="Arial" w:hAnsi="Arial" w:cs="Arial"/>
                <w:sz w:val="24"/>
                <w:szCs w:val="24"/>
              </w:rPr>
            </w:pPr>
            <w:r w:rsidRPr="00354D10">
              <w:rPr>
                <w:rFonts w:ascii="Arial" w:hAnsi="Arial" w:cs="Arial"/>
                <w:sz w:val="24"/>
                <w:szCs w:val="24"/>
              </w:rPr>
              <w:t>Non</w:t>
            </w:r>
          </w:p>
        </w:tc>
      </w:tr>
    </w:tbl>
    <w:p w14:paraId="0AF899C8" w14:textId="77777777" w:rsidR="000C68B4" w:rsidRDefault="000C68B4" w:rsidP="000C68B4">
      <w:pPr>
        <w:spacing w:after="0" w:line="360" w:lineRule="auto"/>
        <w:jc w:val="both"/>
        <w:rPr>
          <w:rFonts w:ascii="Arial" w:eastAsia="Times New Roman" w:hAnsi="Arial" w:cs="Arial"/>
          <w:sz w:val="24"/>
          <w:szCs w:val="24"/>
          <w:lang w:eastAsia="fr-FR"/>
        </w:rPr>
      </w:pPr>
    </w:p>
    <w:p w14:paraId="39BEFBE4" w14:textId="4C85D358" w:rsidR="00B51B97" w:rsidRDefault="00B51B97" w:rsidP="000C68B4">
      <w:pPr>
        <w:spacing w:after="0" w:line="360" w:lineRule="auto"/>
        <w:jc w:val="both"/>
        <w:rPr>
          <w:rFonts w:ascii="Arial" w:hAnsi="Arial" w:cs="Arial"/>
          <w:sz w:val="24"/>
          <w:szCs w:val="24"/>
        </w:rPr>
      </w:pPr>
      <w:r>
        <w:rPr>
          <w:rFonts w:ascii="Arial" w:eastAsia="Times New Roman" w:hAnsi="Arial" w:cs="Arial"/>
          <w:sz w:val="24"/>
          <w:szCs w:val="24"/>
          <w:lang w:eastAsia="fr-FR"/>
        </w:rPr>
        <w:t xml:space="preserve">Le tableau </w:t>
      </w:r>
      <w:r w:rsidR="00A45512">
        <w:rPr>
          <w:rFonts w:ascii="Arial" w:eastAsia="Times New Roman" w:hAnsi="Arial" w:cs="Arial"/>
          <w:sz w:val="24"/>
          <w:szCs w:val="24"/>
          <w:lang w:eastAsia="fr-FR"/>
        </w:rPr>
        <w:t>4</w:t>
      </w:r>
      <w:r>
        <w:rPr>
          <w:rFonts w:ascii="Arial" w:eastAsia="Times New Roman" w:hAnsi="Arial" w:cs="Arial"/>
          <w:sz w:val="24"/>
          <w:szCs w:val="24"/>
          <w:lang w:eastAsia="fr-FR"/>
        </w:rPr>
        <w:t xml:space="preserve"> montre que seuls l’ARTP, Orange et MTN disposent de </w:t>
      </w:r>
      <w:r w:rsidR="008B5C60">
        <w:rPr>
          <w:rFonts w:ascii="Arial" w:eastAsia="Times New Roman" w:hAnsi="Arial" w:cs="Arial"/>
          <w:sz w:val="24"/>
          <w:szCs w:val="24"/>
          <w:lang w:eastAsia="fr-FR"/>
        </w:rPr>
        <w:t>capacités</w:t>
      </w:r>
      <w:r>
        <w:rPr>
          <w:rFonts w:ascii="Arial" w:eastAsia="Times New Roman" w:hAnsi="Arial" w:cs="Arial"/>
          <w:sz w:val="24"/>
          <w:szCs w:val="24"/>
          <w:lang w:eastAsia="fr-FR"/>
        </w:rPr>
        <w:t xml:space="preserve"> </w:t>
      </w:r>
      <w:r w:rsidR="008B5C60">
        <w:rPr>
          <w:rFonts w:ascii="Arial" w:eastAsia="Times New Roman" w:hAnsi="Arial" w:cs="Arial"/>
          <w:sz w:val="24"/>
          <w:szCs w:val="24"/>
          <w:lang w:eastAsia="fr-FR"/>
        </w:rPr>
        <w:t>adéquates</w:t>
      </w:r>
      <w:r w:rsidR="008B5C60" w:rsidRPr="00A328A0">
        <w:rPr>
          <w:rFonts w:ascii="Arial" w:hAnsi="Arial" w:cs="Arial"/>
          <w:sz w:val="24"/>
          <w:szCs w:val="24"/>
        </w:rPr>
        <w:t xml:space="preserve"> pour créer et gérer leur propre centre de données</w:t>
      </w:r>
      <w:r w:rsidR="008B5C60">
        <w:rPr>
          <w:rFonts w:ascii="Arial" w:hAnsi="Arial" w:cs="Arial"/>
          <w:sz w:val="24"/>
          <w:szCs w:val="24"/>
        </w:rPr>
        <w:t xml:space="preserve"> </w:t>
      </w:r>
      <w:r>
        <w:rPr>
          <w:rFonts w:ascii="Arial" w:eastAsia="Times New Roman" w:hAnsi="Arial" w:cs="Arial"/>
          <w:sz w:val="24"/>
          <w:szCs w:val="24"/>
          <w:lang w:eastAsia="fr-FR"/>
        </w:rPr>
        <w:t>(</w:t>
      </w:r>
      <w:r w:rsidR="008B5C60">
        <w:rPr>
          <w:rFonts w:ascii="Arial" w:hAnsi="Arial" w:cs="Arial"/>
          <w:sz w:val="24"/>
          <w:szCs w:val="24"/>
        </w:rPr>
        <w:t>local normalisé</w:t>
      </w:r>
      <w:r w:rsidRPr="00A328A0">
        <w:rPr>
          <w:rFonts w:ascii="Arial" w:hAnsi="Arial" w:cs="Arial"/>
          <w:sz w:val="24"/>
          <w:szCs w:val="24"/>
        </w:rPr>
        <w:t>, sécuri</w:t>
      </w:r>
      <w:r w:rsidR="008B5C60">
        <w:rPr>
          <w:rFonts w:ascii="Arial" w:hAnsi="Arial" w:cs="Arial"/>
          <w:sz w:val="24"/>
          <w:szCs w:val="24"/>
        </w:rPr>
        <w:t>sation des infrastructures</w:t>
      </w:r>
      <w:r w:rsidRPr="00A328A0">
        <w:rPr>
          <w:rFonts w:ascii="Arial" w:hAnsi="Arial" w:cs="Arial"/>
          <w:sz w:val="24"/>
          <w:szCs w:val="24"/>
        </w:rPr>
        <w:t>, bande passante</w:t>
      </w:r>
      <w:r w:rsidR="008B5C60">
        <w:rPr>
          <w:rFonts w:ascii="Arial" w:hAnsi="Arial" w:cs="Arial"/>
          <w:sz w:val="24"/>
          <w:szCs w:val="24"/>
        </w:rPr>
        <w:t xml:space="preserve"> et </w:t>
      </w:r>
      <w:r w:rsidR="008B5C60" w:rsidRPr="00A328A0">
        <w:rPr>
          <w:rFonts w:ascii="Arial" w:hAnsi="Arial" w:cs="Arial"/>
          <w:sz w:val="24"/>
          <w:szCs w:val="24"/>
        </w:rPr>
        <w:t>équipement</w:t>
      </w:r>
      <w:r w:rsidR="008B5C60">
        <w:rPr>
          <w:rFonts w:ascii="Arial" w:hAnsi="Arial" w:cs="Arial"/>
          <w:sz w:val="24"/>
          <w:szCs w:val="24"/>
        </w:rPr>
        <w:t>s satisfaisants…</w:t>
      </w:r>
      <w:r>
        <w:rPr>
          <w:rFonts w:ascii="Arial" w:hAnsi="Arial" w:cs="Arial"/>
          <w:sz w:val="24"/>
          <w:szCs w:val="24"/>
        </w:rPr>
        <w:t xml:space="preserve">).  </w:t>
      </w:r>
      <w:r w:rsidR="008B5C60">
        <w:rPr>
          <w:rFonts w:ascii="Arial" w:hAnsi="Arial" w:cs="Arial"/>
          <w:sz w:val="24"/>
          <w:szCs w:val="24"/>
        </w:rPr>
        <w:t xml:space="preserve">Alors, dans l’attente </w:t>
      </w:r>
      <w:r>
        <w:rPr>
          <w:rFonts w:ascii="Arial" w:hAnsi="Arial" w:cs="Arial"/>
          <w:sz w:val="24"/>
          <w:szCs w:val="24"/>
        </w:rPr>
        <w:t xml:space="preserve">que le ministère </w:t>
      </w:r>
      <w:r w:rsidR="008B5C60">
        <w:rPr>
          <w:rFonts w:ascii="Arial" w:hAnsi="Arial" w:cs="Arial"/>
          <w:sz w:val="24"/>
          <w:szCs w:val="24"/>
        </w:rPr>
        <w:t xml:space="preserve">soit en </w:t>
      </w:r>
      <w:r>
        <w:rPr>
          <w:rFonts w:ascii="Arial" w:hAnsi="Arial" w:cs="Arial"/>
          <w:sz w:val="24"/>
          <w:szCs w:val="24"/>
        </w:rPr>
        <w:t xml:space="preserve">capacité </w:t>
      </w:r>
      <w:r w:rsidR="008B5C60">
        <w:rPr>
          <w:rFonts w:ascii="Arial" w:hAnsi="Arial" w:cs="Arial"/>
          <w:sz w:val="24"/>
          <w:szCs w:val="24"/>
        </w:rPr>
        <w:t>de g</w:t>
      </w:r>
      <w:r w:rsidR="00686AF0">
        <w:rPr>
          <w:rFonts w:ascii="Arial" w:hAnsi="Arial" w:cs="Arial"/>
          <w:sz w:val="24"/>
          <w:szCs w:val="24"/>
        </w:rPr>
        <w:t>é</w:t>
      </w:r>
      <w:r w:rsidR="008B5C60">
        <w:rPr>
          <w:rFonts w:ascii="Arial" w:hAnsi="Arial" w:cs="Arial"/>
          <w:sz w:val="24"/>
          <w:szCs w:val="24"/>
        </w:rPr>
        <w:t xml:space="preserve">rer ses propres infrastructures, les ressources physiques de ces structures pourront être capitalisées en colocation. Cette </w:t>
      </w:r>
      <w:r>
        <w:rPr>
          <w:rFonts w:ascii="Arial" w:hAnsi="Arial" w:cs="Arial"/>
          <w:sz w:val="24"/>
          <w:szCs w:val="24"/>
        </w:rPr>
        <w:t>alternative permettra</w:t>
      </w:r>
      <w:r w:rsidR="008B5C60">
        <w:rPr>
          <w:rFonts w:ascii="Arial" w:hAnsi="Arial" w:cs="Arial"/>
          <w:sz w:val="24"/>
          <w:szCs w:val="24"/>
        </w:rPr>
        <w:t xml:space="preserve"> au ministère </w:t>
      </w:r>
      <w:r w:rsidR="00EF5DF7">
        <w:rPr>
          <w:rFonts w:ascii="Arial" w:hAnsi="Arial" w:cs="Arial"/>
          <w:sz w:val="24"/>
          <w:szCs w:val="24"/>
        </w:rPr>
        <w:t xml:space="preserve">de la santé </w:t>
      </w:r>
      <w:r w:rsidR="008B5C60">
        <w:rPr>
          <w:rFonts w:ascii="Arial" w:hAnsi="Arial" w:cs="Arial"/>
          <w:sz w:val="24"/>
          <w:szCs w:val="24"/>
        </w:rPr>
        <w:t>de faire des économies financières</w:t>
      </w:r>
      <w:r>
        <w:rPr>
          <w:rFonts w:ascii="Arial" w:hAnsi="Arial" w:cs="Arial"/>
          <w:sz w:val="24"/>
          <w:szCs w:val="24"/>
        </w:rPr>
        <w:t xml:space="preserve"> (pas besoin de construire un Data </w:t>
      </w:r>
      <w:r w:rsidR="00686AF0">
        <w:rPr>
          <w:rFonts w:ascii="Arial" w:hAnsi="Arial" w:cs="Arial"/>
          <w:sz w:val="24"/>
          <w:szCs w:val="24"/>
        </w:rPr>
        <w:t>C</w:t>
      </w:r>
      <w:r>
        <w:rPr>
          <w:rFonts w:ascii="Arial" w:hAnsi="Arial" w:cs="Arial"/>
          <w:sz w:val="24"/>
          <w:szCs w:val="24"/>
        </w:rPr>
        <w:t>enter de zéro ; pas besoin de former certaines compétences à court terme en ressources humaines ; pas besoin de faire la maintenance</w:t>
      </w:r>
      <w:r w:rsidRPr="00A328A0">
        <w:rPr>
          <w:rFonts w:ascii="Arial" w:hAnsi="Arial" w:cs="Arial"/>
          <w:sz w:val="24"/>
          <w:szCs w:val="24"/>
        </w:rPr>
        <w:t xml:space="preserve"> telle que l'installation des appareils, les mises à jour, la gestion de l'alimentation et d'autres processus</w:t>
      </w:r>
      <w:r>
        <w:rPr>
          <w:rFonts w:ascii="Arial" w:hAnsi="Arial" w:cs="Arial"/>
          <w:sz w:val="24"/>
          <w:szCs w:val="24"/>
        </w:rPr>
        <w:t>).</w:t>
      </w:r>
    </w:p>
    <w:p w14:paraId="262C3D7C" w14:textId="12199620" w:rsidR="00B51B97" w:rsidRDefault="00B51B97" w:rsidP="000C68B4">
      <w:pPr>
        <w:spacing w:after="0" w:line="360" w:lineRule="auto"/>
        <w:jc w:val="both"/>
        <w:rPr>
          <w:rFonts w:ascii="Arial" w:hAnsi="Arial" w:cs="Arial"/>
          <w:sz w:val="24"/>
          <w:szCs w:val="24"/>
        </w:rPr>
      </w:pPr>
      <w:r>
        <w:rPr>
          <w:rFonts w:ascii="Arial" w:hAnsi="Arial" w:cs="Arial"/>
          <w:sz w:val="24"/>
          <w:szCs w:val="24"/>
        </w:rPr>
        <w:t>Le choix de l</w:t>
      </w:r>
      <w:r w:rsidR="008B5C60">
        <w:rPr>
          <w:rFonts w:ascii="Arial" w:hAnsi="Arial" w:cs="Arial"/>
          <w:sz w:val="24"/>
          <w:szCs w:val="24"/>
        </w:rPr>
        <w:t xml:space="preserve">’une des </w:t>
      </w:r>
      <w:r>
        <w:rPr>
          <w:rFonts w:ascii="Arial" w:hAnsi="Arial" w:cs="Arial"/>
          <w:sz w:val="24"/>
          <w:szCs w:val="24"/>
        </w:rPr>
        <w:t>structure</w:t>
      </w:r>
      <w:r w:rsidR="008B5C60">
        <w:rPr>
          <w:rFonts w:ascii="Arial" w:hAnsi="Arial" w:cs="Arial"/>
          <w:sz w:val="24"/>
          <w:szCs w:val="24"/>
        </w:rPr>
        <w:t>s</w:t>
      </w:r>
      <w:r>
        <w:rPr>
          <w:rFonts w:ascii="Arial" w:hAnsi="Arial" w:cs="Arial"/>
          <w:sz w:val="24"/>
          <w:szCs w:val="24"/>
        </w:rPr>
        <w:t xml:space="preserve"> se </w:t>
      </w:r>
      <w:r w:rsidR="008B5C60">
        <w:rPr>
          <w:rFonts w:ascii="Arial" w:hAnsi="Arial" w:cs="Arial"/>
          <w:sz w:val="24"/>
          <w:szCs w:val="24"/>
        </w:rPr>
        <w:t xml:space="preserve">fera </w:t>
      </w:r>
      <w:r>
        <w:rPr>
          <w:rFonts w:ascii="Arial" w:hAnsi="Arial" w:cs="Arial"/>
          <w:sz w:val="24"/>
          <w:szCs w:val="24"/>
        </w:rPr>
        <w:t xml:space="preserve">sur </w:t>
      </w:r>
      <w:r w:rsidR="008B5C60">
        <w:rPr>
          <w:rFonts w:ascii="Arial" w:hAnsi="Arial" w:cs="Arial"/>
          <w:sz w:val="24"/>
          <w:szCs w:val="24"/>
        </w:rPr>
        <w:t xml:space="preserve">les </w:t>
      </w:r>
      <w:r>
        <w:rPr>
          <w:rFonts w:ascii="Arial" w:hAnsi="Arial" w:cs="Arial"/>
          <w:sz w:val="24"/>
          <w:szCs w:val="24"/>
        </w:rPr>
        <w:t>critères essentiels</w:t>
      </w:r>
      <w:r w:rsidR="008B5C60">
        <w:rPr>
          <w:rFonts w:ascii="Arial" w:hAnsi="Arial" w:cs="Arial"/>
          <w:sz w:val="24"/>
          <w:szCs w:val="24"/>
        </w:rPr>
        <w:t xml:space="preserve"> ci-dessous</w:t>
      </w:r>
      <w:r>
        <w:rPr>
          <w:rFonts w:ascii="Arial" w:hAnsi="Arial" w:cs="Arial"/>
          <w:sz w:val="24"/>
          <w:szCs w:val="24"/>
        </w:rPr>
        <w:t xml:space="preserve"> en plus de la colocation :</w:t>
      </w:r>
    </w:p>
    <w:p w14:paraId="225BFDA2" w14:textId="4431D110" w:rsidR="00D77746" w:rsidRDefault="00B51B97" w:rsidP="000C68B4">
      <w:pPr>
        <w:spacing w:after="0" w:line="360" w:lineRule="auto"/>
        <w:jc w:val="both"/>
        <w:rPr>
          <w:rFonts w:ascii="Arial" w:hAnsi="Arial" w:cs="Arial"/>
          <w:sz w:val="24"/>
          <w:szCs w:val="24"/>
        </w:rPr>
      </w:pPr>
      <w:r>
        <w:rPr>
          <w:rFonts w:ascii="Arial" w:hAnsi="Arial" w:cs="Arial"/>
          <w:sz w:val="24"/>
          <w:szCs w:val="24"/>
        </w:rPr>
        <w:t xml:space="preserve"> - </w:t>
      </w:r>
      <w:r w:rsidR="00EF5DF7">
        <w:rPr>
          <w:rFonts w:ascii="Arial" w:hAnsi="Arial" w:cs="Arial"/>
          <w:sz w:val="24"/>
          <w:szCs w:val="24"/>
        </w:rPr>
        <w:t>u</w:t>
      </w:r>
      <w:r w:rsidR="00EF5DF7" w:rsidRPr="00B51B97">
        <w:rPr>
          <w:rFonts w:ascii="Arial" w:hAnsi="Arial" w:cs="Arial"/>
          <w:sz w:val="24"/>
          <w:szCs w:val="24"/>
        </w:rPr>
        <w:t xml:space="preserve">ne </w:t>
      </w:r>
      <w:r>
        <w:rPr>
          <w:rFonts w:ascii="Arial" w:hAnsi="Arial" w:cs="Arial"/>
          <w:sz w:val="24"/>
          <w:szCs w:val="24"/>
        </w:rPr>
        <w:t>haute</w:t>
      </w:r>
      <w:r w:rsidRPr="00B51B97">
        <w:rPr>
          <w:rFonts w:ascii="Arial" w:hAnsi="Arial" w:cs="Arial"/>
          <w:sz w:val="24"/>
          <w:szCs w:val="24"/>
        </w:rPr>
        <w:t xml:space="preserve"> disponibilité et fiabilité </w:t>
      </w:r>
      <w:r w:rsidR="00D77746">
        <w:rPr>
          <w:rFonts w:ascii="Arial" w:hAnsi="Arial" w:cs="Arial"/>
          <w:sz w:val="24"/>
          <w:szCs w:val="24"/>
        </w:rPr>
        <w:t>selon la classification de l</w:t>
      </w:r>
      <w:r w:rsidRPr="00B51B97">
        <w:rPr>
          <w:rFonts w:ascii="Arial" w:hAnsi="Arial" w:cs="Arial"/>
          <w:sz w:val="24"/>
          <w:szCs w:val="24"/>
        </w:rPr>
        <w:t>'</w:t>
      </w:r>
      <w:proofErr w:type="spellStart"/>
      <w:r w:rsidRPr="00B51B97">
        <w:rPr>
          <w:rFonts w:ascii="Arial" w:hAnsi="Arial" w:cs="Arial"/>
          <w:sz w:val="24"/>
          <w:szCs w:val="24"/>
        </w:rPr>
        <w:t>Uptime</w:t>
      </w:r>
      <w:proofErr w:type="spellEnd"/>
      <w:r w:rsidRPr="00B51B97">
        <w:rPr>
          <w:rFonts w:ascii="Arial" w:hAnsi="Arial" w:cs="Arial"/>
          <w:sz w:val="24"/>
          <w:szCs w:val="24"/>
        </w:rPr>
        <w:t xml:space="preserve"> Institute</w:t>
      </w:r>
      <w:r w:rsidR="00D77746">
        <w:rPr>
          <w:rFonts w:ascii="Arial" w:hAnsi="Arial" w:cs="Arial"/>
          <w:sz w:val="24"/>
          <w:szCs w:val="24"/>
        </w:rPr>
        <w:t xml:space="preserve"> </w:t>
      </w:r>
      <w:r w:rsidRPr="00B51B97">
        <w:rPr>
          <w:rFonts w:ascii="Arial" w:hAnsi="Arial" w:cs="Arial"/>
          <w:sz w:val="24"/>
          <w:szCs w:val="24"/>
        </w:rPr>
        <w:t>développé</w:t>
      </w:r>
      <w:r w:rsidR="00EF5DF7">
        <w:rPr>
          <w:rFonts w:ascii="Arial" w:hAnsi="Arial" w:cs="Arial"/>
          <w:sz w:val="24"/>
          <w:szCs w:val="24"/>
        </w:rPr>
        <w:t>e</w:t>
      </w:r>
      <w:r w:rsidRPr="00B51B97">
        <w:rPr>
          <w:rFonts w:ascii="Arial" w:hAnsi="Arial" w:cs="Arial"/>
          <w:sz w:val="24"/>
          <w:szCs w:val="24"/>
        </w:rPr>
        <w:t xml:space="preserve"> dans les années 1990</w:t>
      </w:r>
      <w:r w:rsidR="00D77746">
        <w:rPr>
          <w:rFonts w:ascii="Arial" w:hAnsi="Arial" w:cs="Arial"/>
          <w:sz w:val="24"/>
          <w:szCs w:val="24"/>
        </w:rPr>
        <w:t xml:space="preserve"> (voir figure </w:t>
      </w:r>
      <w:r w:rsidR="00A46449">
        <w:rPr>
          <w:rFonts w:ascii="Arial" w:hAnsi="Arial" w:cs="Arial"/>
          <w:sz w:val="24"/>
          <w:szCs w:val="24"/>
        </w:rPr>
        <w:t>3</w:t>
      </w:r>
      <w:r w:rsidR="00D77746">
        <w:rPr>
          <w:rFonts w:ascii="Arial" w:hAnsi="Arial" w:cs="Arial"/>
          <w:sz w:val="24"/>
          <w:szCs w:val="24"/>
        </w:rPr>
        <w:t xml:space="preserve">). Un </w:t>
      </w:r>
      <w:r w:rsidRPr="00B51B97">
        <w:rPr>
          <w:rFonts w:ascii="Arial" w:hAnsi="Arial" w:cs="Arial"/>
          <w:sz w:val="24"/>
          <w:szCs w:val="24"/>
        </w:rPr>
        <w:t>niveau</w:t>
      </w:r>
      <w:r w:rsidR="00D77746">
        <w:rPr>
          <w:rFonts w:ascii="Arial" w:hAnsi="Arial" w:cs="Arial"/>
          <w:sz w:val="24"/>
          <w:szCs w:val="24"/>
        </w:rPr>
        <w:t xml:space="preserve"> 3 au minimum sera exigé pour la colocation au profit du ministère de la santé.</w:t>
      </w:r>
      <w:r w:rsidR="00A46449">
        <w:rPr>
          <w:rFonts w:ascii="Arial" w:hAnsi="Arial" w:cs="Arial"/>
          <w:sz w:val="24"/>
          <w:szCs w:val="24"/>
        </w:rPr>
        <w:t xml:space="preserve"> Ce niveau </w:t>
      </w:r>
      <w:r w:rsidR="00A46449" w:rsidRPr="00A46449">
        <w:rPr>
          <w:rFonts w:ascii="Arial" w:hAnsi="Arial" w:cs="Arial"/>
          <w:sz w:val="24"/>
          <w:szCs w:val="24"/>
        </w:rPr>
        <w:t>dispose de systèmes redondants pour limiter les erreurs opérationnelles et les pannes d'équipement. Il utilise des systèmes UPS qui alimentent en continu les serveurs et les générateurs de secours</w:t>
      </w:r>
      <w:r w:rsidR="00EF5DF7">
        <w:rPr>
          <w:rFonts w:ascii="Arial" w:hAnsi="Arial" w:cs="Arial"/>
          <w:sz w:val="24"/>
          <w:szCs w:val="24"/>
        </w:rPr>
        <w:t> ;</w:t>
      </w:r>
    </w:p>
    <w:p w14:paraId="437CBAC7" w14:textId="751D6CB5" w:rsidR="008B5C60" w:rsidRDefault="008B5C60" w:rsidP="000C68B4">
      <w:pPr>
        <w:spacing w:after="0" w:line="360" w:lineRule="auto"/>
        <w:jc w:val="both"/>
        <w:rPr>
          <w:rFonts w:ascii="Arial" w:hAnsi="Arial" w:cs="Arial"/>
          <w:sz w:val="24"/>
          <w:szCs w:val="24"/>
        </w:rPr>
      </w:pPr>
      <w:r>
        <w:rPr>
          <w:rFonts w:ascii="Arial" w:hAnsi="Arial" w:cs="Arial"/>
          <w:sz w:val="24"/>
          <w:szCs w:val="24"/>
        </w:rPr>
        <w:t xml:space="preserve">- </w:t>
      </w:r>
      <w:r w:rsidR="00EF5DF7">
        <w:rPr>
          <w:rFonts w:ascii="Arial" w:hAnsi="Arial" w:cs="Arial"/>
          <w:sz w:val="24"/>
          <w:szCs w:val="24"/>
        </w:rPr>
        <w:t xml:space="preserve">une </w:t>
      </w:r>
      <w:r>
        <w:rPr>
          <w:rFonts w:ascii="Arial" w:hAnsi="Arial" w:cs="Arial"/>
          <w:sz w:val="24"/>
          <w:szCs w:val="24"/>
        </w:rPr>
        <w:t>disponibilité de ressources humaines (help desk) pour une interaction dynamique et continue avec le personnel IT du ministère de la santé</w:t>
      </w:r>
      <w:r w:rsidR="00EF5DF7">
        <w:rPr>
          <w:rFonts w:ascii="Arial" w:hAnsi="Arial" w:cs="Arial"/>
          <w:sz w:val="24"/>
          <w:szCs w:val="24"/>
        </w:rPr>
        <w:t> ;</w:t>
      </w:r>
    </w:p>
    <w:p w14:paraId="3593487E" w14:textId="04E04E8C" w:rsidR="00D77746" w:rsidRDefault="00D77746" w:rsidP="00B51B97">
      <w:pPr>
        <w:spacing w:after="0" w:line="360" w:lineRule="auto"/>
        <w:rPr>
          <w:rFonts w:ascii="Arial" w:hAnsi="Arial" w:cs="Arial"/>
          <w:sz w:val="24"/>
          <w:szCs w:val="24"/>
        </w:rPr>
      </w:pPr>
      <w:r>
        <w:rPr>
          <w:rFonts w:ascii="Arial" w:hAnsi="Arial" w:cs="Arial"/>
          <w:sz w:val="24"/>
          <w:szCs w:val="24"/>
        </w:rPr>
        <w:lastRenderedPageBreak/>
        <w:t>- l</w:t>
      </w:r>
      <w:r w:rsidR="00A46449">
        <w:rPr>
          <w:rFonts w:ascii="Arial" w:hAnsi="Arial" w:cs="Arial"/>
          <w:sz w:val="24"/>
          <w:szCs w:val="24"/>
        </w:rPr>
        <w:t xml:space="preserve">e Data </w:t>
      </w:r>
      <w:r w:rsidR="00C51600">
        <w:rPr>
          <w:rFonts w:ascii="Arial" w:hAnsi="Arial" w:cs="Arial"/>
          <w:sz w:val="24"/>
          <w:szCs w:val="24"/>
        </w:rPr>
        <w:t>C</w:t>
      </w:r>
      <w:r w:rsidR="00A46449">
        <w:rPr>
          <w:rFonts w:ascii="Arial" w:hAnsi="Arial" w:cs="Arial"/>
          <w:sz w:val="24"/>
          <w:szCs w:val="24"/>
        </w:rPr>
        <w:t xml:space="preserve">enter </w:t>
      </w:r>
      <w:r>
        <w:rPr>
          <w:rFonts w:ascii="Arial" w:hAnsi="Arial" w:cs="Arial"/>
          <w:sz w:val="24"/>
          <w:szCs w:val="24"/>
        </w:rPr>
        <w:t>devr</w:t>
      </w:r>
      <w:r w:rsidR="00A46449">
        <w:rPr>
          <w:rFonts w:ascii="Arial" w:hAnsi="Arial" w:cs="Arial"/>
          <w:sz w:val="24"/>
          <w:szCs w:val="24"/>
        </w:rPr>
        <w:t>a</w:t>
      </w:r>
      <w:r>
        <w:rPr>
          <w:rFonts w:ascii="Arial" w:hAnsi="Arial" w:cs="Arial"/>
          <w:sz w:val="24"/>
          <w:szCs w:val="24"/>
        </w:rPr>
        <w:t xml:space="preserve"> être</w:t>
      </w:r>
      <w:r w:rsidR="00B51B97" w:rsidRPr="00B51B97">
        <w:rPr>
          <w:rFonts w:ascii="Arial" w:hAnsi="Arial" w:cs="Arial"/>
          <w:sz w:val="24"/>
          <w:szCs w:val="24"/>
        </w:rPr>
        <w:t xml:space="preserve"> </w:t>
      </w:r>
      <w:r w:rsidR="00A46449">
        <w:rPr>
          <w:rFonts w:ascii="Arial" w:hAnsi="Arial" w:cs="Arial"/>
          <w:sz w:val="24"/>
          <w:szCs w:val="24"/>
        </w:rPr>
        <w:t>localisé</w:t>
      </w:r>
      <w:r>
        <w:rPr>
          <w:rFonts w:ascii="Arial" w:hAnsi="Arial" w:cs="Arial"/>
          <w:sz w:val="24"/>
          <w:szCs w:val="24"/>
        </w:rPr>
        <w:t xml:space="preserve"> sur </w:t>
      </w:r>
      <w:r w:rsidR="00EF5DF7">
        <w:rPr>
          <w:rFonts w:ascii="Arial" w:hAnsi="Arial" w:cs="Arial"/>
          <w:sz w:val="24"/>
          <w:szCs w:val="24"/>
        </w:rPr>
        <w:t xml:space="preserve">l’ensemble du </w:t>
      </w:r>
      <w:r>
        <w:rPr>
          <w:rFonts w:ascii="Arial" w:hAnsi="Arial" w:cs="Arial"/>
          <w:sz w:val="24"/>
          <w:szCs w:val="24"/>
        </w:rPr>
        <w:t>territoire national sauf dérogation du ministère de la santé et en l’absence de possibilité de mettre à la disposition cette infrastructure localement</w:t>
      </w:r>
      <w:r w:rsidR="00EF5DF7">
        <w:rPr>
          <w:rFonts w:ascii="Arial" w:hAnsi="Arial" w:cs="Arial"/>
          <w:sz w:val="24"/>
          <w:szCs w:val="24"/>
        </w:rPr>
        <w:t>.</w:t>
      </w:r>
    </w:p>
    <w:p w14:paraId="542F8061" w14:textId="3021D814" w:rsidR="00A46449" w:rsidRDefault="00A46449" w:rsidP="00B51B97">
      <w:pPr>
        <w:spacing w:after="0" w:line="360" w:lineRule="auto"/>
        <w:rPr>
          <w:rFonts w:ascii="Arial" w:hAnsi="Arial" w:cs="Arial"/>
          <w:sz w:val="24"/>
          <w:szCs w:val="24"/>
        </w:rPr>
      </w:pPr>
    </w:p>
    <w:p w14:paraId="1D6B517B" w14:textId="4EA85B7B" w:rsidR="00A46449" w:rsidRDefault="00682AAD" w:rsidP="00B51B97">
      <w:pPr>
        <w:spacing w:after="0" w:line="360" w:lineRule="auto"/>
        <w:rPr>
          <w:rFonts w:ascii="Arial" w:hAnsi="Arial" w:cs="Arial"/>
          <w:sz w:val="24"/>
          <w:szCs w:val="24"/>
        </w:rPr>
      </w:pPr>
      <w:r>
        <w:rPr>
          <w:rFonts w:ascii="Arial" w:hAnsi="Arial" w:cs="Arial"/>
          <w:noProof/>
          <w:sz w:val="24"/>
          <w:szCs w:val="24"/>
          <w:lang w:eastAsia="fr-FR"/>
        </w:rPr>
        <w:drawing>
          <wp:inline distT="0" distB="0" distL="0" distR="0" wp14:anchorId="2BCA69CF" wp14:editId="5EC9F321">
            <wp:extent cx="5760720" cy="2752725"/>
            <wp:effectExtent l="0" t="0" r="508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5760720" cy="2752725"/>
                    </a:xfrm>
                    <a:prstGeom prst="rect">
                      <a:avLst/>
                    </a:prstGeom>
                  </pic:spPr>
                </pic:pic>
              </a:graphicData>
            </a:graphic>
          </wp:inline>
        </w:drawing>
      </w:r>
    </w:p>
    <w:p w14:paraId="6D0D9FC2" w14:textId="4BC74553" w:rsidR="00270D96" w:rsidRDefault="00A46449" w:rsidP="00807493">
      <w:pPr>
        <w:pStyle w:val="Caption"/>
        <w:jc w:val="both"/>
        <w:rPr>
          <w:rFonts w:ascii="Arial" w:hAnsi="Arial" w:cs="Arial"/>
          <w:sz w:val="24"/>
          <w:szCs w:val="24"/>
        </w:rPr>
      </w:pPr>
      <w:bookmarkStart w:id="23" w:name="_Toc94941316"/>
      <w:r w:rsidRPr="00A46449">
        <w:rPr>
          <w:rFonts w:ascii="Arial" w:hAnsi="Arial" w:cs="Arial"/>
          <w:sz w:val="24"/>
          <w:szCs w:val="24"/>
        </w:rPr>
        <w:t xml:space="preserve">Figure </w:t>
      </w:r>
      <w:r w:rsidRPr="00A46449">
        <w:rPr>
          <w:rFonts w:ascii="Arial" w:hAnsi="Arial" w:cs="Arial"/>
          <w:sz w:val="24"/>
          <w:szCs w:val="24"/>
        </w:rPr>
        <w:fldChar w:fldCharType="begin"/>
      </w:r>
      <w:r w:rsidRPr="00A46449">
        <w:rPr>
          <w:rFonts w:ascii="Arial" w:hAnsi="Arial" w:cs="Arial"/>
          <w:sz w:val="24"/>
          <w:szCs w:val="24"/>
        </w:rPr>
        <w:instrText xml:space="preserve"> SEQ Figure \* ARABIC </w:instrText>
      </w:r>
      <w:r w:rsidRPr="00A46449">
        <w:rPr>
          <w:rFonts w:ascii="Arial" w:hAnsi="Arial" w:cs="Arial"/>
          <w:sz w:val="24"/>
          <w:szCs w:val="24"/>
        </w:rPr>
        <w:fldChar w:fldCharType="separate"/>
      </w:r>
      <w:r w:rsidR="00004163">
        <w:rPr>
          <w:rFonts w:ascii="Arial" w:hAnsi="Arial" w:cs="Arial"/>
          <w:noProof/>
          <w:sz w:val="24"/>
          <w:szCs w:val="24"/>
        </w:rPr>
        <w:t>3</w:t>
      </w:r>
      <w:r w:rsidRPr="00A46449">
        <w:rPr>
          <w:rFonts w:ascii="Arial" w:hAnsi="Arial" w:cs="Arial"/>
          <w:sz w:val="24"/>
          <w:szCs w:val="24"/>
        </w:rPr>
        <w:fldChar w:fldCharType="end"/>
      </w:r>
      <w:r w:rsidRPr="00A46449">
        <w:rPr>
          <w:rFonts w:ascii="Arial" w:hAnsi="Arial" w:cs="Arial"/>
          <w:sz w:val="24"/>
          <w:szCs w:val="24"/>
        </w:rPr>
        <w:t xml:space="preserve"> : Présentation des types de Data </w:t>
      </w:r>
      <w:r w:rsidR="00C51600">
        <w:rPr>
          <w:rFonts w:ascii="Arial" w:hAnsi="Arial" w:cs="Arial"/>
          <w:sz w:val="24"/>
          <w:szCs w:val="24"/>
        </w:rPr>
        <w:t>C</w:t>
      </w:r>
      <w:r w:rsidRPr="00A46449">
        <w:rPr>
          <w:rFonts w:ascii="Arial" w:hAnsi="Arial" w:cs="Arial"/>
          <w:sz w:val="24"/>
          <w:szCs w:val="24"/>
        </w:rPr>
        <w:t>enter en en fonction de leur disponibilité et de leur fiabilité</w:t>
      </w:r>
      <w:bookmarkEnd w:id="23"/>
    </w:p>
    <w:p w14:paraId="15BFCC9E" w14:textId="2C320ED4" w:rsidR="008B5C60" w:rsidRDefault="00270D96" w:rsidP="000C68B4">
      <w:pPr>
        <w:spacing w:after="0" w:line="360" w:lineRule="auto"/>
        <w:jc w:val="both"/>
        <w:rPr>
          <w:rFonts w:ascii="Arial" w:hAnsi="Arial" w:cs="Arial"/>
          <w:sz w:val="24"/>
          <w:szCs w:val="24"/>
        </w:rPr>
      </w:pPr>
      <w:r>
        <w:rPr>
          <w:rFonts w:ascii="Arial" w:hAnsi="Arial" w:cs="Arial"/>
          <w:sz w:val="24"/>
          <w:szCs w:val="24"/>
        </w:rPr>
        <w:t xml:space="preserve">Les bonnes pratiques de gestion des données sensibles et critiques suggèrent un minimum de trois sauvegardes sur des sites distants. Dans cette optique </w:t>
      </w:r>
      <w:r w:rsidR="008B5C60">
        <w:rPr>
          <w:rFonts w:ascii="Arial" w:hAnsi="Arial" w:cs="Arial"/>
          <w:sz w:val="24"/>
          <w:szCs w:val="24"/>
        </w:rPr>
        <w:t xml:space="preserve">et </w:t>
      </w:r>
      <w:r>
        <w:rPr>
          <w:rFonts w:ascii="Arial" w:hAnsi="Arial" w:cs="Arial"/>
          <w:sz w:val="24"/>
          <w:szCs w:val="24"/>
        </w:rPr>
        <w:t>pour prévenir une éventuelle catastrophe qui pourrait engendrer une indisponibilité et</w:t>
      </w:r>
      <w:r w:rsidR="00C51600">
        <w:rPr>
          <w:rFonts w:ascii="Arial" w:hAnsi="Arial" w:cs="Arial"/>
          <w:sz w:val="24"/>
          <w:szCs w:val="24"/>
        </w:rPr>
        <w:t>/</w:t>
      </w:r>
      <w:r>
        <w:rPr>
          <w:rFonts w:ascii="Arial" w:hAnsi="Arial" w:cs="Arial"/>
          <w:sz w:val="24"/>
          <w:szCs w:val="24"/>
        </w:rPr>
        <w:t>ou une perte totale des données</w:t>
      </w:r>
      <w:r w:rsidR="00C51600">
        <w:rPr>
          <w:rFonts w:ascii="Arial" w:hAnsi="Arial" w:cs="Arial"/>
          <w:sz w:val="24"/>
          <w:szCs w:val="24"/>
        </w:rPr>
        <w:t>,</w:t>
      </w:r>
      <w:r>
        <w:rPr>
          <w:rFonts w:ascii="Arial" w:hAnsi="Arial" w:cs="Arial"/>
          <w:sz w:val="24"/>
          <w:szCs w:val="24"/>
        </w:rPr>
        <w:t xml:space="preserve"> il est proposé </w:t>
      </w:r>
      <w:r w:rsidR="008B5C60">
        <w:rPr>
          <w:rFonts w:ascii="Arial" w:hAnsi="Arial" w:cs="Arial"/>
          <w:sz w:val="24"/>
          <w:szCs w:val="24"/>
        </w:rPr>
        <w:t xml:space="preserve">dans le schéma du ministère de la santé de la Guinée </w:t>
      </w:r>
      <w:r>
        <w:rPr>
          <w:rFonts w:ascii="Arial" w:hAnsi="Arial" w:cs="Arial"/>
          <w:sz w:val="24"/>
          <w:szCs w:val="24"/>
        </w:rPr>
        <w:t xml:space="preserve">à moyen et long terme la mise en place de deux redondances sur deux sites distants en plus du site primaire de démarrage. </w:t>
      </w:r>
    </w:p>
    <w:p w14:paraId="025F1D84" w14:textId="0BB35049" w:rsidR="00270D96" w:rsidRDefault="00270D96" w:rsidP="000C68B4">
      <w:pPr>
        <w:spacing w:after="0" w:line="360" w:lineRule="auto"/>
        <w:jc w:val="both"/>
        <w:rPr>
          <w:rFonts w:ascii="Arial" w:hAnsi="Arial" w:cs="Arial"/>
          <w:sz w:val="24"/>
          <w:szCs w:val="24"/>
        </w:rPr>
      </w:pPr>
      <w:r>
        <w:rPr>
          <w:rFonts w:ascii="Arial" w:hAnsi="Arial" w:cs="Arial"/>
          <w:sz w:val="24"/>
          <w:szCs w:val="24"/>
        </w:rPr>
        <w:t>La configuration à terme sera comme suit :</w:t>
      </w:r>
    </w:p>
    <w:p w14:paraId="70DB5079" w14:textId="2F285DAB" w:rsidR="00745361" w:rsidRPr="00745361" w:rsidRDefault="00745361" w:rsidP="000C68B4">
      <w:pPr>
        <w:spacing w:line="360" w:lineRule="auto"/>
        <w:jc w:val="both"/>
        <w:rPr>
          <w:rFonts w:ascii="Arial" w:eastAsia="Times New Roman" w:hAnsi="Arial" w:cs="Arial"/>
          <w:sz w:val="24"/>
          <w:szCs w:val="24"/>
          <w:lang w:eastAsia="fr-FR"/>
        </w:rPr>
      </w:pPr>
      <w:r w:rsidRPr="00745361">
        <w:rPr>
          <w:rFonts w:ascii="Arial" w:eastAsia="Times New Roman" w:hAnsi="Arial" w:cs="Arial"/>
          <w:sz w:val="24"/>
          <w:szCs w:val="24"/>
          <w:lang w:eastAsia="fr-FR"/>
        </w:rPr>
        <w:t xml:space="preserve">- </w:t>
      </w:r>
      <w:r w:rsidR="0056434D">
        <w:rPr>
          <w:rFonts w:ascii="Arial" w:eastAsia="Times New Roman" w:hAnsi="Arial" w:cs="Arial"/>
          <w:sz w:val="24"/>
          <w:szCs w:val="24"/>
          <w:lang w:eastAsia="fr-FR"/>
        </w:rPr>
        <w:t>u</w:t>
      </w:r>
      <w:r w:rsidR="0056434D" w:rsidRPr="00745361">
        <w:rPr>
          <w:rFonts w:ascii="Arial" w:eastAsia="Times New Roman" w:hAnsi="Arial" w:cs="Arial"/>
          <w:sz w:val="24"/>
          <w:szCs w:val="24"/>
          <w:lang w:eastAsia="fr-FR"/>
        </w:rPr>
        <w:t xml:space="preserve">ne </w:t>
      </w:r>
      <w:r w:rsidRPr="00745361">
        <w:rPr>
          <w:rFonts w:ascii="Arial" w:eastAsia="Times New Roman" w:hAnsi="Arial" w:cs="Arial"/>
          <w:sz w:val="24"/>
          <w:szCs w:val="24"/>
          <w:lang w:eastAsia="fr-FR"/>
        </w:rPr>
        <w:t xml:space="preserve">infrastructure comprenant un </w:t>
      </w:r>
      <w:r w:rsidRPr="00270D96">
        <w:rPr>
          <w:rFonts w:ascii="Arial" w:eastAsia="Times New Roman" w:hAnsi="Arial" w:cs="Arial"/>
          <w:b/>
          <w:bCs/>
          <w:i/>
          <w:iCs/>
          <w:sz w:val="24"/>
          <w:szCs w:val="24"/>
          <w:lang w:eastAsia="fr-FR"/>
        </w:rPr>
        <w:t>site primaire</w:t>
      </w:r>
      <w:r w:rsidRPr="00745361">
        <w:rPr>
          <w:rFonts w:ascii="Arial" w:eastAsia="Times New Roman" w:hAnsi="Arial" w:cs="Arial"/>
          <w:sz w:val="24"/>
          <w:szCs w:val="24"/>
          <w:lang w:eastAsia="fr-FR"/>
        </w:rPr>
        <w:t xml:space="preserve"> qui va héberger les serveurs de production. Il s’agira de </w:t>
      </w:r>
      <w:r w:rsidR="004C2C66">
        <w:rPr>
          <w:rFonts w:ascii="Arial" w:eastAsia="Times New Roman" w:hAnsi="Arial" w:cs="Arial"/>
          <w:sz w:val="24"/>
          <w:szCs w:val="24"/>
          <w:lang w:eastAsia="fr-FR"/>
        </w:rPr>
        <w:t>l’infrastructure</w:t>
      </w:r>
      <w:r w:rsidRPr="00745361">
        <w:rPr>
          <w:rFonts w:ascii="Arial" w:eastAsia="Times New Roman" w:hAnsi="Arial" w:cs="Arial"/>
          <w:sz w:val="24"/>
          <w:szCs w:val="24"/>
          <w:lang w:eastAsia="fr-FR"/>
        </w:rPr>
        <w:t xml:space="preserve"> </w:t>
      </w:r>
      <w:r w:rsidR="004C2C66">
        <w:rPr>
          <w:rFonts w:ascii="Arial" w:eastAsia="Times New Roman" w:hAnsi="Arial" w:cs="Arial"/>
          <w:sz w:val="24"/>
          <w:szCs w:val="24"/>
          <w:lang w:eastAsia="fr-FR"/>
        </w:rPr>
        <w:t xml:space="preserve">de type </w:t>
      </w:r>
      <w:proofErr w:type="spellStart"/>
      <w:r w:rsidR="004C2C66">
        <w:rPr>
          <w:rFonts w:ascii="Arial" w:eastAsia="Times New Roman" w:hAnsi="Arial" w:cs="Arial"/>
          <w:sz w:val="24"/>
          <w:szCs w:val="24"/>
          <w:lang w:eastAsia="fr-FR"/>
        </w:rPr>
        <w:t>Tier</w:t>
      </w:r>
      <w:proofErr w:type="spellEnd"/>
      <w:r w:rsidR="004C2C66">
        <w:rPr>
          <w:rFonts w:ascii="Arial" w:eastAsia="Times New Roman" w:hAnsi="Arial" w:cs="Arial"/>
          <w:sz w:val="24"/>
          <w:szCs w:val="24"/>
          <w:lang w:eastAsia="fr-FR"/>
        </w:rPr>
        <w:t xml:space="preserve"> 3 dans lequel le déploiement de toutes les bases de données sera réalisé</w:t>
      </w:r>
      <w:r w:rsidR="0056434D">
        <w:rPr>
          <w:rFonts w:ascii="Arial" w:eastAsia="Times New Roman" w:hAnsi="Arial" w:cs="Arial"/>
          <w:sz w:val="24"/>
          <w:szCs w:val="24"/>
          <w:lang w:eastAsia="fr-FR"/>
        </w:rPr>
        <w:t xml:space="preserve"> ; </w:t>
      </w:r>
      <w:r w:rsidR="0056434D" w:rsidRPr="00745361">
        <w:rPr>
          <w:rFonts w:ascii="Arial" w:eastAsia="Times New Roman" w:hAnsi="Arial" w:cs="Arial"/>
          <w:sz w:val="24"/>
          <w:szCs w:val="24"/>
          <w:lang w:eastAsia="fr-FR"/>
        </w:rPr>
        <w:t xml:space="preserve"> </w:t>
      </w:r>
    </w:p>
    <w:p w14:paraId="28AB2CD7" w14:textId="3A9E3A92" w:rsidR="00745361" w:rsidRPr="00745361" w:rsidRDefault="00745361" w:rsidP="000C68B4">
      <w:pPr>
        <w:spacing w:line="360" w:lineRule="auto"/>
        <w:jc w:val="both"/>
        <w:rPr>
          <w:rFonts w:ascii="Arial" w:eastAsia="Times New Roman" w:hAnsi="Arial" w:cs="Arial"/>
          <w:sz w:val="24"/>
          <w:szCs w:val="24"/>
          <w:lang w:eastAsia="fr-FR"/>
        </w:rPr>
      </w:pPr>
      <w:r w:rsidRPr="00745361">
        <w:rPr>
          <w:rFonts w:ascii="Arial" w:eastAsia="Times New Roman" w:hAnsi="Arial" w:cs="Arial"/>
          <w:sz w:val="24"/>
          <w:szCs w:val="24"/>
          <w:lang w:eastAsia="fr-FR"/>
        </w:rPr>
        <w:t xml:space="preserve">- un site secondaire avec des </w:t>
      </w:r>
      <w:r w:rsidRPr="00270D96">
        <w:rPr>
          <w:rFonts w:ascii="Arial" w:eastAsia="Times New Roman" w:hAnsi="Arial" w:cs="Arial"/>
          <w:b/>
          <w:bCs/>
          <w:i/>
          <w:iCs/>
          <w:sz w:val="24"/>
          <w:szCs w:val="24"/>
          <w:lang w:eastAsia="fr-FR"/>
        </w:rPr>
        <w:t>serveurs de sauvegarde</w:t>
      </w:r>
      <w:r w:rsidRPr="00745361">
        <w:rPr>
          <w:rFonts w:ascii="Arial" w:eastAsia="Times New Roman" w:hAnsi="Arial" w:cs="Arial"/>
          <w:sz w:val="24"/>
          <w:szCs w:val="24"/>
          <w:lang w:eastAsia="fr-FR"/>
        </w:rPr>
        <w:t xml:space="preserve">. Toutes les bases de données de production seront </w:t>
      </w:r>
      <w:r w:rsidR="004C2C66">
        <w:rPr>
          <w:rFonts w:ascii="Arial" w:eastAsia="Times New Roman" w:hAnsi="Arial" w:cs="Arial"/>
          <w:sz w:val="24"/>
          <w:szCs w:val="24"/>
          <w:lang w:eastAsia="fr-FR"/>
        </w:rPr>
        <w:t>redondées</w:t>
      </w:r>
      <w:r w:rsidRPr="00745361">
        <w:rPr>
          <w:rFonts w:ascii="Arial" w:eastAsia="Times New Roman" w:hAnsi="Arial" w:cs="Arial"/>
          <w:sz w:val="24"/>
          <w:szCs w:val="24"/>
          <w:lang w:eastAsia="fr-FR"/>
        </w:rPr>
        <w:t xml:space="preserve"> sur ces serveurs à une échelle </w:t>
      </w:r>
      <w:r w:rsidR="008B5C60" w:rsidRPr="008B5C60">
        <w:rPr>
          <w:rFonts w:ascii="Arial" w:eastAsia="Times New Roman" w:hAnsi="Arial" w:cs="Arial"/>
          <w:sz w:val="24"/>
          <w:szCs w:val="24"/>
          <w:lang w:eastAsia="fr-FR"/>
        </w:rPr>
        <w:t>temporelle</w:t>
      </w:r>
      <w:r w:rsidR="008B5C60">
        <w:rPr>
          <w:rFonts w:ascii="Arial" w:eastAsia="Times New Roman" w:hAnsi="Arial" w:cs="Arial"/>
          <w:sz w:val="24"/>
          <w:szCs w:val="24"/>
          <w:lang w:eastAsia="fr-FR"/>
        </w:rPr>
        <w:t xml:space="preserve"> </w:t>
      </w:r>
      <w:r w:rsidRPr="00745361">
        <w:rPr>
          <w:rFonts w:ascii="Arial" w:eastAsia="Times New Roman" w:hAnsi="Arial" w:cs="Arial"/>
          <w:sz w:val="24"/>
          <w:szCs w:val="24"/>
          <w:lang w:eastAsia="fr-FR"/>
        </w:rPr>
        <w:t>très rapprochée.</w:t>
      </w:r>
      <w:r w:rsidR="004C2C66">
        <w:rPr>
          <w:rFonts w:ascii="Arial" w:eastAsia="Times New Roman" w:hAnsi="Arial" w:cs="Arial"/>
          <w:sz w:val="24"/>
          <w:szCs w:val="24"/>
          <w:lang w:eastAsia="fr-FR"/>
        </w:rPr>
        <w:t xml:space="preserve"> L’infrastructure sera de niveau 2 ou 3 au moins</w:t>
      </w:r>
      <w:r w:rsidR="0056434D">
        <w:rPr>
          <w:rFonts w:ascii="Arial" w:eastAsia="Times New Roman" w:hAnsi="Arial" w:cs="Arial"/>
          <w:sz w:val="24"/>
          <w:szCs w:val="24"/>
          <w:lang w:eastAsia="fr-FR"/>
        </w:rPr>
        <w:t xml:space="preserve"> ; </w:t>
      </w:r>
    </w:p>
    <w:p w14:paraId="49E409C0" w14:textId="2F8C7F78" w:rsidR="00745361" w:rsidRPr="00745361" w:rsidRDefault="00745361" w:rsidP="000C68B4">
      <w:pPr>
        <w:spacing w:line="360" w:lineRule="auto"/>
        <w:jc w:val="both"/>
        <w:rPr>
          <w:rFonts w:ascii="Arial" w:eastAsia="Times New Roman" w:hAnsi="Arial" w:cs="Arial"/>
          <w:sz w:val="24"/>
          <w:szCs w:val="24"/>
          <w:lang w:eastAsia="fr-FR"/>
        </w:rPr>
      </w:pPr>
      <w:r w:rsidRPr="00745361">
        <w:rPr>
          <w:rFonts w:ascii="Arial" w:eastAsia="Times New Roman" w:hAnsi="Arial" w:cs="Arial"/>
          <w:sz w:val="24"/>
          <w:szCs w:val="24"/>
          <w:lang w:eastAsia="fr-FR"/>
        </w:rPr>
        <w:t xml:space="preserve">- un site tertiaire avec des </w:t>
      </w:r>
      <w:r w:rsidRPr="00270D96">
        <w:rPr>
          <w:rFonts w:ascii="Arial" w:eastAsia="Times New Roman" w:hAnsi="Arial" w:cs="Arial"/>
          <w:b/>
          <w:bCs/>
          <w:i/>
          <w:iCs/>
          <w:sz w:val="24"/>
          <w:szCs w:val="24"/>
          <w:lang w:eastAsia="fr-FR"/>
        </w:rPr>
        <w:t>serveurs de tests</w:t>
      </w:r>
      <w:r w:rsidRPr="00745361">
        <w:rPr>
          <w:rFonts w:ascii="Arial" w:eastAsia="Times New Roman" w:hAnsi="Arial" w:cs="Arial"/>
          <w:sz w:val="24"/>
          <w:szCs w:val="24"/>
          <w:lang w:eastAsia="fr-FR"/>
        </w:rPr>
        <w:t xml:space="preserve">. Sur les serveurs de ce site seront </w:t>
      </w:r>
      <w:r w:rsidR="004C2C66">
        <w:rPr>
          <w:rFonts w:ascii="Arial" w:eastAsia="Times New Roman" w:hAnsi="Arial" w:cs="Arial"/>
          <w:sz w:val="24"/>
          <w:szCs w:val="24"/>
          <w:lang w:eastAsia="fr-FR"/>
        </w:rPr>
        <w:t>redondées les données du serveur de production ou de tes</w:t>
      </w:r>
      <w:r w:rsidR="00311051">
        <w:rPr>
          <w:rFonts w:ascii="Arial" w:eastAsia="Times New Roman" w:hAnsi="Arial" w:cs="Arial"/>
          <w:sz w:val="24"/>
          <w:szCs w:val="24"/>
          <w:lang w:eastAsia="fr-FR"/>
        </w:rPr>
        <w:t>t</w:t>
      </w:r>
      <w:r w:rsidR="004C2C66">
        <w:rPr>
          <w:rFonts w:ascii="Arial" w:eastAsia="Times New Roman" w:hAnsi="Arial" w:cs="Arial"/>
          <w:sz w:val="24"/>
          <w:szCs w:val="24"/>
          <w:lang w:eastAsia="fr-FR"/>
        </w:rPr>
        <w:t xml:space="preserve">. D’autres applications </w:t>
      </w:r>
      <w:r w:rsidRPr="00745361">
        <w:rPr>
          <w:rFonts w:ascii="Arial" w:eastAsia="Times New Roman" w:hAnsi="Arial" w:cs="Arial"/>
          <w:sz w:val="24"/>
          <w:szCs w:val="24"/>
          <w:lang w:eastAsia="fr-FR"/>
        </w:rPr>
        <w:t>métiers</w:t>
      </w:r>
      <w:r w:rsidR="004C2C66">
        <w:rPr>
          <w:rFonts w:ascii="Arial" w:eastAsia="Times New Roman" w:hAnsi="Arial" w:cs="Arial"/>
          <w:sz w:val="24"/>
          <w:szCs w:val="24"/>
          <w:lang w:eastAsia="fr-FR"/>
        </w:rPr>
        <w:t xml:space="preserve"> seront installées en fonction des besoins des utilisateurs (</w:t>
      </w:r>
      <w:r w:rsidRPr="00745361">
        <w:rPr>
          <w:rFonts w:ascii="Arial" w:eastAsia="Times New Roman" w:hAnsi="Arial" w:cs="Arial"/>
          <w:sz w:val="24"/>
          <w:szCs w:val="24"/>
          <w:lang w:eastAsia="fr-FR"/>
        </w:rPr>
        <w:t>applications de BI</w:t>
      </w:r>
      <w:r w:rsidR="004C2C66">
        <w:rPr>
          <w:rFonts w:ascii="Arial" w:eastAsia="Times New Roman" w:hAnsi="Arial" w:cs="Arial"/>
          <w:sz w:val="24"/>
          <w:szCs w:val="24"/>
          <w:lang w:eastAsia="fr-FR"/>
        </w:rPr>
        <w:t xml:space="preserve">, </w:t>
      </w:r>
      <w:r w:rsidRPr="00745361">
        <w:rPr>
          <w:rFonts w:ascii="Arial" w:eastAsia="Times New Roman" w:hAnsi="Arial" w:cs="Arial"/>
          <w:sz w:val="24"/>
          <w:szCs w:val="24"/>
          <w:lang w:eastAsia="fr-FR"/>
        </w:rPr>
        <w:lastRenderedPageBreak/>
        <w:t xml:space="preserve">serveur </w:t>
      </w:r>
      <w:proofErr w:type="spellStart"/>
      <w:r w:rsidRPr="00745361">
        <w:rPr>
          <w:rFonts w:ascii="Arial" w:eastAsia="Times New Roman" w:hAnsi="Arial" w:cs="Arial"/>
          <w:sz w:val="24"/>
          <w:szCs w:val="24"/>
          <w:lang w:eastAsia="fr-FR"/>
        </w:rPr>
        <w:t>Shiny</w:t>
      </w:r>
      <w:proofErr w:type="spellEnd"/>
      <w:r w:rsidRPr="00745361">
        <w:rPr>
          <w:rFonts w:ascii="Arial" w:eastAsia="Times New Roman" w:hAnsi="Arial" w:cs="Arial"/>
          <w:sz w:val="24"/>
          <w:szCs w:val="24"/>
          <w:lang w:eastAsia="fr-FR"/>
        </w:rPr>
        <w:t>, R studio…). Les activités de formation et de manipulation des bases se feront sur ces serveurs afin de garantir l’intégrité, la confidentialité, la disponibilité et la sécurité des données dans les deux autres sites (primaire et secondaire).</w:t>
      </w:r>
    </w:p>
    <w:p w14:paraId="13B5F39C" w14:textId="38426A45" w:rsidR="004C2C66" w:rsidRDefault="00745361" w:rsidP="00745361">
      <w:pPr>
        <w:spacing w:line="360" w:lineRule="auto"/>
        <w:jc w:val="both"/>
        <w:rPr>
          <w:rFonts w:ascii="Arial" w:eastAsia="Times New Roman" w:hAnsi="Arial" w:cs="Arial"/>
          <w:sz w:val="24"/>
          <w:szCs w:val="24"/>
          <w:lang w:eastAsia="fr-FR"/>
        </w:rPr>
      </w:pPr>
      <w:r w:rsidRPr="00745361">
        <w:rPr>
          <w:rFonts w:ascii="Arial" w:eastAsia="Times New Roman" w:hAnsi="Arial" w:cs="Arial"/>
          <w:sz w:val="24"/>
          <w:szCs w:val="24"/>
          <w:lang w:eastAsia="fr-FR"/>
        </w:rPr>
        <w:t xml:space="preserve">Chaque site d’hébergement devra </w:t>
      </w:r>
      <w:r w:rsidR="0056434D">
        <w:rPr>
          <w:rFonts w:ascii="Arial" w:eastAsia="Times New Roman" w:hAnsi="Arial" w:cs="Arial"/>
          <w:sz w:val="24"/>
          <w:szCs w:val="24"/>
          <w:lang w:eastAsia="fr-FR"/>
        </w:rPr>
        <w:t>disposer d’</w:t>
      </w:r>
      <w:r w:rsidRPr="00745361">
        <w:rPr>
          <w:rFonts w:ascii="Arial" w:eastAsia="Times New Roman" w:hAnsi="Arial" w:cs="Arial"/>
          <w:sz w:val="24"/>
          <w:szCs w:val="24"/>
          <w:lang w:eastAsia="fr-FR"/>
        </w:rPr>
        <w:t xml:space="preserve">un système de redondance </w:t>
      </w:r>
      <w:r w:rsidR="004C2C66">
        <w:rPr>
          <w:rFonts w:ascii="Arial" w:eastAsia="Times New Roman" w:hAnsi="Arial" w:cs="Arial"/>
          <w:sz w:val="24"/>
          <w:szCs w:val="24"/>
          <w:lang w:eastAsia="fr-FR"/>
        </w:rPr>
        <w:t xml:space="preserve">en interne </w:t>
      </w:r>
      <w:r w:rsidRPr="00745361">
        <w:rPr>
          <w:rFonts w:ascii="Arial" w:eastAsia="Times New Roman" w:hAnsi="Arial" w:cs="Arial"/>
          <w:sz w:val="24"/>
          <w:szCs w:val="24"/>
          <w:lang w:eastAsia="fr-FR"/>
        </w:rPr>
        <w:t xml:space="preserve">pour prévenir toute éventuelle indisponibilité/perte par défaillance d’un serveur avant la redondance vers </w:t>
      </w:r>
      <w:r w:rsidR="00311051">
        <w:rPr>
          <w:rFonts w:ascii="Arial" w:eastAsia="Times New Roman" w:hAnsi="Arial" w:cs="Arial"/>
          <w:sz w:val="24"/>
          <w:szCs w:val="24"/>
          <w:lang w:eastAsia="fr-FR"/>
        </w:rPr>
        <w:t>l’</w:t>
      </w:r>
      <w:r w:rsidRPr="00745361">
        <w:rPr>
          <w:rFonts w:ascii="Arial" w:eastAsia="Times New Roman" w:hAnsi="Arial" w:cs="Arial"/>
          <w:sz w:val="24"/>
          <w:szCs w:val="24"/>
          <w:lang w:eastAsia="fr-FR"/>
        </w:rPr>
        <w:t xml:space="preserve">un </w:t>
      </w:r>
      <w:r w:rsidR="00311051">
        <w:rPr>
          <w:rFonts w:ascii="Arial" w:eastAsia="Times New Roman" w:hAnsi="Arial" w:cs="Arial"/>
          <w:sz w:val="24"/>
          <w:szCs w:val="24"/>
          <w:lang w:eastAsia="fr-FR"/>
        </w:rPr>
        <w:t>d</w:t>
      </w:r>
      <w:r w:rsidRPr="00745361">
        <w:rPr>
          <w:rFonts w:ascii="Arial" w:eastAsia="Times New Roman" w:hAnsi="Arial" w:cs="Arial"/>
          <w:sz w:val="24"/>
          <w:szCs w:val="24"/>
          <w:lang w:eastAsia="fr-FR"/>
        </w:rPr>
        <w:t>es</w:t>
      </w:r>
      <w:r w:rsidR="008B5C60">
        <w:rPr>
          <w:rFonts w:ascii="Arial" w:eastAsia="Times New Roman" w:hAnsi="Arial" w:cs="Arial"/>
          <w:sz w:val="24"/>
          <w:szCs w:val="24"/>
          <w:lang w:eastAsia="fr-FR"/>
        </w:rPr>
        <w:t xml:space="preserve"> deux autres</w:t>
      </w:r>
      <w:r w:rsidRPr="00745361">
        <w:rPr>
          <w:rFonts w:ascii="Arial" w:eastAsia="Times New Roman" w:hAnsi="Arial" w:cs="Arial"/>
          <w:sz w:val="24"/>
          <w:szCs w:val="24"/>
          <w:lang w:eastAsia="fr-FR"/>
        </w:rPr>
        <w:t xml:space="preserve"> sites distants. Tous les sites </w:t>
      </w:r>
      <w:r w:rsidR="004C2C66">
        <w:rPr>
          <w:rFonts w:ascii="Arial" w:eastAsia="Times New Roman" w:hAnsi="Arial" w:cs="Arial"/>
          <w:sz w:val="24"/>
          <w:szCs w:val="24"/>
          <w:lang w:eastAsia="fr-FR"/>
        </w:rPr>
        <w:t>dev</w:t>
      </w:r>
      <w:r w:rsidR="008B5C60">
        <w:rPr>
          <w:rFonts w:ascii="Arial" w:eastAsia="Times New Roman" w:hAnsi="Arial" w:cs="Arial"/>
          <w:sz w:val="24"/>
          <w:szCs w:val="24"/>
          <w:lang w:eastAsia="fr-FR"/>
        </w:rPr>
        <w:t>ront</w:t>
      </w:r>
      <w:r w:rsidR="004C2C66">
        <w:rPr>
          <w:rFonts w:ascii="Arial" w:eastAsia="Times New Roman" w:hAnsi="Arial" w:cs="Arial"/>
          <w:sz w:val="24"/>
          <w:szCs w:val="24"/>
          <w:lang w:eastAsia="fr-FR"/>
        </w:rPr>
        <w:t xml:space="preserve"> </w:t>
      </w:r>
      <w:r w:rsidRPr="00745361">
        <w:rPr>
          <w:rFonts w:ascii="Arial" w:eastAsia="Times New Roman" w:hAnsi="Arial" w:cs="Arial"/>
          <w:sz w:val="24"/>
          <w:szCs w:val="24"/>
          <w:lang w:eastAsia="fr-FR"/>
        </w:rPr>
        <w:t>être sur des zones géographiques différentes</w:t>
      </w:r>
      <w:r w:rsidR="008B5C60">
        <w:rPr>
          <w:rFonts w:ascii="Arial" w:eastAsia="Times New Roman" w:hAnsi="Arial" w:cs="Arial"/>
          <w:sz w:val="24"/>
          <w:szCs w:val="24"/>
          <w:lang w:eastAsia="fr-FR"/>
        </w:rPr>
        <w:t>. I</w:t>
      </w:r>
      <w:r w:rsidRPr="00745361">
        <w:rPr>
          <w:rFonts w:ascii="Arial" w:eastAsia="Times New Roman" w:hAnsi="Arial" w:cs="Arial"/>
          <w:sz w:val="24"/>
          <w:szCs w:val="24"/>
          <w:lang w:eastAsia="fr-FR"/>
        </w:rPr>
        <w:t xml:space="preserve">l sera demandé à des </w:t>
      </w:r>
      <w:r w:rsidR="004C2C66">
        <w:rPr>
          <w:rFonts w:ascii="Arial" w:eastAsia="Times New Roman" w:hAnsi="Arial" w:cs="Arial"/>
          <w:sz w:val="24"/>
          <w:szCs w:val="24"/>
          <w:lang w:eastAsia="fr-FR"/>
        </w:rPr>
        <w:t>structures</w:t>
      </w:r>
      <w:r w:rsidRPr="00745361">
        <w:rPr>
          <w:rFonts w:ascii="Arial" w:eastAsia="Times New Roman" w:hAnsi="Arial" w:cs="Arial"/>
          <w:sz w:val="24"/>
          <w:szCs w:val="24"/>
          <w:lang w:eastAsia="fr-FR"/>
        </w:rPr>
        <w:t xml:space="preserve"> différent</w:t>
      </w:r>
      <w:r w:rsidR="008B5C60">
        <w:rPr>
          <w:rFonts w:ascii="Arial" w:eastAsia="Times New Roman" w:hAnsi="Arial" w:cs="Arial"/>
          <w:sz w:val="24"/>
          <w:szCs w:val="24"/>
          <w:lang w:eastAsia="fr-FR"/>
        </w:rPr>
        <w:t>e</w:t>
      </w:r>
      <w:r w:rsidRPr="00745361">
        <w:rPr>
          <w:rFonts w:ascii="Arial" w:eastAsia="Times New Roman" w:hAnsi="Arial" w:cs="Arial"/>
          <w:sz w:val="24"/>
          <w:szCs w:val="24"/>
          <w:lang w:eastAsia="fr-FR"/>
        </w:rPr>
        <w:t xml:space="preserve">s de proposer une offre concurrentielle sur la base des caractéristiques définies </w:t>
      </w:r>
      <w:r w:rsidR="004C2C66">
        <w:rPr>
          <w:rFonts w:ascii="Arial" w:eastAsia="Times New Roman" w:hAnsi="Arial" w:cs="Arial"/>
          <w:sz w:val="24"/>
          <w:szCs w:val="24"/>
          <w:lang w:eastAsia="fr-FR"/>
        </w:rPr>
        <w:t xml:space="preserve">selon le niveau </w:t>
      </w:r>
      <w:r w:rsidR="0056434D">
        <w:rPr>
          <w:rFonts w:ascii="Arial" w:eastAsia="Times New Roman" w:hAnsi="Arial" w:cs="Arial"/>
          <w:sz w:val="24"/>
          <w:szCs w:val="24"/>
          <w:lang w:eastAsia="fr-FR"/>
        </w:rPr>
        <w:t xml:space="preserve">de </w:t>
      </w:r>
      <w:r w:rsidR="004C2C66">
        <w:rPr>
          <w:rFonts w:ascii="Arial" w:eastAsia="Times New Roman" w:hAnsi="Arial" w:cs="Arial"/>
          <w:sz w:val="24"/>
          <w:szCs w:val="24"/>
          <w:lang w:eastAsia="fr-FR"/>
        </w:rPr>
        <w:t xml:space="preserve">performance requis. </w:t>
      </w:r>
    </w:p>
    <w:p w14:paraId="3BAE8E8E" w14:textId="2C3EADA2" w:rsidR="00745361" w:rsidRDefault="004C2C66" w:rsidP="000C68B4">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00745361" w:rsidRPr="00745361">
        <w:rPr>
          <w:rFonts w:ascii="Arial" w:eastAsia="Times New Roman" w:hAnsi="Arial" w:cs="Arial"/>
          <w:sz w:val="24"/>
          <w:szCs w:val="24"/>
          <w:lang w:eastAsia="fr-FR"/>
        </w:rPr>
        <w:t xml:space="preserve">es </w:t>
      </w:r>
      <w:r>
        <w:rPr>
          <w:rFonts w:ascii="Arial" w:eastAsia="Times New Roman" w:hAnsi="Arial" w:cs="Arial"/>
          <w:sz w:val="24"/>
          <w:szCs w:val="24"/>
          <w:lang w:eastAsia="fr-FR"/>
        </w:rPr>
        <w:t>infrastructures ayant</w:t>
      </w:r>
      <w:r w:rsidR="00745361" w:rsidRPr="00745361">
        <w:rPr>
          <w:rFonts w:ascii="Arial" w:eastAsia="Times New Roman" w:hAnsi="Arial" w:cs="Arial"/>
          <w:sz w:val="24"/>
          <w:szCs w:val="24"/>
          <w:lang w:eastAsia="fr-FR"/>
        </w:rPr>
        <w:t xml:space="preserve"> un agrément</w:t>
      </w:r>
      <w:r>
        <w:rPr>
          <w:rFonts w:ascii="Arial" w:eastAsia="Times New Roman" w:hAnsi="Arial" w:cs="Arial"/>
          <w:sz w:val="24"/>
          <w:szCs w:val="24"/>
          <w:lang w:eastAsia="fr-FR"/>
        </w:rPr>
        <w:t xml:space="preserve"> international</w:t>
      </w:r>
      <w:r w:rsidR="00745361" w:rsidRPr="00745361">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de gestion des données de </w:t>
      </w:r>
      <w:r w:rsidR="00745361" w:rsidRPr="00745361">
        <w:rPr>
          <w:rFonts w:ascii="Arial" w:eastAsia="Times New Roman" w:hAnsi="Arial" w:cs="Arial"/>
          <w:sz w:val="24"/>
          <w:szCs w:val="24"/>
          <w:lang w:eastAsia="fr-FR"/>
        </w:rPr>
        <w:t xml:space="preserve">santé </w:t>
      </w:r>
      <w:r>
        <w:rPr>
          <w:rFonts w:ascii="Arial" w:eastAsia="Times New Roman" w:hAnsi="Arial" w:cs="Arial"/>
          <w:sz w:val="24"/>
          <w:szCs w:val="24"/>
          <w:lang w:eastAsia="fr-FR"/>
        </w:rPr>
        <w:t xml:space="preserve">seront priorisées </w:t>
      </w:r>
      <w:r w:rsidR="00745361" w:rsidRPr="00745361">
        <w:rPr>
          <w:rFonts w:ascii="Arial" w:eastAsia="Times New Roman" w:hAnsi="Arial" w:cs="Arial"/>
          <w:sz w:val="24"/>
          <w:szCs w:val="24"/>
          <w:lang w:eastAsia="fr-FR"/>
        </w:rPr>
        <w:t xml:space="preserve">(Hébergeur </w:t>
      </w:r>
      <w:r w:rsidR="00C51600">
        <w:rPr>
          <w:rFonts w:ascii="Arial" w:eastAsia="Times New Roman" w:hAnsi="Arial" w:cs="Arial"/>
          <w:sz w:val="24"/>
          <w:szCs w:val="24"/>
          <w:lang w:eastAsia="fr-FR"/>
        </w:rPr>
        <w:t>a</w:t>
      </w:r>
      <w:r w:rsidR="00745361" w:rsidRPr="00745361">
        <w:rPr>
          <w:rFonts w:ascii="Arial" w:eastAsia="Times New Roman" w:hAnsi="Arial" w:cs="Arial"/>
          <w:sz w:val="24"/>
          <w:szCs w:val="24"/>
          <w:lang w:eastAsia="fr-FR"/>
        </w:rPr>
        <w:t xml:space="preserve">gréé de </w:t>
      </w:r>
      <w:r w:rsidR="00C51600">
        <w:rPr>
          <w:rFonts w:ascii="Arial" w:eastAsia="Times New Roman" w:hAnsi="Arial" w:cs="Arial"/>
          <w:sz w:val="24"/>
          <w:szCs w:val="24"/>
          <w:lang w:eastAsia="fr-FR"/>
        </w:rPr>
        <w:t>données</w:t>
      </w:r>
      <w:r w:rsidR="00745361" w:rsidRPr="00745361">
        <w:rPr>
          <w:rFonts w:ascii="Arial" w:eastAsia="Times New Roman" w:hAnsi="Arial" w:cs="Arial"/>
          <w:sz w:val="24"/>
          <w:szCs w:val="24"/>
          <w:lang w:eastAsia="fr-FR"/>
        </w:rPr>
        <w:t xml:space="preserve"> de Santé à caractère personnel).</w:t>
      </w:r>
      <w:r>
        <w:rPr>
          <w:rFonts w:ascii="Arial" w:eastAsia="Times New Roman" w:hAnsi="Arial" w:cs="Arial"/>
          <w:sz w:val="24"/>
          <w:szCs w:val="24"/>
          <w:lang w:eastAsia="fr-FR"/>
        </w:rPr>
        <w:t xml:space="preserve"> </w:t>
      </w:r>
      <w:r w:rsidR="00745361" w:rsidRPr="00745361">
        <w:rPr>
          <w:rFonts w:ascii="Arial" w:eastAsia="Times New Roman" w:hAnsi="Arial" w:cs="Arial"/>
          <w:sz w:val="24"/>
          <w:szCs w:val="24"/>
          <w:lang w:eastAsia="fr-FR"/>
        </w:rPr>
        <w:t xml:space="preserve"> L’hébergement de ces données doit en conséquence être réalisé dans des conditions de sécurité adaptées à leur criticité.</w:t>
      </w:r>
    </w:p>
    <w:p w14:paraId="5A63D4B0" w14:textId="77777777" w:rsidR="008B5C60" w:rsidRPr="000C68B4" w:rsidRDefault="008B5C60" w:rsidP="000C68B4">
      <w:pPr>
        <w:spacing w:line="360" w:lineRule="auto"/>
        <w:jc w:val="both"/>
        <w:rPr>
          <w:rFonts w:ascii="Arial" w:eastAsia="Times New Roman" w:hAnsi="Arial" w:cs="Arial"/>
          <w:sz w:val="24"/>
          <w:szCs w:val="24"/>
          <w:lang w:eastAsia="fr-FR"/>
        </w:rPr>
      </w:pPr>
    </w:p>
    <w:p w14:paraId="3B65B2A6" w14:textId="66F3A3B1" w:rsidR="00270D96" w:rsidRDefault="00270D96" w:rsidP="00807493">
      <w:pPr>
        <w:spacing w:after="0" w:line="360" w:lineRule="auto"/>
        <w:jc w:val="both"/>
        <w:rPr>
          <w:rFonts w:ascii="Arial" w:hAnsi="Arial" w:cs="Arial"/>
          <w:sz w:val="24"/>
          <w:szCs w:val="24"/>
        </w:rPr>
      </w:pPr>
      <w:r w:rsidRPr="00745361">
        <w:rPr>
          <w:rFonts w:ascii="Arial" w:eastAsia="Times New Roman" w:hAnsi="Arial" w:cs="Arial"/>
          <w:sz w:val="24"/>
          <w:szCs w:val="24"/>
          <w:lang w:eastAsia="fr-FR"/>
        </w:rPr>
        <w:t xml:space="preserve">La figure </w:t>
      </w:r>
      <w:r w:rsidR="0056434D">
        <w:rPr>
          <w:rFonts w:ascii="Arial" w:eastAsia="Times New Roman" w:hAnsi="Arial" w:cs="Arial"/>
          <w:sz w:val="24"/>
          <w:szCs w:val="24"/>
          <w:lang w:eastAsia="fr-FR"/>
        </w:rPr>
        <w:t>4</w:t>
      </w:r>
      <w:r w:rsidR="0056434D" w:rsidRPr="00745361">
        <w:rPr>
          <w:rFonts w:ascii="Arial" w:eastAsia="Times New Roman" w:hAnsi="Arial" w:cs="Arial"/>
          <w:sz w:val="24"/>
          <w:szCs w:val="24"/>
          <w:lang w:eastAsia="fr-FR"/>
        </w:rPr>
        <w:t xml:space="preserve"> </w:t>
      </w:r>
      <w:r w:rsidRPr="00745361">
        <w:rPr>
          <w:rFonts w:ascii="Arial" w:eastAsia="Times New Roman" w:hAnsi="Arial" w:cs="Arial"/>
          <w:sz w:val="24"/>
          <w:szCs w:val="24"/>
          <w:lang w:eastAsia="fr-FR"/>
        </w:rPr>
        <w:t>donne une représentation du modèle architectural cible des besoins en infrastructures. Cette architecture permettra d’assurer une redondance et une haute disponibilité des applications et autres services connexes de la santé</w:t>
      </w:r>
      <w:r w:rsidRPr="00B14E05">
        <w:rPr>
          <w:b/>
          <w:bCs/>
          <w:i/>
          <w:iCs/>
        </w:rPr>
        <w:t>.</w:t>
      </w:r>
      <w:r w:rsidR="008B5C60">
        <w:rPr>
          <w:rFonts w:ascii="Arial" w:hAnsi="Arial" w:cs="Arial"/>
          <w:sz w:val="24"/>
          <w:szCs w:val="24"/>
        </w:rPr>
        <w:t xml:space="preserve"> </w:t>
      </w:r>
      <w:r w:rsidR="004C2C66">
        <w:rPr>
          <w:rFonts w:ascii="Arial" w:hAnsi="Arial" w:cs="Arial"/>
          <w:sz w:val="24"/>
          <w:szCs w:val="24"/>
        </w:rPr>
        <w:t>L’ensemble des structures national</w:t>
      </w:r>
      <w:r w:rsidR="00311051">
        <w:rPr>
          <w:rFonts w:ascii="Arial" w:hAnsi="Arial" w:cs="Arial"/>
          <w:sz w:val="24"/>
          <w:szCs w:val="24"/>
        </w:rPr>
        <w:t>es</w:t>
      </w:r>
      <w:r w:rsidR="004C2C66">
        <w:rPr>
          <w:rFonts w:ascii="Arial" w:hAnsi="Arial" w:cs="Arial"/>
          <w:sz w:val="24"/>
          <w:szCs w:val="24"/>
        </w:rPr>
        <w:t xml:space="preserve"> susceptible</w:t>
      </w:r>
      <w:r w:rsidR="0056434D">
        <w:rPr>
          <w:rFonts w:ascii="Arial" w:hAnsi="Arial" w:cs="Arial"/>
          <w:sz w:val="24"/>
          <w:szCs w:val="24"/>
        </w:rPr>
        <w:t>s</w:t>
      </w:r>
      <w:r w:rsidR="004C2C66">
        <w:rPr>
          <w:rFonts w:ascii="Arial" w:hAnsi="Arial" w:cs="Arial"/>
          <w:sz w:val="24"/>
          <w:szCs w:val="24"/>
        </w:rPr>
        <w:t xml:space="preserve"> d’être mis</w:t>
      </w:r>
      <w:r w:rsidR="00C51600">
        <w:rPr>
          <w:rFonts w:ascii="Arial" w:hAnsi="Arial" w:cs="Arial"/>
          <w:sz w:val="24"/>
          <w:szCs w:val="24"/>
        </w:rPr>
        <w:t>es</w:t>
      </w:r>
      <w:r w:rsidR="004C2C66">
        <w:rPr>
          <w:rFonts w:ascii="Arial" w:hAnsi="Arial" w:cs="Arial"/>
          <w:sz w:val="24"/>
          <w:szCs w:val="24"/>
        </w:rPr>
        <w:t xml:space="preserve"> en concurrence pour </w:t>
      </w:r>
      <w:r w:rsidR="00311051">
        <w:rPr>
          <w:rFonts w:ascii="Arial" w:hAnsi="Arial" w:cs="Arial"/>
          <w:sz w:val="24"/>
          <w:szCs w:val="24"/>
        </w:rPr>
        <w:t xml:space="preserve">l’hébergement </w:t>
      </w:r>
      <w:r w:rsidR="004C2C66">
        <w:rPr>
          <w:rFonts w:ascii="Arial" w:hAnsi="Arial" w:cs="Arial"/>
          <w:sz w:val="24"/>
          <w:szCs w:val="24"/>
        </w:rPr>
        <w:t>ont été matérialisé</w:t>
      </w:r>
      <w:r w:rsidR="00C51600">
        <w:rPr>
          <w:rFonts w:ascii="Arial" w:hAnsi="Arial" w:cs="Arial"/>
          <w:sz w:val="24"/>
          <w:szCs w:val="24"/>
        </w:rPr>
        <w:t>es</w:t>
      </w:r>
      <w:r w:rsidR="004C2C66">
        <w:rPr>
          <w:rFonts w:ascii="Arial" w:hAnsi="Arial" w:cs="Arial"/>
          <w:sz w:val="24"/>
          <w:szCs w:val="24"/>
        </w:rPr>
        <w:t>.</w:t>
      </w:r>
    </w:p>
    <w:p w14:paraId="16EAAE03" w14:textId="77777777" w:rsidR="004C2C66" w:rsidRDefault="004C2C66" w:rsidP="00A406A2">
      <w:pPr>
        <w:spacing w:after="0" w:line="240" w:lineRule="auto"/>
        <w:jc w:val="both"/>
        <w:rPr>
          <w:rFonts w:ascii="Arial" w:hAnsi="Arial" w:cs="Arial"/>
          <w:sz w:val="24"/>
          <w:szCs w:val="24"/>
        </w:rPr>
      </w:pPr>
    </w:p>
    <w:p w14:paraId="19FED433" w14:textId="267C86A3" w:rsidR="004C2C66" w:rsidRDefault="00682AAD" w:rsidP="00A406A2">
      <w:pPr>
        <w:spacing w:after="0" w:line="240" w:lineRule="auto"/>
        <w:jc w:val="both"/>
        <w:rPr>
          <w:rFonts w:ascii="Arial" w:hAnsi="Arial" w:cs="Arial"/>
          <w:sz w:val="24"/>
          <w:szCs w:val="24"/>
        </w:rPr>
      </w:pPr>
      <w:r>
        <w:rPr>
          <w:rFonts w:ascii="Arial" w:hAnsi="Arial" w:cs="Arial"/>
          <w:noProof/>
          <w:sz w:val="24"/>
          <w:szCs w:val="24"/>
          <w:lang w:eastAsia="fr-FR"/>
        </w:rPr>
        <w:lastRenderedPageBreak/>
        <w:drawing>
          <wp:inline distT="0" distB="0" distL="0" distR="0" wp14:anchorId="1245E65F" wp14:editId="2CC7E7C5">
            <wp:extent cx="6209969" cy="4236140"/>
            <wp:effectExtent l="0" t="0" r="63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6233191" cy="4251981"/>
                    </a:xfrm>
                    <a:prstGeom prst="rect">
                      <a:avLst/>
                    </a:prstGeom>
                  </pic:spPr>
                </pic:pic>
              </a:graphicData>
            </a:graphic>
          </wp:inline>
        </w:drawing>
      </w:r>
    </w:p>
    <w:p w14:paraId="3212F641" w14:textId="77777777" w:rsidR="004C2C66" w:rsidRDefault="004C2C66" w:rsidP="00A406A2">
      <w:pPr>
        <w:spacing w:after="0" w:line="240" w:lineRule="auto"/>
        <w:jc w:val="both"/>
        <w:rPr>
          <w:rFonts w:ascii="Arial" w:hAnsi="Arial" w:cs="Arial"/>
          <w:sz w:val="24"/>
          <w:szCs w:val="24"/>
        </w:rPr>
      </w:pPr>
    </w:p>
    <w:p w14:paraId="07BD3456" w14:textId="34314757" w:rsidR="004C2C66" w:rsidRDefault="004C2C66" w:rsidP="004C2C66">
      <w:pPr>
        <w:pStyle w:val="Caption"/>
        <w:jc w:val="center"/>
        <w:rPr>
          <w:rFonts w:ascii="Arial" w:hAnsi="Arial" w:cs="Arial"/>
          <w:sz w:val="24"/>
          <w:szCs w:val="24"/>
        </w:rPr>
      </w:pPr>
      <w:bookmarkStart w:id="24" w:name="_Toc94941317"/>
      <w:r w:rsidRPr="004C2C66">
        <w:rPr>
          <w:rFonts w:ascii="Arial" w:hAnsi="Arial" w:cs="Arial"/>
          <w:sz w:val="24"/>
          <w:szCs w:val="24"/>
        </w:rPr>
        <w:t xml:space="preserve">Figure </w:t>
      </w:r>
      <w:r w:rsidRPr="004C2C66">
        <w:rPr>
          <w:rFonts w:ascii="Arial" w:hAnsi="Arial" w:cs="Arial"/>
          <w:sz w:val="24"/>
          <w:szCs w:val="24"/>
        </w:rPr>
        <w:fldChar w:fldCharType="begin"/>
      </w:r>
      <w:r w:rsidRPr="004C2C66">
        <w:rPr>
          <w:rFonts w:ascii="Arial" w:hAnsi="Arial" w:cs="Arial"/>
          <w:sz w:val="24"/>
          <w:szCs w:val="24"/>
        </w:rPr>
        <w:instrText xml:space="preserve"> SEQ Figure \* ARABIC </w:instrText>
      </w:r>
      <w:r w:rsidRPr="004C2C66">
        <w:rPr>
          <w:rFonts w:ascii="Arial" w:hAnsi="Arial" w:cs="Arial"/>
          <w:sz w:val="24"/>
          <w:szCs w:val="24"/>
        </w:rPr>
        <w:fldChar w:fldCharType="separate"/>
      </w:r>
      <w:r w:rsidR="00004163">
        <w:rPr>
          <w:rFonts w:ascii="Arial" w:hAnsi="Arial" w:cs="Arial"/>
          <w:noProof/>
          <w:sz w:val="24"/>
          <w:szCs w:val="24"/>
        </w:rPr>
        <w:t>4</w:t>
      </w:r>
      <w:r w:rsidRPr="004C2C66">
        <w:rPr>
          <w:rFonts w:ascii="Arial" w:hAnsi="Arial" w:cs="Arial"/>
          <w:sz w:val="24"/>
          <w:szCs w:val="24"/>
        </w:rPr>
        <w:fldChar w:fldCharType="end"/>
      </w:r>
      <w:r w:rsidRPr="004C2C66">
        <w:rPr>
          <w:rFonts w:ascii="Arial" w:hAnsi="Arial" w:cs="Arial"/>
          <w:sz w:val="24"/>
          <w:szCs w:val="24"/>
        </w:rPr>
        <w:t xml:space="preserve"> : Modèle architectural cible du Data </w:t>
      </w:r>
      <w:r w:rsidR="00C51600">
        <w:rPr>
          <w:rFonts w:ascii="Arial" w:hAnsi="Arial" w:cs="Arial"/>
          <w:sz w:val="24"/>
          <w:szCs w:val="24"/>
        </w:rPr>
        <w:t>C</w:t>
      </w:r>
      <w:r w:rsidRPr="004C2C66">
        <w:rPr>
          <w:rFonts w:ascii="Arial" w:hAnsi="Arial" w:cs="Arial"/>
          <w:sz w:val="24"/>
          <w:szCs w:val="24"/>
        </w:rPr>
        <w:t>enter du ministère de la santé et du système de redondance</w:t>
      </w:r>
      <w:bookmarkEnd w:id="24"/>
      <w:r w:rsidRPr="004C2C66">
        <w:rPr>
          <w:rFonts w:ascii="Arial" w:hAnsi="Arial" w:cs="Arial"/>
          <w:sz w:val="24"/>
          <w:szCs w:val="24"/>
        </w:rPr>
        <w:t xml:space="preserve"> </w:t>
      </w:r>
    </w:p>
    <w:p w14:paraId="4A1A69DF" w14:textId="77777777" w:rsidR="008B5C60" w:rsidRPr="00900412" w:rsidRDefault="008B5C60" w:rsidP="00900412"/>
    <w:p w14:paraId="42AFF566" w14:textId="67BFC21D" w:rsidR="004C2C66" w:rsidRPr="00807493" w:rsidRDefault="004C2C66" w:rsidP="000C68B4">
      <w:pPr>
        <w:pStyle w:val="Heading2"/>
        <w:rPr>
          <w:rFonts w:ascii="Arial" w:hAnsi="Arial" w:cs="Arial"/>
          <w:b/>
          <w:i/>
          <w:iCs/>
          <w:color w:val="000000" w:themeColor="text1"/>
          <w:sz w:val="24"/>
          <w:szCs w:val="24"/>
        </w:rPr>
      </w:pPr>
      <w:bookmarkStart w:id="25" w:name="_Toc95082859"/>
      <w:r w:rsidRPr="00807493">
        <w:rPr>
          <w:rFonts w:ascii="Arial" w:hAnsi="Arial" w:cs="Arial"/>
          <w:b/>
          <w:i/>
          <w:iCs/>
          <w:color w:val="000000" w:themeColor="text1"/>
          <w:sz w:val="24"/>
          <w:szCs w:val="24"/>
        </w:rPr>
        <w:t>2.</w:t>
      </w:r>
      <w:r w:rsidR="00A601EE" w:rsidRPr="00807493">
        <w:rPr>
          <w:rFonts w:ascii="Arial" w:hAnsi="Arial" w:cs="Arial"/>
          <w:b/>
          <w:i/>
          <w:iCs/>
          <w:color w:val="000000" w:themeColor="text1"/>
          <w:sz w:val="24"/>
          <w:szCs w:val="24"/>
        </w:rPr>
        <w:t>2</w:t>
      </w:r>
      <w:r w:rsidRPr="00807493">
        <w:rPr>
          <w:rFonts w:ascii="Arial" w:hAnsi="Arial" w:cs="Arial"/>
          <w:b/>
          <w:i/>
          <w:iCs/>
          <w:color w:val="000000" w:themeColor="text1"/>
          <w:sz w:val="24"/>
          <w:szCs w:val="24"/>
        </w:rPr>
        <w:t xml:space="preserve"> Architecture d</w:t>
      </w:r>
      <w:r w:rsidR="00A54759" w:rsidRPr="00807493">
        <w:rPr>
          <w:rFonts w:ascii="Arial" w:hAnsi="Arial" w:cs="Arial"/>
          <w:b/>
          <w:i/>
          <w:iCs/>
          <w:color w:val="000000" w:themeColor="text1"/>
          <w:sz w:val="24"/>
          <w:szCs w:val="24"/>
        </w:rPr>
        <w:t xml:space="preserve">e l’entrepôt de données </w:t>
      </w:r>
      <w:r w:rsidRPr="00807493">
        <w:rPr>
          <w:rFonts w:ascii="Arial" w:hAnsi="Arial" w:cs="Arial"/>
          <w:b/>
          <w:i/>
          <w:iCs/>
          <w:color w:val="000000" w:themeColor="text1"/>
          <w:sz w:val="24"/>
          <w:szCs w:val="24"/>
        </w:rPr>
        <w:t>du ministère de la santé</w:t>
      </w:r>
      <w:bookmarkEnd w:id="25"/>
    </w:p>
    <w:p w14:paraId="54600553" w14:textId="383A187E" w:rsidR="00A601EE" w:rsidRDefault="008B5C60" w:rsidP="00A54759">
      <w:pPr>
        <w:spacing w:after="0" w:line="360" w:lineRule="auto"/>
        <w:jc w:val="both"/>
        <w:rPr>
          <w:rFonts w:ascii="Arial" w:hAnsi="Arial" w:cs="Arial"/>
          <w:sz w:val="24"/>
          <w:szCs w:val="24"/>
        </w:rPr>
      </w:pPr>
      <w:r>
        <w:rPr>
          <w:rFonts w:ascii="Arial" w:hAnsi="Arial" w:cs="Arial"/>
          <w:sz w:val="24"/>
          <w:szCs w:val="24"/>
        </w:rPr>
        <w:t xml:space="preserve">   </w:t>
      </w:r>
      <w:r w:rsidR="00F30916">
        <w:rPr>
          <w:rFonts w:ascii="Arial" w:hAnsi="Arial" w:cs="Arial"/>
          <w:sz w:val="24"/>
          <w:szCs w:val="24"/>
        </w:rPr>
        <w:t xml:space="preserve">Le déploiement de toutes les bases de données opérationnelles sur le serveur du site de production est un préalable avant la constitution de l’entrepôt de données. </w:t>
      </w:r>
    </w:p>
    <w:p w14:paraId="3F5AC1DA" w14:textId="19EDC04D" w:rsidR="00F30916" w:rsidRDefault="00F30916" w:rsidP="00A54759">
      <w:pPr>
        <w:spacing w:after="0" w:line="360" w:lineRule="auto"/>
        <w:jc w:val="both"/>
        <w:rPr>
          <w:rFonts w:ascii="Arial" w:hAnsi="Arial" w:cs="Arial"/>
          <w:sz w:val="24"/>
          <w:szCs w:val="24"/>
        </w:rPr>
      </w:pPr>
      <w:r w:rsidRPr="00F30916">
        <w:rPr>
          <w:rFonts w:ascii="Arial" w:hAnsi="Arial" w:cs="Arial"/>
          <w:sz w:val="24"/>
          <w:szCs w:val="24"/>
        </w:rPr>
        <w:t>Un entrepôt de données est un processus de collecte et de gestion de données provenant de sources variées</w:t>
      </w:r>
      <w:r w:rsidR="00992800">
        <w:rPr>
          <w:rFonts w:ascii="Arial" w:hAnsi="Arial" w:cs="Arial"/>
          <w:sz w:val="24"/>
          <w:szCs w:val="24"/>
        </w:rPr>
        <w:t xml:space="preserve"> </w:t>
      </w:r>
      <w:r w:rsidR="008B5C60">
        <w:rPr>
          <w:rFonts w:ascii="Arial" w:hAnsi="Arial" w:cs="Arial"/>
          <w:sz w:val="24"/>
          <w:szCs w:val="24"/>
        </w:rPr>
        <w:t>(</w:t>
      </w:r>
      <w:r w:rsidR="00992800" w:rsidRPr="00992800">
        <w:rPr>
          <w:rFonts w:ascii="Arial" w:hAnsi="Arial" w:cs="Arial"/>
          <w:sz w:val="24"/>
          <w:szCs w:val="24"/>
        </w:rPr>
        <w:t>base de données opérationnelles</w:t>
      </w:r>
      <w:r w:rsidR="00992800">
        <w:rPr>
          <w:rFonts w:ascii="Arial" w:hAnsi="Arial" w:cs="Arial"/>
          <w:sz w:val="24"/>
          <w:szCs w:val="24"/>
        </w:rPr>
        <w:t>)</w:t>
      </w:r>
      <w:r w:rsidRPr="00F30916">
        <w:rPr>
          <w:rFonts w:ascii="Arial" w:hAnsi="Arial" w:cs="Arial"/>
          <w:sz w:val="24"/>
          <w:szCs w:val="24"/>
        </w:rPr>
        <w:t xml:space="preserve"> afin de fournir des informations utiles </w:t>
      </w:r>
      <w:r>
        <w:rPr>
          <w:rFonts w:ascii="Arial" w:hAnsi="Arial" w:cs="Arial"/>
          <w:sz w:val="24"/>
          <w:szCs w:val="24"/>
        </w:rPr>
        <w:t>pour la prise de décision,</w:t>
      </w:r>
      <w:r w:rsidRPr="00F30916">
        <w:rPr>
          <w:rFonts w:ascii="Arial" w:hAnsi="Arial" w:cs="Arial"/>
          <w:sz w:val="24"/>
          <w:szCs w:val="24"/>
        </w:rPr>
        <w:t xml:space="preserve"> soutenir les activités de veille stratégique, en particulier l'interrogation et l'analyse plutôt que pour le traitement des transactions. Il s'agit d'un processus de transformation des données en informations et de leur mise à disposition en temps utile.</w:t>
      </w:r>
    </w:p>
    <w:p w14:paraId="5625397E" w14:textId="1FF27436" w:rsidR="00992800" w:rsidRDefault="00992800" w:rsidP="00A54759">
      <w:pPr>
        <w:spacing w:after="0" w:line="360" w:lineRule="auto"/>
        <w:jc w:val="both"/>
        <w:rPr>
          <w:rFonts w:ascii="Arial" w:hAnsi="Arial" w:cs="Arial"/>
          <w:sz w:val="24"/>
          <w:szCs w:val="24"/>
        </w:rPr>
      </w:pPr>
      <w:r w:rsidRPr="00992800">
        <w:rPr>
          <w:rFonts w:ascii="Arial" w:hAnsi="Arial" w:cs="Arial"/>
          <w:sz w:val="24"/>
          <w:szCs w:val="24"/>
        </w:rPr>
        <w:t xml:space="preserve">Selon </w:t>
      </w:r>
      <w:r w:rsidRPr="00807493">
        <w:rPr>
          <w:rFonts w:ascii="Arial" w:hAnsi="Arial" w:cs="Arial"/>
          <w:b/>
          <w:sz w:val="24"/>
          <w:szCs w:val="24"/>
        </w:rPr>
        <w:t xml:space="preserve">Bill </w:t>
      </w:r>
      <w:proofErr w:type="spellStart"/>
      <w:r w:rsidRPr="00807493">
        <w:rPr>
          <w:rFonts w:ascii="Arial" w:hAnsi="Arial" w:cs="Arial"/>
          <w:b/>
          <w:sz w:val="24"/>
          <w:szCs w:val="24"/>
        </w:rPr>
        <w:t>Inmon</w:t>
      </w:r>
      <w:proofErr w:type="spellEnd"/>
      <w:r w:rsidRPr="00992800">
        <w:rPr>
          <w:rFonts w:ascii="Arial" w:hAnsi="Arial" w:cs="Arial"/>
          <w:sz w:val="24"/>
          <w:szCs w:val="24"/>
        </w:rPr>
        <w:t xml:space="preserve">, un data </w:t>
      </w:r>
      <w:proofErr w:type="spellStart"/>
      <w:r w:rsidRPr="00992800">
        <w:rPr>
          <w:rFonts w:ascii="Arial" w:hAnsi="Arial" w:cs="Arial"/>
          <w:sz w:val="24"/>
          <w:szCs w:val="24"/>
        </w:rPr>
        <w:t>warehouse</w:t>
      </w:r>
      <w:proofErr w:type="spellEnd"/>
      <w:r w:rsidRPr="00992800">
        <w:rPr>
          <w:rFonts w:ascii="Arial" w:hAnsi="Arial" w:cs="Arial"/>
          <w:sz w:val="24"/>
          <w:szCs w:val="24"/>
        </w:rPr>
        <w:t xml:space="preserve"> est une collection de données thématiques, intégrées, non volatiles et historisées pour la prise de décisions.</w:t>
      </w:r>
    </w:p>
    <w:p w14:paraId="4FDBD2CB" w14:textId="77777777" w:rsidR="00992800" w:rsidRDefault="00992800" w:rsidP="00A54759">
      <w:pPr>
        <w:spacing w:after="0" w:line="360" w:lineRule="auto"/>
        <w:jc w:val="both"/>
        <w:rPr>
          <w:rFonts w:ascii="Arial" w:hAnsi="Arial" w:cs="Arial"/>
          <w:sz w:val="24"/>
          <w:szCs w:val="24"/>
        </w:rPr>
      </w:pPr>
    </w:p>
    <w:p w14:paraId="2017B23A" w14:textId="77777777" w:rsidR="008B5C60" w:rsidRDefault="008B5C60" w:rsidP="00A54759">
      <w:pPr>
        <w:spacing w:after="0" w:line="360" w:lineRule="auto"/>
        <w:jc w:val="both"/>
        <w:rPr>
          <w:rFonts w:ascii="Arial" w:hAnsi="Arial" w:cs="Arial"/>
          <w:sz w:val="24"/>
          <w:szCs w:val="24"/>
        </w:rPr>
        <w:sectPr w:rsidR="008B5C60">
          <w:pgSz w:w="11906" w:h="16838"/>
          <w:pgMar w:top="1417" w:right="1417" w:bottom="1417" w:left="1417" w:header="708" w:footer="708" w:gutter="0"/>
          <w:cols w:space="708"/>
          <w:docGrid w:linePitch="360"/>
        </w:sectPr>
      </w:pPr>
    </w:p>
    <w:p w14:paraId="47ED7E99" w14:textId="77777777" w:rsidR="008B5C60" w:rsidRDefault="008B5C60" w:rsidP="00A54759">
      <w:pPr>
        <w:spacing w:after="0" w:line="360" w:lineRule="auto"/>
        <w:jc w:val="both"/>
        <w:rPr>
          <w:rFonts w:ascii="Arial" w:hAnsi="Arial" w:cs="Arial"/>
          <w:sz w:val="24"/>
          <w:szCs w:val="24"/>
        </w:rPr>
      </w:pPr>
      <w:r>
        <w:rPr>
          <w:rFonts w:ascii="Arial" w:hAnsi="Arial" w:cs="Arial"/>
          <w:sz w:val="24"/>
          <w:szCs w:val="24"/>
        </w:rPr>
        <w:lastRenderedPageBreak/>
        <w:t xml:space="preserve"> </w:t>
      </w:r>
      <w:r w:rsidR="001813E5">
        <w:rPr>
          <w:rFonts w:ascii="Arial" w:hAnsi="Arial" w:cs="Arial"/>
          <w:sz w:val="24"/>
          <w:szCs w:val="24"/>
        </w:rPr>
        <w:t xml:space="preserve">L’analyse des applications déployées a permis </w:t>
      </w:r>
      <w:r w:rsidR="000F414B">
        <w:rPr>
          <w:rFonts w:ascii="Arial" w:hAnsi="Arial" w:cs="Arial"/>
          <w:sz w:val="24"/>
          <w:szCs w:val="24"/>
        </w:rPr>
        <w:t>de cartographier l’essentiel des</w:t>
      </w:r>
      <w:r w:rsidR="001813E5">
        <w:rPr>
          <w:rFonts w:ascii="Arial" w:hAnsi="Arial" w:cs="Arial"/>
          <w:sz w:val="24"/>
          <w:szCs w:val="24"/>
        </w:rPr>
        <w:t xml:space="preserve"> bases de données </w:t>
      </w:r>
      <w:r w:rsidR="000F414B">
        <w:rPr>
          <w:rFonts w:ascii="Arial" w:hAnsi="Arial" w:cs="Arial"/>
          <w:sz w:val="24"/>
          <w:szCs w:val="24"/>
        </w:rPr>
        <w:t xml:space="preserve">ayant une architecture </w:t>
      </w:r>
      <w:r w:rsidR="001813E5">
        <w:rPr>
          <w:rFonts w:ascii="Arial" w:hAnsi="Arial" w:cs="Arial"/>
          <w:sz w:val="24"/>
          <w:szCs w:val="24"/>
        </w:rPr>
        <w:t>client-serveur</w:t>
      </w:r>
      <w:r w:rsidR="000F414B">
        <w:rPr>
          <w:rFonts w:ascii="Arial" w:hAnsi="Arial" w:cs="Arial"/>
          <w:sz w:val="24"/>
          <w:szCs w:val="24"/>
        </w:rPr>
        <w:t>, et celles constituées de</w:t>
      </w:r>
      <w:r w:rsidR="001813E5">
        <w:rPr>
          <w:rFonts w:ascii="Arial" w:hAnsi="Arial" w:cs="Arial"/>
          <w:sz w:val="24"/>
          <w:szCs w:val="24"/>
        </w:rPr>
        <w:t xml:space="preserve"> fichiers plats</w:t>
      </w:r>
      <w:r w:rsidR="000F414B">
        <w:rPr>
          <w:rFonts w:ascii="Arial" w:hAnsi="Arial" w:cs="Arial"/>
          <w:sz w:val="24"/>
          <w:szCs w:val="24"/>
        </w:rPr>
        <w:t xml:space="preserve"> (voir figure </w:t>
      </w:r>
      <w:r w:rsidR="00A54759">
        <w:rPr>
          <w:rFonts w:ascii="Arial" w:hAnsi="Arial" w:cs="Arial"/>
          <w:sz w:val="24"/>
          <w:szCs w:val="24"/>
        </w:rPr>
        <w:t>1</w:t>
      </w:r>
      <w:r w:rsidR="000F414B">
        <w:rPr>
          <w:rFonts w:ascii="Arial" w:hAnsi="Arial" w:cs="Arial"/>
          <w:sz w:val="24"/>
          <w:szCs w:val="24"/>
        </w:rPr>
        <w:t>)</w:t>
      </w:r>
      <w:r w:rsidR="00CD041D" w:rsidRPr="008B3F0A">
        <w:rPr>
          <w:rFonts w:ascii="Arial" w:hAnsi="Arial" w:cs="Arial"/>
          <w:sz w:val="24"/>
          <w:szCs w:val="24"/>
        </w:rPr>
        <w:t>.</w:t>
      </w:r>
      <w:r w:rsidR="000F414B">
        <w:rPr>
          <w:rFonts w:ascii="Arial" w:hAnsi="Arial" w:cs="Arial"/>
          <w:sz w:val="24"/>
          <w:szCs w:val="24"/>
        </w:rPr>
        <w:t xml:space="preserve"> </w:t>
      </w:r>
    </w:p>
    <w:p w14:paraId="35C7B30A" w14:textId="26BFB889" w:rsidR="00F30916" w:rsidRDefault="008B5C60" w:rsidP="00A54759">
      <w:pPr>
        <w:spacing w:after="0" w:line="360" w:lineRule="auto"/>
        <w:jc w:val="both"/>
        <w:rPr>
          <w:rFonts w:ascii="Arial" w:hAnsi="Arial" w:cs="Arial"/>
          <w:sz w:val="24"/>
          <w:szCs w:val="24"/>
        </w:rPr>
      </w:pPr>
      <w:r>
        <w:rPr>
          <w:rFonts w:ascii="Arial" w:hAnsi="Arial" w:cs="Arial"/>
          <w:sz w:val="24"/>
          <w:szCs w:val="24"/>
        </w:rPr>
        <w:t xml:space="preserve"> </w:t>
      </w:r>
      <w:r w:rsidR="00A54759" w:rsidRPr="00A54759">
        <w:rPr>
          <w:rFonts w:ascii="Arial" w:hAnsi="Arial" w:cs="Arial"/>
          <w:sz w:val="24"/>
          <w:szCs w:val="24"/>
        </w:rPr>
        <w:t xml:space="preserve">Dans ce contexte, </w:t>
      </w:r>
      <w:r w:rsidR="00F30916">
        <w:rPr>
          <w:rFonts w:ascii="Arial" w:hAnsi="Arial" w:cs="Arial"/>
          <w:sz w:val="24"/>
          <w:szCs w:val="24"/>
        </w:rPr>
        <w:t xml:space="preserve">la mise en place d’un entrepôt de données permettra d’effectuer des </w:t>
      </w:r>
      <w:r w:rsidR="00F30916" w:rsidRPr="00F30916">
        <w:rPr>
          <w:rFonts w:ascii="Arial" w:hAnsi="Arial" w:cs="Arial"/>
          <w:sz w:val="24"/>
          <w:szCs w:val="24"/>
        </w:rPr>
        <w:t xml:space="preserve">requêtes et des analyses </w:t>
      </w:r>
      <w:r w:rsidR="00F30916">
        <w:rPr>
          <w:rFonts w:ascii="Arial" w:hAnsi="Arial" w:cs="Arial"/>
          <w:sz w:val="24"/>
          <w:szCs w:val="24"/>
        </w:rPr>
        <w:t>sur l’ensemble des</w:t>
      </w:r>
      <w:r w:rsidR="00F30916" w:rsidRPr="00F30916">
        <w:rPr>
          <w:rFonts w:ascii="Arial" w:hAnsi="Arial" w:cs="Arial"/>
          <w:sz w:val="24"/>
          <w:szCs w:val="24"/>
        </w:rPr>
        <w:t xml:space="preserve"> données historiques</w:t>
      </w:r>
      <w:r w:rsidR="00F30916">
        <w:rPr>
          <w:rFonts w:ascii="Arial" w:hAnsi="Arial" w:cs="Arial"/>
          <w:sz w:val="24"/>
          <w:szCs w:val="24"/>
        </w:rPr>
        <w:t xml:space="preserve"> des applications </w:t>
      </w:r>
      <w:r w:rsidR="00992800">
        <w:rPr>
          <w:rFonts w:ascii="Arial" w:hAnsi="Arial" w:cs="Arial"/>
          <w:sz w:val="24"/>
          <w:szCs w:val="24"/>
        </w:rPr>
        <w:t>métiers répertoriées ou à venir.</w:t>
      </w:r>
    </w:p>
    <w:p w14:paraId="5E22212B" w14:textId="40ADD196" w:rsidR="00A54759" w:rsidRDefault="00A54759" w:rsidP="00992800">
      <w:pPr>
        <w:spacing w:after="0" w:line="360" w:lineRule="auto"/>
        <w:jc w:val="both"/>
        <w:rPr>
          <w:rFonts w:ascii="Arial" w:hAnsi="Arial" w:cs="Arial"/>
          <w:sz w:val="24"/>
          <w:szCs w:val="24"/>
        </w:rPr>
      </w:pPr>
      <w:r>
        <w:rPr>
          <w:rFonts w:ascii="Arial" w:hAnsi="Arial" w:cs="Arial"/>
          <w:sz w:val="24"/>
          <w:szCs w:val="24"/>
        </w:rPr>
        <w:t xml:space="preserve">Pour améliorer la performance du SNIS et faciliter une prise de décision sur </w:t>
      </w:r>
      <w:r w:rsidR="00A601EE">
        <w:rPr>
          <w:rFonts w:ascii="Arial" w:hAnsi="Arial" w:cs="Arial"/>
          <w:sz w:val="24"/>
          <w:szCs w:val="24"/>
        </w:rPr>
        <w:t>une</w:t>
      </w:r>
      <w:r>
        <w:rPr>
          <w:rFonts w:ascii="Arial" w:hAnsi="Arial" w:cs="Arial"/>
          <w:sz w:val="24"/>
          <w:szCs w:val="24"/>
        </w:rPr>
        <w:t xml:space="preserve"> </w:t>
      </w:r>
      <w:r w:rsidR="00A601EE">
        <w:rPr>
          <w:rFonts w:ascii="Arial" w:hAnsi="Arial" w:cs="Arial"/>
          <w:sz w:val="24"/>
          <w:szCs w:val="24"/>
        </w:rPr>
        <w:t>base</w:t>
      </w:r>
      <w:r>
        <w:rPr>
          <w:rFonts w:ascii="Arial" w:hAnsi="Arial" w:cs="Arial"/>
          <w:sz w:val="24"/>
          <w:szCs w:val="24"/>
        </w:rPr>
        <w:t xml:space="preserve"> probante et exhaustive</w:t>
      </w:r>
      <w:r w:rsidR="00F67700">
        <w:rPr>
          <w:rFonts w:ascii="Arial" w:hAnsi="Arial" w:cs="Arial"/>
          <w:sz w:val="24"/>
          <w:szCs w:val="24"/>
        </w:rPr>
        <w:t>,</w:t>
      </w:r>
      <w:r>
        <w:rPr>
          <w:rFonts w:ascii="Arial" w:hAnsi="Arial" w:cs="Arial"/>
          <w:sz w:val="24"/>
          <w:szCs w:val="24"/>
        </w:rPr>
        <w:t xml:space="preserve"> la </w:t>
      </w:r>
      <w:r w:rsidRPr="00A54759">
        <w:rPr>
          <w:rFonts w:ascii="Arial" w:hAnsi="Arial" w:cs="Arial"/>
          <w:sz w:val="24"/>
          <w:szCs w:val="24"/>
        </w:rPr>
        <w:t xml:space="preserve">réalisation d’un </w:t>
      </w:r>
      <w:r w:rsidR="00992800">
        <w:rPr>
          <w:rFonts w:ascii="Arial" w:hAnsi="Arial" w:cs="Arial"/>
          <w:sz w:val="24"/>
          <w:szCs w:val="24"/>
        </w:rPr>
        <w:t>entrepôt de données (</w:t>
      </w:r>
      <w:r w:rsidRPr="00A54759">
        <w:rPr>
          <w:rFonts w:ascii="Arial" w:hAnsi="Arial" w:cs="Arial"/>
          <w:sz w:val="24"/>
          <w:szCs w:val="24"/>
        </w:rPr>
        <w:t xml:space="preserve">data </w:t>
      </w:r>
      <w:proofErr w:type="spellStart"/>
      <w:r w:rsidRPr="00A54759">
        <w:rPr>
          <w:rFonts w:ascii="Arial" w:hAnsi="Arial" w:cs="Arial"/>
          <w:sz w:val="24"/>
          <w:szCs w:val="24"/>
        </w:rPr>
        <w:t>warehouse</w:t>
      </w:r>
      <w:proofErr w:type="spellEnd"/>
      <w:r w:rsidR="00992800">
        <w:rPr>
          <w:rFonts w:ascii="Arial" w:hAnsi="Arial" w:cs="Arial"/>
          <w:sz w:val="24"/>
          <w:szCs w:val="24"/>
        </w:rPr>
        <w:t>)</w:t>
      </w:r>
      <w:r>
        <w:rPr>
          <w:rFonts w:ascii="Arial" w:hAnsi="Arial" w:cs="Arial"/>
          <w:sz w:val="24"/>
          <w:szCs w:val="24"/>
        </w:rPr>
        <w:t xml:space="preserve"> est </w:t>
      </w:r>
      <w:r w:rsidR="0042573E">
        <w:rPr>
          <w:rFonts w:ascii="Arial" w:hAnsi="Arial" w:cs="Arial"/>
          <w:sz w:val="24"/>
          <w:szCs w:val="24"/>
        </w:rPr>
        <w:t>l’</w:t>
      </w:r>
      <w:r>
        <w:rPr>
          <w:rFonts w:ascii="Arial" w:hAnsi="Arial" w:cs="Arial"/>
          <w:sz w:val="24"/>
          <w:szCs w:val="24"/>
        </w:rPr>
        <w:t>une des priorités d</w:t>
      </w:r>
      <w:r w:rsidR="00A45512">
        <w:rPr>
          <w:rFonts w:ascii="Arial" w:hAnsi="Arial" w:cs="Arial"/>
          <w:sz w:val="24"/>
          <w:szCs w:val="24"/>
        </w:rPr>
        <w:t>e la</w:t>
      </w:r>
      <w:r>
        <w:rPr>
          <w:rFonts w:ascii="Arial" w:hAnsi="Arial" w:cs="Arial"/>
          <w:sz w:val="24"/>
          <w:szCs w:val="24"/>
        </w:rPr>
        <w:t xml:space="preserve"> </w:t>
      </w:r>
      <w:r w:rsidRPr="00A45512">
        <w:rPr>
          <w:rFonts w:ascii="Arial" w:hAnsi="Arial" w:cs="Arial"/>
          <w:sz w:val="24"/>
          <w:szCs w:val="24"/>
        </w:rPr>
        <w:t>strat</w:t>
      </w:r>
      <w:r w:rsidR="00A45512" w:rsidRPr="00A45512">
        <w:rPr>
          <w:rFonts w:ascii="Arial" w:hAnsi="Arial" w:cs="Arial"/>
          <w:sz w:val="24"/>
          <w:szCs w:val="24"/>
        </w:rPr>
        <w:t>é</w:t>
      </w:r>
      <w:r w:rsidRPr="00A45512">
        <w:rPr>
          <w:rFonts w:ascii="Arial" w:hAnsi="Arial" w:cs="Arial"/>
          <w:sz w:val="24"/>
          <w:szCs w:val="24"/>
        </w:rPr>
        <w:t>gi</w:t>
      </w:r>
      <w:r w:rsidR="00A45512" w:rsidRPr="00A45512">
        <w:rPr>
          <w:rFonts w:ascii="Arial" w:hAnsi="Arial" w:cs="Arial"/>
          <w:sz w:val="24"/>
          <w:szCs w:val="24"/>
        </w:rPr>
        <w:t xml:space="preserve">e nationale </w:t>
      </w:r>
      <w:r w:rsidRPr="00A45512">
        <w:rPr>
          <w:rFonts w:ascii="Arial" w:hAnsi="Arial" w:cs="Arial"/>
          <w:sz w:val="24"/>
          <w:szCs w:val="24"/>
        </w:rPr>
        <w:t xml:space="preserve">santé numérique </w:t>
      </w:r>
      <w:r w:rsidR="00A45512" w:rsidRPr="00A45512">
        <w:rPr>
          <w:rFonts w:ascii="Arial" w:hAnsi="Arial" w:cs="Arial"/>
          <w:sz w:val="24"/>
          <w:szCs w:val="24"/>
        </w:rPr>
        <w:t>2021</w:t>
      </w:r>
      <w:r w:rsidR="00A45512">
        <w:rPr>
          <w:rFonts w:ascii="Arial" w:hAnsi="Arial" w:cs="Arial"/>
          <w:sz w:val="24"/>
          <w:szCs w:val="24"/>
        </w:rPr>
        <w:t>-2025</w:t>
      </w:r>
      <w:r>
        <w:rPr>
          <w:rFonts w:ascii="Arial" w:hAnsi="Arial" w:cs="Arial"/>
          <w:sz w:val="24"/>
          <w:szCs w:val="24"/>
        </w:rPr>
        <w:t xml:space="preserve">. </w:t>
      </w:r>
    </w:p>
    <w:p w14:paraId="2A0D13AC" w14:textId="674E3F28" w:rsidR="00992800" w:rsidRPr="00992800" w:rsidRDefault="00992800" w:rsidP="00992800">
      <w:pPr>
        <w:spacing w:after="0" w:line="360" w:lineRule="auto"/>
        <w:jc w:val="both"/>
        <w:rPr>
          <w:rFonts w:ascii="Arial" w:hAnsi="Arial" w:cs="Arial"/>
          <w:sz w:val="24"/>
          <w:szCs w:val="24"/>
        </w:rPr>
      </w:pPr>
      <w:r w:rsidRPr="00992800">
        <w:rPr>
          <w:rFonts w:ascii="Arial" w:hAnsi="Arial" w:cs="Arial"/>
          <w:sz w:val="24"/>
          <w:szCs w:val="24"/>
        </w:rPr>
        <w:t xml:space="preserve">Un </w:t>
      </w:r>
      <w:r w:rsidR="00C51600">
        <w:rPr>
          <w:rFonts w:ascii="Arial" w:hAnsi="Arial" w:cs="Arial"/>
          <w:sz w:val="24"/>
          <w:szCs w:val="24"/>
        </w:rPr>
        <w:t>D</w:t>
      </w:r>
      <w:r w:rsidRPr="00992800">
        <w:rPr>
          <w:rFonts w:ascii="Arial" w:hAnsi="Arial" w:cs="Arial"/>
          <w:sz w:val="24"/>
          <w:szCs w:val="24"/>
        </w:rPr>
        <w:t xml:space="preserve">ata </w:t>
      </w:r>
      <w:proofErr w:type="spellStart"/>
      <w:r w:rsidRPr="00992800">
        <w:rPr>
          <w:rFonts w:ascii="Arial" w:hAnsi="Arial" w:cs="Arial"/>
          <w:sz w:val="24"/>
          <w:szCs w:val="24"/>
        </w:rPr>
        <w:t>warehouse</w:t>
      </w:r>
      <w:proofErr w:type="spellEnd"/>
      <w:r w:rsidRPr="00992800">
        <w:rPr>
          <w:rFonts w:ascii="Arial" w:hAnsi="Arial" w:cs="Arial"/>
          <w:sz w:val="24"/>
          <w:szCs w:val="24"/>
        </w:rPr>
        <w:t xml:space="preserve"> traditionnel s’appuie sur une architecture trois tiers composée des tiers suivants :</w:t>
      </w:r>
    </w:p>
    <w:p w14:paraId="52B86E12" w14:textId="3FD9CF4D" w:rsidR="00992800" w:rsidRPr="00992800" w:rsidRDefault="00992800" w:rsidP="00992800">
      <w:pPr>
        <w:spacing w:after="0" w:line="360" w:lineRule="auto"/>
        <w:jc w:val="both"/>
        <w:rPr>
          <w:rFonts w:ascii="Arial" w:hAnsi="Arial" w:cs="Arial"/>
          <w:sz w:val="24"/>
          <w:szCs w:val="24"/>
        </w:rPr>
      </w:pPr>
      <w:r w:rsidRPr="00900412">
        <w:rPr>
          <w:rFonts w:ascii="Arial" w:hAnsi="Arial" w:cs="Arial"/>
          <w:b/>
          <w:bCs/>
          <w:i/>
          <w:iCs/>
          <w:sz w:val="24"/>
          <w:szCs w:val="24"/>
        </w:rPr>
        <w:t xml:space="preserve">- </w:t>
      </w:r>
      <w:r w:rsidR="0042573E">
        <w:rPr>
          <w:rFonts w:ascii="Arial" w:hAnsi="Arial" w:cs="Arial"/>
          <w:b/>
          <w:bCs/>
          <w:i/>
          <w:iCs/>
          <w:sz w:val="24"/>
          <w:szCs w:val="24"/>
        </w:rPr>
        <w:t>l</w:t>
      </w:r>
      <w:r w:rsidR="0042573E" w:rsidRPr="00900412">
        <w:rPr>
          <w:rFonts w:ascii="Arial" w:hAnsi="Arial" w:cs="Arial"/>
          <w:b/>
          <w:bCs/>
          <w:i/>
          <w:iCs/>
          <w:sz w:val="24"/>
          <w:szCs w:val="24"/>
        </w:rPr>
        <w:t xml:space="preserve">’accès </w:t>
      </w:r>
      <w:r w:rsidRPr="00900412">
        <w:rPr>
          <w:rFonts w:ascii="Arial" w:hAnsi="Arial" w:cs="Arial"/>
          <w:b/>
          <w:bCs/>
          <w:i/>
          <w:iCs/>
          <w:sz w:val="24"/>
          <w:szCs w:val="24"/>
        </w:rPr>
        <w:t>aux données</w:t>
      </w:r>
      <w:r w:rsidRPr="00992800">
        <w:rPr>
          <w:rFonts w:ascii="Arial" w:hAnsi="Arial" w:cs="Arial"/>
          <w:sz w:val="24"/>
          <w:szCs w:val="24"/>
        </w:rPr>
        <w:t xml:space="preserve"> : contient le serveur de base de données relationnelle, utilisé pour extraire les données de nombreuses sources différentes, comme les bases de données transactionnelles utilisées pour les applications front-end.</w:t>
      </w:r>
    </w:p>
    <w:p w14:paraId="08639869" w14:textId="7328D461" w:rsidR="00992800" w:rsidRPr="00992800" w:rsidRDefault="00992800" w:rsidP="00992800">
      <w:pPr>
        <w:spacing w:after="0" w:line="360" w:lineRule="auto"/>
        <w:jc w:val="both"/>
        <w:rPr>
          <w:rFonts w:ascii="Arial" w:hAnsi="Arial" w:cs="Arial"/>
          <w:sz w:val="24"/>
          <w:szCs w:val="24"/>
        </w:rPr>
      </w:pPr>
      <w:r w:rsidRPr="00900412">
        <w:rPr>
          <w:rFonts w:ascii="Arial" w:hAnsi="Arial" w:cs="Arial"/>
          <w:b/>
          <w:bCs/>
          <w:i/>
          <w:iCs/>
          <w:sz w:val="24"/>
          <w:szCs w:val="24"/>
        </w:rPr>
        <w:t xml:space="preserve">- </w:t>
      </w:r>
      <w:r w:rsidR="0042573E">
        <w:rPr>
          <w:rFonts w:ascii="Arial" w:hAnsi="Arial" w:cs="Arial"/>
          <w:b/>
          <w:bCs/>
          <w:i/>
          <w:iCs/>
          <w:sz w:val="24"/>
          <w:szCs w:val="24"/>
        </w:rPr>
        <w:t>l</w:t>
      </w:r>
      <w:r w:rsidR="0042573E" w:rsidRPr="00900412">
        <w:rPr>
          <w:rFonts w:ascii="Arial" w:hAnsi="Arial" w:cs="Arial"/>
          <w:b/>
          <w:bCs/>
          <w:i/>
          <w:iCs/>
          <w:sz w:val="24"/>
          <w:szCs w:val="24"/>
        </w:rPr>
        <w:t xml:space="preserve">e </w:t>
      </w:r>
      <w:r w:rsidRPr="00900412">
        <w:rPr>
          <w:rFonts w:ascii="Arial" w:hAnsi="Arial" w:cs="Arial"/>
          <w:b/>
          <w:bCs/>
          <w:i/>
          <w:iCs/>
          <w:sz w:val="24"/>
          <w:szCs w:val="24"/>
        </w:rPr>
        <w:t>serveur OLAP</w:t>
      </w:r>
      <w:r w:rsidRPr="00992800">
        <w:rPr>
          <w:rFonts w:ascii="Arial" w:hAnsi="Arial" w:cs="Arial"/>
          <w:sz w:val="24"/>
          <w:szCs w:val="24"/>
        </w:rPr>
        <w:t xml:space="preserve"> : transforme les données en une structure mieux adaptée à l’analyse et aux requêtes complexes. </w:t>
      </w:r>
      <w:r w:rsidR="0042573E">
        <w:rPr>
          <w:rFonts w:ascii="Arial" w:hAnsi="Arial" w:cs="Arial"/>
          <w:sz w:val="24"/>
          <w:szCs w:val="24"/>
        </w:rPr>
        <w:t>I</w:t>
      </w:r>
      <w:r w:rsidRPr="00992800">
        <w:rPr>
          <w:rFonts w:ascii="Arial" w:hAnsi="Arial" w:cs="Arial"/>
          <w:sz w:val="24"/>
          <w:szCs w:val="24"/>
        </w:rPr>
        <w:t xml:space="preserve">l permet l’analyse des données sous différents axes. </w:t>
      </w:r>
    </w:p>
    <w:p w14:paraId="2D31EC56" w14:textId="1CCB0FC7" w:rsidR="00992800" w:rsidRDefault="00992800" w:rsidP="00992800">
      <w:pPr>
        <w:spacing w:after="0" w:line="360" w:lineRule="auto"/>
        <w:jc w:val="both"/>
        <w:rPr>
          <w:rFonts w:ascii="Arial" w:hAnsi="Arial" w:cs="Arial"/>
          <w:sz w:val="24"/>
          <w:szCs w:val="24"/>
        </w:rPr>
      </w:pPr>
      <w:r w:rsidRPr="00900412">
        <w:rPr>
          <w:rFonts w:ascii="Arial" w:hAnsi="Arial" w:cs="Arial"/>
          <w:b/>
          <w:bCs/>
          <w:i/>
          <w:iCs/>
          <w:sz w:val="24"/>
          <w:szCs w:val="24"/>
        </w:rPr>
        <w:t xml:space="preserve">- </w:t>
      </w:r>
      <w:r w:rsidR="0042573E">
        <w:rPr>
          <w:rFonts w:ascii="Arial" w:hAnsi="Arial" w:cs="Arial"/>
          <w:b/>
          <w:bCs/>
          <w:i/>
          <w:iCs/>
          <w:sz w:val="24"/>
          <w:szCs w:val="24"/>
        </w:rPr>
        <w:t>l</w:t>
      </w:r>
      <w:r w:rsidR="0042573E" w:rsidRPr="00900412">
        <w:rPr>
          <w:rFonts w:ascii="Arial" w:hAnsi="Arial" w:cs="Arial"/>
          <w:b/>
          <w:bCs/>
          <w:i/>
          <w:iCs/>
          <w:sz w:val="24"/>
          <w:szCs w:val="24"/>
        </w:rPr>
        <w:t xml:space="preserve">a </w:t>
      </w:r>
      <w:r w:rsidRPr="00900412">
        <w:rPr>
          <w:rFonts w:ascii="Arial" w:hAnsi="Arial" w:cs="Arial"/>
          <w:b/>
          <w:bCs/>
          <w:i/>
          <w:iCs/>
          <w:sz w:val="24"/>
          <w:szCs w:val="24"/>
        </w:rPr>
        <w:t>présentation</w:t>
      </w:r>
      <w:r w:rsidRPr="00992800">
        <w:rPr>
          <w:rFonts w:ascii="Arial" w:hAnsi="Arial" w:cs="Arial"/>
          <w:sz w:val="24"/>
          <w:szCs w:val="24"/>
        </w:rPr>
        <w:t xml:space="preserve"> : correspond à la couche client. Ce tiers dispose des outils nécessaires pour l’analyse de données, la consultation des </w:t>
      </w:r>
      <w:r>
        <w:rPr>
          <w:rFonts w:ascii="Arial" w:hAnsi="Arial" w:cs="Arial"/>
          <w:sz w:val="24"/>
          <w:szCs w:val="24"/>
        </w:rPr>
        <w:t>tableaux de bord (</w:t>
      </w:r>
      <w:proofErr w:type="spellStart"/>
      <w:r w:rsidRPr="00992800">
        <w:rPr>
          <w:rFonts w:ascii="Arial" w:hAnsi="Arial" w:cs="Arial"/>
          <w:sz w:val="24"/>
          <w:szCs w:val="24"/>
        </w:rPr>
        <w:t>dashboard</w:t>
      </w:r>
      <w:proofErr w:type="spellEnd"/>
      <w:r w:rsidR="0042573E">
        <w:rPr>
          <w:rFonts w:ascii="Arial" w:hAnsi="Arial" w:cs="Arial"/>
          <w:sz w:val="24"/>
          <w:szCs w:val="24"/>
        </w:rPr>
        <w:t>) et</w:t>
      </w:r>
      <w:r w:rsidR="0042573E" w:rsidRPr="00992800">
        <w:rPr>
          <w:rFonts w:ascii="Arial" w:hAnsi="Arial" w:cs="Arial"/>
          <w:sz w:val="24"/>
          <w:szCs w:val="24"/>
        </w:rPr>
        <w:t xml:space="preserve"> </w:t>
      </w:r>
      <w:r w:rsidRPr="00992800">
        <w:rPr>
          <w:rFonts w:ascii="Arial" w:hAnsi="Arial" w:cs="Arial"/>
          <w:sz w:val="24"/>
          <w:szCs w:val="24"/>
        </w:rPr>
        <w:t>le</w:t>
      </w:r>
      <w:r>
        <w:rPr>
          <w:rFonts w:ascii="Arial" w:hAnsi="Arial" w:cs="Arial"/>
          <w:sz w:val="24"/>
          <w:szCs w:val="24"/>
        </w:rPr>
        <w:t>s rapports (</w:t>
      </w:r>
      <w:proofErr w:type="spellStart"/>
      <w:r w:rsidRPr="00992800">
        <w:rPr>
          <w:rFonts w:ascii="Arial" w:hAnsi="Arial" w:cs="Arial"/>
          <w:sz w:val="24"/>
          <w:szCs w:val="24"/>
        </w:rPr>
        <w:t>reporting</w:t>
      </w:r>
      <w:proofErr w:type="spellEnd"/>
      <w:r>
        <w:rPr>
          <w:rFonts w:ascii="Arial" w:hAnsi="Arial" w:cs="Arial"/>
          <w:sz w:val="24"/>
          <w:szCs w:val="24"/>
        </w:rPr>
        <w:t>)</w:t>
      </w:r>
      <w:r w:rsidRPr="00992800">
        <w:rPr>
          <w:rFonts w:ascii="Arial" w:hAnsi="Arial" w:cs="Arial"/>
          <w:sz w:val="24"/>
          <w:szCs w:val="24"/>
        </w:rPr>
        <w:t>.</w:t>
      </w:r>
    </w:p>
    <w:p w14:paraId="2FAC9A66" w14:textId="2AF5648D" w:rsidR="00992800" w:rsidRDefault="00992800" w:rsidP="00992800">
      <w:pPr>
        <w:spacing w:after="0" w:line="360" w:lineRule="auto"/>
        <w:jc w:val="both"/>
        <w:rPr>
          <w:rFonts w:ascii="Arial" w:hAnsi="Arial" w:cs="Arial"/>
          <w:sz w:val="24"/>
          <w:szCs w:val="24"/>
        </w:rPr>
      </w:pPr>
    </w:p>
    <w:p w14:paraId="216E56A5" w14:textId="35291252" w:rsidR="00992800" w:rsidRDefault="006A0234" w:rsidP="00992800">
      <w:pPr>
        <w:spacing w:after="0" w:line="360" w:lineRule="auto"/>
        <w:jc w:val="both"/>
        <w:rPr>
          <w:rFonts w:ascii="Arial" w:hAnsi="Arial" w:cs="Arial"/>
          <w:sz w:val="24"/>
          <w:szCs w:val="24"/>
        </w:rPr>
      </w:pPr>
      <w:r w:rsidRPr="00807493">
        <w:rPr>
          <w:rFonts w:ascii="Arial" w:hAnsi="Arial" w:cs="Arial"/>
          <w:b/>
          <w:sz w:val="24"/>
          <w:szCs w:val="24"/>
        </w:rPr>
        <w:t xml:space="preserve">Le futur entrepôt de données du ministère de la santé doit avoir les </w:t>
      </w:r>
      <w:r w:rsidR="00992800" w:rsidRPr="00807493">
        <w:rPr>
          <w:rFonts w:ascii="Arial" w:hAnsi="Arial" w:cs="Arial"/>
          <w:b/>
          <w:sz w:val="24"/>
          <w:szCs w:val="24"/>
        </w:rPr>
        <w:t xml:space="preserve">propriétés </w:t>
      </w:r>
      <w:r w:rsidR="00A45512" w:rsidRPr="00807493">
        <w:rPr>
          <w:rFonts w:ascii="Arial" w:hAnsi="Arial" w:cs="Arial"/>
          <w:b/>
          <w:sz w:val="24"/>
          <w:szCs w:val="24"/>
        </w:rPr>
        <w:t>ci-dessous</w:t>
      </w:r>
      <w:r w:rsidRPr="00807493">
        <w:rPr>
          <w:rFonts w:ascii="Arial" w:hAnsi="Arial" w:cs="Arial"/>
          <w:b/>
          <w:sz w:val="24"/>
          <w:szCs w:val="24"/>
        </w:rPr>
        <w:t xml:space="preserve"> après son implémentation</w:t>
      </w:r>
      <w:r w:rsidR="00992800">
        <w:rPr>
          <w:rFonts w:ascii="Arial" w:hAnsi="Arial" w:cs="Arial"/>
          <w:sz w:val="24"/>
          <w:szCs w:val="24"/>
        </w:rPr>
        <w:t> :</w:t>
      </w:r>
    </w:p>
    <w:p w14:paraId="7893FE36" w14:textId="03B0A324" w:rsidR="00992800" w:rsidRPr="00992800" w:rsidRDefault="006A0234" w:rsidP="00992800">
      <w:pPr>
        <w:spacing w:after="0" w:line="360" w:lineRule="auto"/>
        <w:jc w:val="both"/>
        <w:rPr>
          <w:rFonts w:ascii="Arial" w:hAnsi="Arial" w:cs="Arial"/>
          <w:sz w:val="24"/>
          <w:szCs w:val="24"/>
        </w:rPr>
      </w:pPr>
      <w:r>
        <w:rPr>
          <w:rFonts w:ascii="Arial" w:hAnsi="Arial" w:cs="Arial"/>
          <w:sz w:val="24"/>
          <w:szCs w:val="24"/>
        </w:rPr>
        <w:t xml:space="preserve">- </w:t>
      </w:r>
      <w:r w:rsidR="0042573E">
        <w:rPr>
          <w:rFonts w:ascii="Arial" w:hAnsi="Arial" w:cs="Arial"/>
          <w:sz w:val="24"/>
          <w:szCs w:val="24"/>
        </w:rPr>
        <w:t>l</w:t>
      </w:r>
      <w:r w:rsidR="0042573E" w:rsidRPr="00992800">
        <w:rPr>
          <w:rFonts w:ascii="Arial" w:hAnsi="Arial" w:cs="Arial"/>
          <w:sz w:val="24"/>
          <w:szCs w:val="24"/>
        </w:rPr>
        <w:t xml:space="preserve">es </w:t>
      </w:r>
      <w:r w:rsidR="00992800" w:rsidRPr="00992800">
        <w:rPr>
          <w:rFonts w:ascii="Arial" w:hAnsi="Arial" w:cs="Arial"/>
          <w:sz w:val="24"/>
          <w:szCs w:val="24"/>
        </w:rPr>
        <w:t>traitements analytiques et transactionnels doivent être séparés autant que possible</w:t>
      </w:r>
      <w:r>
        <w:rPr>
          <w:rFonts w:ascii="Arial" w:hAnsi="Arial" w:cs="Arial"/>
          <w:sz w:val="24"/>
          <w:szCs w:val="24"/>
        </w:rPr>
        <w:t xml:space="preserve"> (Séparation) ; </w:t>
      </w:r>
    </w:p>
    <w:p w14:paraId="039097B2" w14:textId="0D59D498" w:rsidR="00992800" w:rsidRPr="00992800" w:rsidRDefault="006A0234" w:rsidP="00992800">
      <w:pPr>
        <w:spacing w:after="0" w:line="360" w:lineRule="auto"/>
        <w:jc w:val="both"/>
        <w:rPr>
          <w:rFonts w:ascii="Arial" w:hAnsi="Arial" w:cs="Arial"/>
          <w:sz w:val="24"/>
          <w:szCs w:val="24"/>
        </w:rPr>
      </w:pPr>
      <w:r>
        <w:rPr>
          <w:rFonts w:ascii="Arial" w:hAnsi="Arial" w:cs="Arial"/>
          <w:sz w:val="24"/>
          <w:szCs w:val="24"/>
        </w:rPr>
        <w:t xml:space="preserve">- </w:t>
      </w:r>
      <w:r w:rsidR="0042573E">
        <w:rPr>
          <w:rFonts w:ascii="Arial" w:hAnsi="Arial" w:cs="Arial"/>
          <w:sz w:val="24"/>
          <w:szCs w:val="24"/>
        </w:rPr>
        <w:t>l</w:t>
      </w:r>
      <w:r w:rsidR="0042573E" w:rsidRPr="00992800">
        <w:rPr>
          <w:rFonts w:ascii="Arial" w:hAnsi="Arial" w:cs="Arial"/>
          <w:sz w:val="24"/>
          <w:szCs w:val="24"/>
        </w:rPr>
        <w:t xml:space="preserve">es </w:t>
      </w:r>
      <w:r w:rsidR="00992800" w:rsidRPr="00992800">
        <w:rPr>
          <w:rFonts w:ascii="Arial" w:hAnsi="Arial" w:cs="Arial"/>
          <w:sz w:val="24"/>
          <w:szCs w:val="24"/>
        </w:rPr>
        <w:t>architectures matérielles et logicielles doivent être simples afin de pouvoir faire face à l'augmentation progressive du volume de données à gérer et à traiter et du nombre d'exigences des utilisateurs à satisfaire.</w:t>
      </w:r>
      <w:r>
        <w:rPr>
          <w:rFonts w:ascii="Arial" w:hAnsi="Arial" w:cs="Arial"/>
          <w:sz w:val="24"/>
          <w:szCs w:val="24"/>
        </w:rPr>
        <w:t xml:space="preserve"> Les bases de données opérationnelles des futures implémentations doivent être susceptible</w:t>
      </w:r>
      <w:r w:rsidR="00C51600">
        <w:rPr>
          <w:rFonts w:ascii="Arial" w:hAnsi="Arial" w:cs="Arial"/>
          <w:sz w:val="24"/>
          <w:szCs w:val="24"/>
        </w:rPr>
        <w:t>s</w:t>
      </w:r>
      <w:r>
        <w:rPr>
          <w:rFonts w:ascii="Arial" w:hAnsi="Arial" w:cs="Arial"/>
          <w:sz w:val="24"/>
          <w:szCs w:val="24"/>
        </w:rPr>
        <w:t xml:space="preserve"> d’alimenter avec facilité l’entrepôt de données (urbanisées et é</w:t>
      </w:r>
      <w:r w:rsidRPr="00992800">
        <w:rPr>
          <w:rFonts w:ascii="Arial" w:hAnsi="Arial" w:cs="Arial"/>
          <w:sz w:val="24"/>
          <w:szCs w:val="24"/>
        </w:rPr>
        <w:t>volutiv</w:t>
      </w:r>
      <w:r>
        <w:rPr>
          <w:rFonts w:ascii="Arial" w:hAnsi="Arial" w:cs="Arial"/>
          <w:sz w:val="24"/>
          <w:szCs w:val="24"/>
        </w:rPr>
        <w:t>es) ;</w:t>
      </w:r>
    </w:p>
    <w:p w14:paraId="05D8434C" w14:textId="4A3D8B5B" w:rsidR="00992800" w:rsidRPr="00992800" w:rsidRDefault="006A0234" w:rsidP="00992800">
      <w:pPr>
        <w:spacing w:after="0" w:line="360" w:lineRule="auto"/>
        <w:jc w:val="both"/>
        <w:rPr>
          <w:rFonts w:ascii="Arial" w:hAnsi="Arial" w:cs="Arial"/>
          <w:sz w:val="24"/>
          <w:szCs w:val="24"/>
        </w:rPr>
      </w:pPr>
      <w:r>
        <w:rPr>
          <w:rFonts w:ascii="Arial" w:hAnsi="Arial" w:cs="Arial"/>
          <w:sz w:val="24"/>
          <w:szCs w:val="24"/>
        </w:rPr>
        <w:t xml:space="preserve">- </w:t>
      </w:r>
      <w:r w:rsidR="0042573E">
        <w:rPr>
          <w:rFonts w:ascii="Arial" w:hAnsi="Arial" w:cs="Arial"/>
          <w:sz w:val="24"/>
          <w:szCs w:val="24"/>
        </w:rPr>
        <w:t>l</w:t>
      </w:r>
      <w:r w:rsidR="0042573E" w:rsidRPr="00992800">
        <w:rPr>
          <w:rFonts w:ascii="Arial" w:hAnsi="Arial" w:cs="Arial"/>
          <w:sz w:val="24"/>
          <w:szCs w:val="24"/>
        </w:rPr>
        <w:t xml:space="preserve">'architecture </w:t>
      </w:r>
      <w:r w:rsidR="00992800" w:rsidRPr="00992800">
        <w:rPr>
          <w:rFonts w:ascii="Arial" w:hAnsi="Arial" w:cs="Arial"/>
          <w:sz w:val="24"/>
          <w:szCs w:val="24"/>
        </w:rPr>
        <w:t>doit être capable d'effectuer de nouvelles opérations et technologies sans avoir à reconcevoir l'ensemble du système</w:t>
      </w:r>
      <w:r>
        <w:rPr>
          <w:rFonts w:ascii="Arial" w:hAnsi="Arial" w:cs="Arial"/>
          <w:sz w:val="24"/>
          <w:szCs w:val="24"/>
        </w:rPr>
        <w:t xml:space="preserve"> (e</w:t>
      </w:r>
      <w:r w:rsidRPr="00992800">
        <w:rPr>
          <w:rFonts w:ascii="Arial" w:hAnsi="Arial" w:cs="Arial"/>
          <w:sz w:val="24"/>
          <w:szCs w:val="24"/>
        </w:rPr>
        <w:t>xtensib</w:t>
      </w:r>
      <w:r>
        <w:rPr>
          <w:rFonts w:ascii="Arial" w:hAnsi="Arial" w:cs="Arial"/>
          <w:sz w:val="24"/>
          <w:szCs w:val="24"/>
        </w:rPr>
        <w:t>les)</w:t>
      </w:r>
      <w:r w:rsidR="00992800" w:rsidRPr="00992800">
        <w:rPr>
          <w:rFonts w:ascii="Arial" w:hAnsi="Arial" w:cs="Arial"/>
          <w:sz w:val="24"/>
          <w:szCs w:val="24"/>
        </w:rPr>
        <w:t>.</w:t>
      </w:r>
    </w:p>
    <w:p w14:paraId="43307728" w14:textId="4672B758" w:rsidR="00992800" w:rsidRPr="00992800" w:rsidRDefault="006A0234" w:rsidP="00992800">
      <w:pPr>
        <w:spacing w:after="0" w:line="360" w:lineRule="auto"/>
        <w:jc w:val="both"/>
        <w:rPr>
          <w:rFonts w:ascii="Arial" w:hAnsi="Arial" w:cs="Arial"/>
          <w:sz w:val="24"/>
          <w:szCs w:val="24"/>
        </w:rPr>
      </w:pPr>
      <w:r>
        <w:rPr>
          <w:rFonts w:ascii="Arial" w:hAnsi="Arial" w:cs="Arial"/>
          <w:sz w:val="24"/>
          <w:szCs w:val="24"/>
        </w:rPr>
        <w:t xml:space="preserve">- </w:t>
      </w:r>
      <w:r w:rsidR="0042573E">
        <w:rPr>
          <w:rFonts w:ascii="Arial" w:hAnsi="Arial" w:cs="Arial"/>
          <w:sz w:val="24"/>
          <w:szCs w:val="24"/>
        </w:rPr>
        <w:t>l</w:t>
      </w:r>
      <w:r w:rsidR="0042573E" w:rsidRPr="00992800">
        <w:rPr>
          <w:rFonts w:ascii="Arial" w:hAnsi="Arial" w:cs="Arial"/>
          <w:sz w:val="24"/>
          <w:szCs w:val="24"/>
        </w:rPr>
        <w:t xml:space="preserve">a </w:t>
      </w:r>
      <w:r w:rsidR="00992800" w:rsidRPr="00992800">
        <w:rPr>
          <w:rFonts w:ascii="Arial" w:hAnsi="Arial" w:cs="Arial"/>
          <w:sz w:val="24"/>
          <w:szCs w:val="24"/>
        </w:rPr>
        <w:t>surveillance des accès est nécessaire en raison des données stratégiques stockées dans les entrepôts de données</w:t>
      </w:r>
      <w:r>
        <w:rPr>
          <w:rFonts w:ascii="Arial" w:hAnsi="Arial" w:cs="Arial"/>
          <w:sz w:val="24"/>
          <w:szCs w:val="24"/>
        </w:rPr>
        <w:t xml:space="preserve"> (</w:t>
      </w:r>
      <w:r w:rsidRPr="00992800">
        <w:rPr>
          <w:rFonts w:ascii="Arial" w:hAnsi="Arial" w:cs="Arial"/>
          <w:sz w:val="24"/>
          <w:szCs w:val="24"/>
        </w:rPr>
        <w:t>Sécurité</w:t>
      </w:r>
      <w:r w:rsidR="0042573E">
        <w:rPr>
          <w:rFonts w:ascii="Arial" w:hAnsi="Arial" w:cs="Arial"/>
          <w:sz w:val="24"/>
          <w:szCs w:val="24"/>
        </w:rPr>
        <w:t>) ;</w:t>
      </w:r>
    </w:p>
    <w:p w14:paraId="38EDA5C3" w14:textId="39F08961" w:rsidR="006A0234" w:rsidRDefault="006A0234" w:rsidP="00A54759">
      <w:pPr>
        <w:spacing w:after="0" w:line="360" w:lineRule="auto"/>
        <w:jc w:val="both"/>
        <w:rPr>
          <w:rFonts w:ascii="Arial" w:hAnsi="Arial" w:cs="Arial"/>
          <w:sz w:val="24"/>
          <w:szCs w:val="24"/>
        </w:rPr>
      </w:pPr>
      <w:r>
        <w:rPr>
          <w:rFonts w:ascii="Arial" w:hAnsi="Arial" w:cs="Arial"/>
          <w:sz w:val="24"/>
          <w:szCs w:val="24"/>
        </w:rPr>
        <w:lastRenderedPageBreak/>
        <w:t xml:space="preserve">- </w:t>
      </w:r>
      <w:r w:rsidR="0042573E">
        <w:rPr>
          <w:rFonts w:ascii="Arial" w:hAnsi="Arial" w:cs="Arial"/>
          <w:sz w:val="24"/>
          <w:szCs w:val="24"/>
        </w:rPr>
        <w:t>l</w:t>
      </w:r>
      <w:r w:rsidR="0042573E" w:rsidRPr="00992800">
        <w:rPr>
          <w:rFonts w:ascii="Arial" w:hAnsi="Arial" w:cs="Arial"/>
          <w:sz w:val="24"/>
          <w:szCs w:val="24"/>
        </w:rPr>
        <w:t xml:space="preserve">a </w:t>
      </w:r>
      <w:r w:rsidR="00992800" w:rsidRPr="00992800">
        <w:rPr>
          <w:rFonts w:ascii="Arial" w:hAnsi="Arial" w:cs="Arial"/>
          <w:sz w:val="24"/>
          <w:szCs w:val="24"/>
        </w:rPr>
        <w:t>gestion des entrepôts de données ne doit pas être compliquée</w:t>
      </w:r>
      <w:r>
        <w:rPr>
          <w:rFonts w:ascii="Arial" w:hAnsi="Arial" w:cs="Arial"/>
          <w:sz w:val="24"/>
          <w:szCs w:val="24"/>
        </w:rPr>
        <w:t xml:space="preserve"> pou</w:t>
      </w:r>
      <w:r w:rsidR="001932C8">
        <w:rPr>
          <w:rFonts w:ascii="Arial" w:hAnsi="Arial" w:cs="Arial"/>
          <w:sz w:val="24"/>
          <w:szCs w:val="24"/>
        </w:rPr>
        <w:t>r</w:t>
      </w:r>
      <w:r>
        <w:rPr>
          <w:rFonts w:ascii="Arial" w:hAnsi="Arial" w:cs="Arial"/>
          <w:sz w:val="24"/>
          <w:szCs w:val="24"/>
        </w:rPr>
        <w:t xml:space="preserve"> </w:t>
      </w:r>
      <w:r w:rsidR="001932C8">
        <w:rPr>
          <w:rFonts w:ascii="Arial" w:hAnsi="Arial" w:cs="Arial"/>
          <w:sz w:val="24"/>
          <w:szCs w:val="24"/>
        </w:rPr>
        <w:t xml:space="preserve">les </w:t>
      </w:r>
      <w:r>
        <w:rPr>
          <w:rFonts w:ascii="Arial" w:hAnsi="Arial" w:cs="Arial"/>
          <w:sz w:val="24"/>
          <w:szCs w:val="24"/>
        </w:rPr>
        <w:t>acteurs du SNIS du ministère de la santé (</w:t>
      </w:r>
      <w:proofErr w:type="spellStart"/>
      <w:r w:rsidRPr="00992800">
        <w:rPr>
          <w:rFonts w:ascii="Arial" w:hAnsi="Arial" w:cs="Arial"/>
          <w:sz w:val="24"/>
          <w:szCs w:val="24"/>
        </w:rPr>
        <w:t>Administrabilité</w:t>
      </w:r>
      <w:proofErr w:type="spellEnd"/>
      <w:r>
        <w:rPr>
          <w:rFonts w:ascii="Arial" w:hAnsi="Arial" w:cs="Arial"/>
          <w:sz w:val="24"/>
          <w:szCs w:val="24"/>
        </w:rPr>
        <w:t>).</w:t>
      </w:r>
    </w:p>
    <w:p w14:paraId="1E6895BB" w14:textId="77777777" w:rsidR="00F67700" w:rsidRDefault="00F67700" w:rsidP="00A54759">
      <w:pPr>
        <w:spacing w:after="0" w:line="360" w:lineRule="auto"/>
        <w:jc w:val="both"/>
        <w:rPr>
          <w:rFonts w:ascii="Arial" w:hAnsi="Arial" w:cs="Arial"/>
          <w:sz w:val="24"/>
          <w:szCs w:val="24"/>
        </w:rPr>
        <w:sectPr w:rsidR="00F67700">
          <w:pgSz w:w="11906" w:h="16838"/>
          <w:pgMar w:top="1417" w:right="1417" w:bottom="1417" w:left="1417" w:header="708" w:footer="708" w:gutter="0"/>
          <w:cols w:space="708"/>
          <w:docGrid w:linePitch="360"/>
        </w:sectPr>
      </w:pPr>
    </w:p>
    <w:p w14:paraId="31CCD941" w14:textId="67B94FBA" w:rsidR="006A0234" w:rsidRDefault="006A0234" w:rsidP="00A54759">
      <w:pPr>
        <w:spacing w:after="0" w:line="360" w:lineRule="auto"/>
        <w:jc w:val="both"/>
        <w:rPr>
          <w:rFonts w:ascii="Arial" w:hAnsi="Arial" w:cs="Arial"/>
          <w:sz w:val="24"/>
          <w:szCs w:val="24"/>
        </w:rPr>
      </w:pPr>
    </w:p>
    <w:p w14:paraId="4B348A3B" w14:textId="77777777" w:rsidR="006A0234" w:rsidRDefault="006A0234" w:rsidP="00A54759">
      <w:pPr>
        <w:spacing w:after="0" w:line="360" w:lineRule="auto"/>
        <w:jc w:val="both"/>
        <w:rPr>
          <w:rFonts w:ascii="Arial" w:hAnsi="Arial" w:cs="Arial"/>
          <w:sz w:val="24"/>
          <w:szCs w:val="24"/>
        </w:rPr>
      </w:pPr>
    </w:p>
    <w:p w14:paraId="07D33845" w14:textId="574EF84E" w:rsidR="006A0234" w:rsidRDefault="00682AAD" w:rsidP="00A54759">
      <w:pPr>
        <w:spacing w:after="0" w:line="360" w:lineRule="auto"/>
        <w:jc w:val="both"/>
        <w:rPr>
          <w:rFonts w:ascii="Arial" w:hAnsi="Arial" w:cs="Arial"/>
          <w:sz w:val="24"/>
          <w:szCs w:val="24"/>
        </w:rPr>
      </w:pPr>
      <w:r>
        <w:rPr>
          <w:rFonts w:ascii="Arial" w:hAnsi="Arial" w:cs="Arial"/>
          <w:noProof/>
          <w:sz w:val="24"/>
          <w:szCs w:val="24"/>
          <w:lang w:eastAsia="fr-FR"/>
        </w:rPr>
        <w:drawing>
          <wp:inline distT="0" distB="0" distL="0" distR="0" wp14:anchorId="0B98B0A4" wp14:editId="24FC6A51">
            <wp:extent cx="8277308" cy="4193836"/>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8316173" cy="4213527"/>
                    </a:xfrm>
                    <a:prstGeom prst="rect">
                      <a:avLst/>
                    </a:prstGeom>
                  </pic:spPr>
                </pic:pic>
              </a:graphicData>
            </a:graphic>
          </wp:inline>
        </w:drawing>
      </w:r>
    </w:p>
    <w:p w14:paraId="664180B2" w14:textId="25D33F76" w:rsidR="008324FD" w:rsidRDefault="006A0234" w:rsidP="00900412">
      <w:pPr>
        <w:pStyle w:val="Caption"/>
        <w:jc w:val="center"/>
        <w:rPr>
          <w:rFonts w:ascii="Arial" w:hAnsi="Arial" w:cs="Arial"/>
          <w:sz w:val="24"/>
          <w:szCs w:val="24"/>
        </w:rPr>
      </w:pPr>
      <w:bookmarkStart w:id="26" w:name="_Toc94941318"/>
      <w:r w:rsidRPr="008324FD">
        <w:rPr>
          <w:rFonts w:ascii="Arial" w:hAnsi="Arial" w:cs="Arial"/>
          <w:sz w:val="24"/>
          <w:szCs w:val="24"/>
        </w:rPr>
        <w:t xml:space="preserve">Figure </w:t>
      </w:r>
      <w:r w:rsidRPr="008324FD">
        <w:rPr>
          <w:rFonts w:ascii="Arial" w:hAnsi="Arial" w:cs="Arial"/>
          <w:sz w:val="24"/>
          <w:szCs w:val="24"/>
        </w:rPr>
        <w:fldChar w:fldCharType="begin"/>
      </w:r>
      <w:r w:rsidRPr="008324FD">
        <w:rPr>
          <w:rFonts w:ascii="Arial" w:hAnsi="Arial" w:cs="Arial"/>
          <w:sz w:val="24"/>
          <w:szCs w:val="24"/>
        </w:rPr>
        <w:instrText xml:space="preserve"> SEQ Figure \* ARABIC </w:instrText>
      </w:r>
      <w:r w:rsidRPr="008324FD">
        <w:rPr>
          <w:rFonts w:ascii="Arial" w:hAnsi="Arial" w:cs="Arial"/>
          <w:sz w:val="24"/>
          <w:szCs w:val="24"/>
        </w:rPr>
        <w:fldChar w:fldCharType="separate"/>
      </w:r>
      <w:r w:rsidR="00004163" w:rsidRPr="008324FD">
        <w:rPr>
          <w:rFonts w:ascii="Arial" w:hAnsi="Arial" w:cs="Arial"/>
          <w:sz w:val="24"/>
          <w:szCs w:val="24"/>
        </w:rPr>
        <w:t>5</w:t>
      </w:r>
      <w:r w:rsidRPr="008324FD">
        <w:rPr>
          <w:rFonts w:ascii="Arial" w:hAnsi="Arial" w:cs="Arial"/>
          <w:sz w:val="24"/>
          <w:szCs w:val="24"/>
        </w:rPr>
        <w:fldChar w:fldCharType="end"/>
      </w:r>
      <w:r w:rsidRPr="008324FD">
        <w:rPr>
          <w:rFonts w:ascii="Arial" w:hAnsi="Arial" w:cs="Arial"/>
          <w:sz w:val="24"/>
          <w:szCs w:val="24"/>
        </w:rPr>
        <w:t> :  Architecture cible attendue de l’entrepôt de données pour le renforcement du SNIS.</w:t>
      </w:r>
      <w:bookmarkEnd w:id="26"/>
    </w:p>
    <w:p w14:paraId="562CDA10" w14:textId="11B68B6E" w:rsidR="008324FD" w:rsidRDefault="008324FD" w:rsidP="008324FD"/>
    <w:p w14:paraId="3E8D49F2" w14:textId="77777777" w:rsidR="00F67700" w:rsidRDefault="00F67700" w:rsidP="008324FD">
      <w:pPr>
        <w:pStyle w:val="Caption"/>
        <w:rPr>
          <w:rFonts w:ascii="Arial" w:hAnsi="Arial" w:cs="Arial"/>
          <w:sz w:val="24"/>
          <w:szCs w:val="24"/>
        </w:rPr>
        <w:sectPr w:rsidR="00F67700" w:rsidSect="00900412">
          <w:pgSz w:w="16838" w:h="11906" w:orient="landscape"/>
          <w:pgMar w:top="1417" w:right="1417" w:bottom="1417" w:left="1417" w:header="708" w:footer="708" w:gutter="0"/>
          <w:cols w:space="708"/>
          <w:docGrid w:linePitch="360"/>
        </w:sectPr>
      </w:pPr>
    </w:p>
    <w:p w14:paraId="0ECAF91C" w14:textId="47911801" w:rsidR="00AA3F14" w:rsidRPr="00481B4A" w:rsidRDefault="008324FD" w:rsidP="00481B4A">
      <w:pPr>
        <w:pStyle w:val="Caption"/>
        <w:rPr>
          <w:rFonts w:ascii="Arial" w:hAnsi="Arial" w:cs="Arial"/>
          <w:sz w:val="24"/>
          <w:szCs w:val="24"/>
        </w:rPr>
      </w:pPr>
      <w:bookmarkStart w:id="27" w:name="_Toc99467008"/>
      <w:r w:rsidRPr="008324FD">
        <w:rPr>
          <w:rFonts w:ascii="Arial" w:hAnsi="Arial" w:cs="Arial"/>
          <w:sz w:val="24"/>
          <w:szCs w:val="24"/>
        </w:rPr>
        <w:lastRenderedPageBreak/>
        <w:t xml:space="preserve">Tableau </w:t>
      </w:r>
      <w:r w:rsidRPr="008324FD">
        <w:rPr>
          <w:rFonts w:ascii="Arial" w:hAnsi="Arial" w:cs="Arial"/>
          <w:sz w:val="24"/>
          <w:szCs w:val="24"/>
        </w:rPr>
        <w:fldChar w:fldCharType="begin"/>
      </w:r>
      <w:r w:rsidRPr="008324FD">
        <w:rPr>
          <w:rFonts w:ascii="Arial" w:hAnsi="Arial" w:cs="Arial"/>
          <w:sz w:val="24"/>
          <w:szCs w:val="24"/>
        </w:rPr>
        <w:instrText xml:space="preserve"> SEQ Tableau \* ARABIC </w:instrText>
      </w:r>
      <w:r w:rsidRPr="008324FD">
        <w:rPr>
          <w:rFonts w:ascii="Arial" w:hAnsi="Arial" w:cs="Arial"/>
          <w:sz w:val="24"/>
          <w:szCs w:val="24"/>
        </w:rPr>
        <w:fldChar w:fldCharType="separate"/>
      </w:r>
      <w:r w:rsidR="00A45512">
        <w:rPr>
          <w:rFonts w:ascii="Arial" w:hAnsi="Arial" w:cs="Arial"/>
          <w:noProof/>
          <w:sz w:val="24"/>
          <w:szCs w:val="24"/>
        </w:rPr>
        <w:t>5</w:t>
      </w:r>
      <w:r w:rsidRPr="008324FD">
        <w:rPr>
          <w:rFonts w:ascii="Arial" w:hAnsi="Arial" w:cs="Arial"/>
          <w:sz w:val="24"/>
          <w:szCs w:val="24"/>
        </w:rPr>
        <w:fldChar w:fldCharType="end"/>
      </w:r>
      <w:r w:rsidRPr="008324FD">
        <w:rPr>
          <w:rFonts w:ascii="Arial" w:hAnsi="Arial" w:cs="Arial"/>
          <w:sz w:val="24"/>
          <w:szCs w:val="24"/>
        </w:rPr>
        <w:t xml:space="preserve"> : Estimation financière pour </w:t>
      </w:r>
      <w:r w:rsidR="00AA3F14">
        <w:rPr>
          <w:rFonts w:ascii="Arial" w:hAnsi="Arial" w:cs="Arial"/>
          <w:sz w:val="24"/>
          <w:szCs w:val="24"/>
        </w:rPr>
        <w:t>la mise en place d’un data center de production</w:t>
      </w:r>
      <w:bookmarkEnd w:id="27"/>
      <w:r w:rsidRPr="008324FD">
        <w:rPr>
          <w:rFonts w:ascii="Arial" w:hAnsi="Arial" w:cs="Arial"/>
          <w:sz w:val="24"/>
          <w:szCs w:val="24"/>
        </w:rPr>
        <w:t xml:space="preserve"> </w:t>
      </w:r>
    </w:p>
    <w:tbl>
      <w:tblPr>
        <w:tblStyle w:val="TableGrid"/>
        <w:tblpPr w:leftFromText="180" w:rightFromText="180" w:vertAnchor="text" w:tblpXSpec="center" w:tblpY="1"/>
        <w:tblOverlap w:val="never"/>
        <w:tblW w:w="9493" w:type="dxa"/>
        <w:tblLook w:val="04A0" w:firstRow="1" w:lastRow="0" w:firstColumn="1" w:lastColumn="0" w:noHBand="0" w:noVBand="1"/>
      </w:tblPr>
      <w:tblGrid>
        <w:gridCol w:w="1595"/>
        <w:gridCol w:w="2767"/>
        <w:gridCol w:w="1300"/>
        <w:gridCol w:w="1740"/>
        <w:gridCol w:w="2091"/>
      </w:tblGrid>
      <w:tr w:rsidR="008324FD" w:rsidRPr="00842C89" w14:paraId="68789EA5" w14:textId="77777777" w:rsidTr="00AA3F14">
        <w:trPr>
          <w:trHeight w:val="320"/>
        </w:trPr>
        <w:tc>
          <w:tcPr>
            <w:tcW w:w="1595" w:type="dxa"/>
            <w:shd w:val="clear" w:color="auto" w:fill="FBE4D5" w:themeFill="accent2" w:themeFillTint="33"/>
            <w:noWrap/>
            <w:hideMark/>
          </w:tcPr>
          <w:p w14:paraId="3ED5314F" w14:textId="77777777" w:rsidR="008324FD" w:rsidRPr="00807493" w:rsidRDefault="008324FD" w:rsidP="00AA3F14">
            <w:pPr>
              <w:jc w:val="center"/>
              <w:rPr>
                <w:rFonts w:ascii="Calibri" w:hAnsi="Calibri" w:cs="Calibri"/>
                <w:b/>
                <w:bCs/>
                <w:color w:val="000000"/>
                <w:sz w:val="24"/>
                <w:szCs w:val="24"/>
              </w:rPr>
            </w:pPr>
            <w:r w:rsidRPr="00807493">
              <w:rPr>
                <w:rFonts w:ascii="Calibri" w:hAnsi="Calibri" w:cs="Calibri"/>
                <w:b/>
                <w:bCs/>
                <w:color w:val="000000"/>
                <w:sz w:val="24"/>
                <w:szCs w:val="24"/>
              </w:rPr>
              <w:t>Code</w:t>
            </w:r>
          </w:p>
        </w:tc>
        <w:tc>
          <w:tcPr>
            <w:tcW w:w="2767" w:type="dxa"/>
            <w:shd w:val="clear" w:color="auto" w:fill="FBE4D5" w:themeFill="accent2" w:themeFillTint="33"/>
            <w:noWrap/>
            <w:hideMark/>
          </w:tcPr>
          <w:p w14:paraId="13D16BEF" w14:textId="77777777" w:rsidR="008324FD" w:rsidRPr="00807493" w:rsidRDefault="008324FD" w:rsidP="00AA3F14">
            <w:pPr>
              <w:jc w:val="center"/>
              <w:rPr>
                <w:rFonts w:ascii="Calibri" w:hAnsi="Calibri" w:cs="Calibri"/>
                <w:b/>
                <w:bCs/>
                <w:color w:val="000000"/>
                <w:sz w:val="24"/>
                <w:szCs w:val="24"/>
              </w:rPr>
            </w:pPr>
            <w:r w:rsidRPr="00807493">
              <w:rPr>
                <w:rFonts w:ascii="Calibri" w:hAnsi="Calibri" w:cs="Calibri"/>
                <w:b/>
                <w:bCs/>
                <w:color w:val="000000"/>
                <w:sz w:val="24"/>
                <w:szCs w:val="24"/>
              </w:rPr>
              <w:t>Description</w:t>
            </w:r>
          </w:p>
        </w:tc>
        <w:tc>
          <w:tcPr>
            <w:tcW w:w="1300" w:type="dxa"/>
            <w:shd w:val="clear" w:color="auto" w:fill="FBE4D5" w:themeFill="accent2" w:themeFillTint="33"/>
            <w:noWrap/>
            <w:hideMark/>
          </w:tcPr>
          <w:p w14:paraId="64266732" w14:textId="77777777" w:rsidR="008324FD" w:rsidRPr="00807493" w:rsidRDefault="008324FD" w:rsidP="00AA3F14">
            <w:pPr>
              <w:jc w:val="center"/>
              <w:rPr>
                <w:rFonts w:ascii="Calibri" w:hAnsi="Calibri" w:cs="Calibri"/>
                <w:b/>
                <w:bCs/>
                <w:color w:val="000000"/>
                <w:sz w:val="24"/>
                <w:szCs w:val="24"/>
              </w:rPr>
            </w:pPr>
            <w:r w:rsidRPr="00807493">
              <w:rPr>
                <w:rFonts w:ascii="Calibri" w:hAnsi="Calibri" w:cs="Calibri"/>
                <w:b/>
                <w:bCs/>
                <w:color w:val="000000"/>
                <w:sz w:val="24"/>
                <w:szCs w:val="24"/>
              </w:rPr>
              <w:t>Quantité</w:t>
            </w:r>
          </w:p>
        </w:tc>
        <w:tc>
          <w:tcPr>
            <w:tcW w:w="1740" w:type="dxa"/>
            <w:shd w:val="clear" w:color="auto" w:fill="FBE4D5" w:themeFill="accent2" w:themeFillTint="33"/>
            <w:noWrap/>
            <w:hideMark/>
          </w:tcPr>
          <w:p w14:paraId="3051CBEC" w14:textId="2FDD9E17" w:rsidR="008324FD" w:rsidRPr="00807493" w:rsidRDefault="008324FD" w:rsidP="00AA3F14">
            <w:pPr>
              <w:jc w:val="center"/>
              <w:rPr>
                <w:rFonts w:ascii="Calibri" w:hAnsi="Calibri" w:cs="Calibri"/>
                <w:b/>
                <w:bCs/>
                <w:color w:val="000000"/>
                <w:sz w:val="24"/>
                <w:szCs w:val="24"/>
              </w:rPr>
            </w:pPr>
            <w:r w:rsidRPr="00807493">
              <w:rPr>
                <w:rFonts w:ascii="Calibri" w:hAnsi="Calibri" w:cs="Calibri"/>
                <w:b/>
                <w:bCs/>
                <w:color w:val="000000"/>
                <w:sz w:val="24"/>
                <w:szCs w:val="24"/>
              </w:rPr>
              <w:t>Coût unitaire HT</w:t>
            </w:r>
            <w:r w:rsidR="0049293E" w:rsidRPr="00807493">
              <w:rPr>
                <w:rFonts w:ascii="Calibri" w:hAnsi="Calibri" w:cs="Calibri"/>
                <w:b/>
                <w:bCs/>
                <w:color w:val="000000"/>
              </w:rPr>
              <w:t xml:space="preserve"> (GNF)</w:t>
            </w:r>
          </w:p>
        </w:tc>
        <w:tc>
          <w:tcPr>
            <w:tcW w:w="2091" w:type="dxa"/>
            <w:shd w:val="clear" w:color="auto" w:fill="FBE4D5" w:themeFill="accent2" w:themeFillTint="33"/>
            <w:noWrap/>
            <w:hideMark/>
          </w:tcPr>
          <w:p w14:paraId="4D08DFA5" w14:textId="1D69CF8B" w:rsidR="008324FD" w:rsidRPr="00807493" w:rsidRDefault="008324FD" w:rsidP="00AA3F14">
            <w:pPr>
              <w:jc w:val="center"/>
              <w:rPr>
                <w:rFonts w:ascii="Calibri" w:hAnsi="Calibri" w:cs="Calibri"/>
                <w:b/>
                <w:bCs/>
                <w:color w:val="000000"/>
                <w:sz w:val="24"/>
                <w:szCs w:val="24"/>
              </w:rPr>
            </w:pPr>
            <w:r w:rsidRPr="00807493">
              <w:rPr>
                <w:rFonts w:ascii="Calibri" w:hAnsi="Calibri" w:cs="Calibri"/>
                <w:b/>
                <w:bCs/>
                <w:color w:val="000000"/>
                <w:sz w:val="24"/>
                <w:szCs w:val="24"/>
              </w:rPr>
              <w:t>Total HT</w:t>
            </w:r>
            <w:r w:rsidR="0049293E" w:rsidRPr="00807493">
              <w:rPr>
                <w:rFonts w:ascii="Calibri" w:hAnsi="Calibri" w:cs="Calibri"/>
                <w:b/>
                <w:bCs/>
                <w:color w:val="000000"/>
              </w:rPr>
              <w:t xml:space="preserve"> (GNF)</w:t>
            </w:r>
          </w:p>
        </w:tc>
      </w:tr>
      <w:tr w:rsidR="00AA3F14" w:rsidRPr="00842C89" w14:paraId="394A0926" w14:textId="77777777" w:rsidTr="00742179">
        <w:trPr>
          <w:trHeight w:val="1360"/>
        </w:trPr>
        <w:tc>
          <w:tcPr>
            <w:tcW w:w="1595" w:type="dxa"/>
            <w:vMerge w:val="restart"/>
            <w:vAlign w:val="center"/>
          </w:tcPr>
          <w:p w14:paraId="2E263B86" w14:textId="3A908EB4" w:rsidR="00AA3F14" w:rsidRPr="00842C89" w:rsidRDefault="00481B4A" w:rsidP="00AA3F14">
            <w:pPr>
              <w:rPr>
                <w:rFonts w:ascii="Calibri" w:hAnsi="Calibri" w:cs="Calibri"/>
                <w:color w:val="000000"/>
                <w:sz w:val="24"/>
                <w:szCs w:val="24"/>
              </w:rPr>
            </w:pPr>
            <w:r>
              <w:rPr>
                <w:rFonts w:ascii="Calibri" w:hAnsi="Calibri" w:cs="Calibri"/>
                <w:color w:val="000000"/>
                <w:sz w:val="24"/>
                <w:szCs w:val="24"/>
              </w:rPr>
              <w:t>Data center</w:t>
            </w:r>
          </w:p>
        </w:tc>
        <w:tc>
          <w:tcPr>
            <w:tcW w:w="2767" w:type="dxa"/>
          </w:tcPr>
          <w:p w14:paraId="0BC63E6D" w14:textId="6310975B" w:rsidR="00AA3F14" w:rsidRPr="00842C89" w:rsidRDefault="00AA3F14" w:rsidP="00AA3F14">
            <w:pPr>
              <w:rPr>
                <w:rFonts w:ascii="Calibri" w:hAnsi="Calibri" w:cs="Calibri"/>
                <w:color w:val="000000"/>
                <w:sz w:val="24"/>
                <w:szCs w:val="24"/>
              </w:rPr>
            </w:pPr>
            <w:r>
              <w:rPr>
                <w:rFonts w:ascii="Times New Roman" w:hAnsi="Times New Roman"/>
                <w:sz w:val="22"/>
                <w:szCs w:val="22"/>
              </w:rPr>
              <w:t xml:space="preserve">Racks 45 U </w:t>
            </w:r>
          </w:p>
        </w:tc>
        <w:tc>
          <w:tcPr>
            <w:tcW w:w="1300" w:type="dxa"/>
            <w:noWrap/>
          </w:tcPr>
          <w:p w14:paraId="4F559EA8" w14:textId="0E8B59ED" w:rsidR="00AA3F14" w:rsidRPr="00842C89" w:rsidRDefault="00AA3F14" w:rsidP="00AA3F14">
            <w:pPr>
              <w:jc w:val="center"/>
              <w:rPr>
                <w:rFonts w:ascii="Calibri" w:hAnsi="Calibri" w:cs="Calibri"/>
                <w:color w:val="000000"/>
                <w:sz w:val="24"/>
                <w:szCs w:val="24"/>
              </w:rPr>
            </w:pPr>
            <w:r>
              <w:rPr>
                <w:rFonts w:ascii="Arial" w:hAnsi="Arial" w:cs="Arial"/>
                <w:sz w:val="18"/>
                <w:szCs w:val="18"/>
              </w:rPr>
              <w:t xml:space="preserve">1 </w:t>
            </w:r>
          </w:p>
        </w:tc>
        <w:tc>
          <w:tcPr>
            <w:tcW w:w="1740" w:type="dxa"/>
            <w:noWrap/>
          </w:tcPr>
          <w:p w14:paraId="22B482AD" w14:textId="130580BD" w:rsidR="00AA3F14" w:rsidRPr="00842C89" w:rsidRDefault="00AA3F14" w:rsidP="00AA3F14">
            <w:pPr>
              <w:jc w:val="center"/>
              <w:rPr>
                <w:rFonts w:ascii="Calibri" w:hAnsi="Calibri" w:cs="Calibri"/>
                <w:color w:val="000000"/>
                <w:sz w:val="24"/>
                <w:szCs w:val="24"/>
              </w:rPr>
            </w:pPr>
            <w:r>
              <w:rPr>
                <w:rFonts w:ascii="Times New Roman" w:hAnsi="Times New Roman"/>
                <w:b/>
                <w:bCs/>
                <w:sz w:val="22"/>
                <w:szCs w:val="22"/>
              </w:rPr>
              <w:t xml:space="preserve">10 000 000 GNF </w:t>
            </w:r>
          </w:p>
        </w:tc>
        <w:tc>
          <w:tcPr>
            <w:tcW w:w="2091" w:type="dxa"/>
            <w:noWrap/>
          </w:tcPr>
          <w:p w14:paraId="0205F30E" w14:textId="55288982" w:rsidR="00AA3F14" w:rsidRPr="00842C89" w:rsidRDefault="00AA3F14" w:rsidP="00AA3F14">
            <w:pPr>
              <w:jc w:val="center"/>
              <w:rPr>
                <w:rFonts w:ascii="Calibri" w:hAnsi="Calibri" w:cs="Calibri"/>
                <w:color w:val="000000"/>
                <w:sz w:val="24"/>
                <w:szCs w:val="24"/>
              </w:rPr>
            </w:pPr>
            <w:r>
              <w:rPr>
                <w:rFonts w:ascii="Times New Roman" w:hAnsi="Times New Roman"/>
                <w:b/>
                <w:bCs/>
                <w:sz w:val="22"/>
                <w:szCs w:val="22"/>
              </w:rPr>
              <w:t xml:space="preserve">10 000 000 GNF </w:t>
            </w:r>
          </w:p>
        </w:tc>
      </w:tr>
      <w:tr w:rsidR="00AA3F14" w:rsidRPr="00842C89" w14:paraId="3C6331C4" w14:textId="77777777" w:rsidTr="00AA3F14">
        <w:trPr>
          <w:trHeight w:val="1360"/>
        </w:trPr>
        <w:tc>
          <w:tcPr>
            <w:tcW w:w="1595" w:type="dxa"/>
            <w:vMerge/>
          </w:tcPr>
          <w:p w14:paraId="5F49EDC6" w14:textId="77777777" w:rsidR="00AA3F14" w:rsidRPr="00842C89" w:rsidRDefault="00AA3F14" w:rsidP="00AA3F14">
            <w:pPr>
              <w:rPr>
                <w:rFonts w:ascii="Calibri" w:hAnsi="Calibri" w:cs="Calibri"/>
                <w:color w:val="000000"/>
                <w:sz w:val="24"/>
                <w:szCs w:val="24"/>
              </w:rPr>
            </w:pPr>
          </w:p>
        </w:tc>
        <w:tc>
          <w:tcPr>
            <w:tcW w:w="2767" w:type="dxa"/>
          </w:tcPr>
          <w:p w14:paraId="663F7076" w14:textId="77777777" w:rsidR="00AA3F14" w:rsidRDefault="00AA3F14" w:rsidP="00AA3F14">
            <w:pPr>
              <w:pStyle w:val="Default"/>
              <w:rPr>
                <w:sz w:val="20"/>
                <w:szCs w:val="20"/>
              </w:rPr>
            </w:pPr>
            <w:r>
              <w:rPr>
                <w:rFonts w:ascii="Calibri" w:hAnsi="Calibri" w:cs="Calibri"/>
                <w:sz w:val="20"/>
                <w:szCs w:val="20"/>
              </w:rPr>
              <w:t xml:space="preserve">FG-100F-BDL-950-12 - Fortinet FortiGate NGFW Middle-range Series </w:t>
            </w:r>
          </w:p>
          <w:p w14:paraId="3233B65F" w14:textId="2ACA467F" w:rsidR="00AA3F14" w:rsidRPr="00AA3F14" w:rsidRDefault="00AA3F14" w:rsidP="00AA3F14">
            <w:pPr>
              <w:rPr>
                <w:rFonts w:ascii="Calibri" w:hAnsi="Calibri" w:cs="Calibri"/>
                <w:color w:val="000000"/>
                <w:sz w:val="24"/>
                <w:szCs w:val="24"/>
                <w:lang w:val="en-US"/>
              </w:rPr>
            </w:pPr>
            <w:r w:rsidRPr="00AA3F14">
              <w:rPr>
                <w:rFonts w:ascii="Calibri" w:hAnsi="Calibri" w:cs="Calibri"/>
                <w:lang w:val="en-US"/>
              </w:rPr>
              <w:t xml:space="preserve">FG-100F Hardware plus 1 Year 24*7 </w:t>
            </w:r>
            <w:proofErr w:type="spellStart"/>
            <w:r w:rsidRPr="00AA3F14">
              <w:rPr>
                <w:rFonts w:ascii="Calibri" w:hAnsi="Calibri" w:cs="Calibri"/>
                <w:lang w:val="en-US"/>
              </w:rPr>
              <w:t>FortiCare</w:t>
            </w:r>
            <w:proofErr w:type="spellEnd"/>
            <w:r w:rsidRPr="00AA3F14">
              <w:rPr>
                <w:rFonts w:ascii="Calibri" w:hAnsi="Calibri" w:cs="Calibri"/>
                <w:lang w:val="en-US"/>
              </w:rPr>
              <w:t xml:space="preserve"> and FortiGuard Unified (UTM) Protection (FG-100F &amp; FC-10-F100F-950-02-12) </w:t>
            </w:r>
          </w:p>
        </w:tc>
        <w:tc>
          <w:tcPr>
            <w:tcW w:w="1300" w:type="dxa"/>
            <w:noWrap/>
          </w:tcPr>
          <w:p w14:paraId="04E83481" w14:textId="2CFF31A2" w:rsidR="00AA3F14" w:rsidRPr="00842C89" w:rsidRDefault="00AA3F14" w:rsidP="00AA3F14">
            <w:pPr>
              <w:jc w:val="center"/>
              <w:rPr>
                <w:rFonts w:ascii="Calibri" w:hAnsi="Calibri" w:cs="Calibri"/>
                <w:color w:val="000000"/>
                <w:sz w:val="24"/>
                <w:szCs w:val="24"/>
              </w:rPr>
            </w:pPr>
            <w:r>
              <w:rPr>
                <w:rFonts w:ascii="Arial" w:hAnsi="Arial" w:cs="Arial"/>
                <w:sz w:val="18"/>
                <w:szCs w:val="18"/>
              </w:rPr>
              <w:t xml:space="preserve">1 </w:t>
            </w:r>
          </w:p>
        </w:tc>
        <w:tc>
          <w:tcPr>
            <w:tcW w:w="1740" w:type="dxa"/>
            <w:noWrap/>
          </w:tcPr>
          <w:p w14:paraId="5B32F21B" w14:textId="551FCFDE" w:rsidR="00AA3F14" w:rsidRPr="00842C89" w:rsidRDefault="00AA3F14" w:rsidP="00AA3F14">
            <w:pPr>
              <w:jc w:val="center"/>
              <w:rPr>
                <w:rFonts w:ascii="Calibri" w:hAnsi="Calibri" w:cs="Calibri"/>
                <w:color w:val="000000"/>
                <w:sz w:val="24"/>
                <w:szCs w:val="24"/>
              </w:rPr>
            </w:pPr>
            <w:r>
              <w:rPr>
                <w:rFonts w:ascii="Times New Roman" w:hAnsi="Times New Roman"/>
                <w:b/>
                <w:bCs/>
              </w:rPr>
              <w:t xml:space="preserve">70 000 000 GNF </w:t>
            </w:r>
          </w:p>
        </w:tc>
        <w:tc>
          <w:tcPr>
            <w:tcW w:w="2091" w:type="dxa"/>
            <w:noWrap/>
          </w:tcPr>
          <w:p w14:paraId="4C7EED52" w14:textId="40766472" w:rsidR="00AA3F14" w:rsidRPr="00842C89" w:rsidRDefault="00AA3F14" w:rsidP="00AA3F14">
            <w:pPr>
              <w:jc w:val="center"/>
              <w:rPr>
                <w:rFonts w:ascii="Calibri" w:hAnsi="Calibri" w:cs="Calibri"/>
                <w:color w:val="000000"/>
                <w:sz w:val="24"/>
                <w:szCs w:val="24"/>
              </w:rPr>
            </w:pPr>
            <w:r>
              <w:rPr>
                <w:rFonts w:ascii="Times New Roman" w:hAnsi="Times New Roman"/>
                <w:b/>
                <w:bCs/>
              </w:rPr>
              <w:t xml:space="preserve">70 000 000 GNF </w:t>
            </w:r>
          </w:p>
        </w:tc>
      </w:tr>
      <w:tr w:rsidR="00AA3F14" w:rsidRPr="00842C89" w14:paraId="11B28A24" w14:textId="77777777" w:rsidTr="00AA3F14">
        <w:trPr>
          <w:trHeight w:val="1360"/>
        </w:trPr>
        <w:tc>
          <w:tcPr>
            <w:tcW w:w="1595" w:type="dxa"/>
            <w:vMerge/>
          </w:tcPr>
          <w:p w14:paraId="177B54AA" w14:textId="77777777" w:rsidR="00AA3F14" w:rsidRPr="00842C89" w:rsidRDefault="00AA3F14" w:rsidP="00AA3F14">
            <w:pPr>
              <w:rPr>
                <w:rFonts w:ascii="Calibri" w:hAnsi="Calibri" w:cs="Calibri"/>
                <w:color w:val="000000"/>
                <w:sz w:val="24"/>
                <w:szCs w:val="24"/>
              </w:rPr>
            </w:pPr>
          </w:p>
        </w:tc>
        <w:tc>
          <w:tcPr>
            <w:tcW w:w="2767" w:type="dxa"/>
          </w:tcPr>
          <w:p w14:paraId="716BAEAF" w14:textId="733F9AB2" w:rsidR="00AA3F14" w:rsidRDefault="00AA3F14" w:rsidP="00AA3F14">
            <w:pPr>
              <w:pStyle w:val="Default"/>
              <w:rPr>
                <w:rFonts w:ascii="Calibri" w:hAnsi="Calibri" w:cs="Calibri"/>
                <w:sz w:val="20"/>
                <w:szCs w:val="20"/>
              </w:rPr>
            </w:pPr>
            <w:proofErr w:type="spellStart"/>
            <w:r>
              <w:rPr>
                <w:sz w:val="20"/>
                <w:szCs w:val="20"/>
              </w:rPr>
              <w:t>Serveur</w:t>
            </w:r>
            <w:proofErr w:type="spellEnd"/>
            <w:r>
              <w:rPr>
                <w:sz w:val="20"/>
                <w:szCs w:val="20"/>
              </w:rPr>
              <w:t xml:space="preserve"> HP 128 Go RAM 2 To de DD </w:t>
            </w:r>
          </w:p>
        </w:tc>
        <w:tc>
          <w:tcPr>
            <w:tcW w:w="1300" w:type="dxa"/>
            <w:noWrap/>
          </w:tcPr>
          <w:p w14:paraId="4B1960DE" w14:textId="6A1E90C7" w:rsidR="00AA3F14" w:rsidRDefault="00AA3F14" w:rsidP="00AA3F14">
            <w:pPr>
              <w:jc w:val="center"/>
              <w:rPr>
                <w:rFonts w:ascii="Arial" w:hAnsi="Arial" w:cs="Arial"/>
                <w:sz w:val="18"/>
                <w:szCs w:val="18"/>
              </w:rPr>
            </w:pPr>
            <w:r>
              <w:rPr>
                <w:sz w:val="18"/>
                <w:szCs w:val="18"/>
              </w:rPr>
              <w:t xml:space="preserve">2 </w:t>
            </w:r>
          </w:p>
        </w:tc>
        <w:tc>
          <w:tcPr>
            <w:tcW w:w="1740" w:type="dxa"/>
            <w:noWrap/>
          </w:tcPr>
          <w:p w14:paraId="27A5F0B4" w14:textId="31A514B6" w:rsidR="00AA3F14" w:rsidRDefault="00AA3F14" w:rsidP="00AA3F14">
            <w:pPr>
              <w:jc w:val="center"/>
              <w:rPr>
                <w:rFonts w:ascii="Times New Roman" w:hAnsi="Times New Roman"/>
                <w:b/>
                <w:bCs/>
              </w:rPr>
            </w:pPr>
            <w:r>
              <w:t xml:space="preserve">128 000 000 GNF </w:t>
            </w:r>
          </w:p>
        </w:tc>
        <w:tc>
          <w:tcPr>
            <w:tcW w:w="2091" w:type="dxa"/>
            <w:noWrap/>
          </w:tcPr>
          <w:p w14:paraId="240FEAE1" w14:textId="25184B9B" w:rsidR="00AA3F14" w:rsidRDefault="00AA3F14" w:rsidP="00AA3F14">
            <w:pPr>
              <w:jc w:val="center"/>
              <w:rPr>
                <w:rFonts w:ascii="Times New Roman" w:hAnsi="Times New Roman"/>
                <w:b/>
                <w:bCs/>
              </w:rPr>
            </w:pPr>
            <w:r>
              <w:t xml:space="preserve">256 000 000 GNF </w:t>
            </w:r>
          </w:p>
        </w:tc>
      </w:tr>
      <w:tr w:rsidR="00AA3F14" w:rsidRPr="00842C89" w14:paraId="477611BB" w14:textId="77777777" w:rsidTr="00AA3F14">
        <w:trPr>
          <w:trHeight w:val="1360"/>
        </w:trPr>
        <w:tc>
          <w:tcPr>
            <w:tcW w:w="1595" w:type="dxa"/>
            <w:vMerge/>
          </w:tcPr>
          <w:p w14:paraId="348099BD" w14:textId="77777777" w:rsidR="00AA3F14" w:rsidRPr="00842C89" w:rsidRDefault="00AA3F14" w:rsidP="00AA3F14">
            <w:pPr>
              <w:rPr>
                <w:rFonts w:ascii="Calibri" w:hAnsi="Calibri" w:cs="Calibri"/>
                <w:color w:val="000000"/>
                <w:sz w:val="24"/>
                <w:szCs w:val="24"/>
              </w:rPr>
            </w:pPr>
          </w:p>
        </w:tc>
        <w:tc>
          <w:tcPr>
            <w:tcW w:w="2767" w:type="dxa"/>
          </w:tcPr>
          <w:p w14:paraId="301949B5" w14:textId="77777777" w:rsidR="00AA3F14" w:rsidRPr="00093075" w:rsidRDefault="00AA3F14" w:rsidP="00AA3F14">
            <w:pPr>
              <w:pStyle w:val="Default"/>
              <w:rPr>
                <w:sz w:val="20"/>
                <w:szCs w:val="20"/>
                <w:lang w:val="fr-FR"/>
              </w:rPr>
            </w:pPr>
            <w:r w:rsidRPr="00093075">
              <w:rPr>
                <w:sz w:val="20"/>
                <w:szCs w:val="20"/>
                <w:lang w:val="fr-FR"/>
              </w:rPr>
              <w:t xml:space="preserve">Installations des racks 42U et fournitures des bornes d’alimentations mains et backup </w:t>
            </w:r>
          </w:p>
          <w:p w14:paraId="4496C8EB" w14:textId="552D7AC5" w:rsidR="00AA3F14" w:rsidRPr="00AA3F14" w:rsidRDefault="00AA3F14" w:rsidP="00AA3F14">
            <w:pPr>
              <w:pStyle w:val="Default"/>
              <w:rPr>
                <w:rFonts w:ascii="Calibri" w:hAnsi="Calibri" w:cs="Calibri"/>
                <w:sz w:val="20"/>
                <w:szCs w:val="20"/>
                <w:lang w:val="fr-FR"/>
              </w:rPr>
            </w:pPr>
            <w:r w:rsidRPr="00093075">
              <w:rPr>
                <w:sz w:val="20"/>
                <w:szCs w:val="20"/>
                <w:lang w:val="fr-FR"/>
              </w:rPr>
              <w:t xml:space="preserve">Installation du firewall et configuration de la politique de sécurité </w:t>
            </w:r>
          </w:p>
        </w:tc>
        <w:tc>
          <w:tcPr>
            <w:tcW w:w="1300" w:type="dxa"/>
            <w:noWrap/>
          </w:tcPr>
          <w:p w14:paraId="67A6B05E" w14:textId="4CCBC57C" w:rsidR="00AA3F14" w:rsidRDefault="00AA3F14" w:rsidP="00AA3F14">
            <w:pPr>
              <w:jc w:val="center"/>
              <w:rPr>
                <w:rFonts w:ascii="Arial" w:hAnsi="Arial" w:cs="Arial"/>
                <w:sz w:val="18"/>
                <w:szCs w:val="18"/>
              </w:rPr>
            </w:pPr>
            <w:r>
              <w:t xml:space="preserve">1 </w:t>
            </w:r>
          </w:p>
        </w:tc>
        <w:tc>
          <w:tcPr>
            <w:tcW w:w="1740" w:type="dxa"/>
            <w:noWrap/>
          </w:tcPr>
          <w:p w14:paraId="00C8ED8E" w14:textId="406411CB" w:rsidR="00AA3F14" w:rsidRDefault="00AA3F14" w:rsidP="00AA3F14">
            <w:pPr>
              <w:jc w:val="center"/>
              <w:rPr>
                <w:rFonts w:ascii="Times New Roman" w:hAnsi="Times New Roman"/>
                <w:b/>
                <w:bCs/>
              </w:rPr>
            </w:pPr>
            <w:r>
              <w:t xml:space="preserve">30 000 000 GNF </w:t>
            </w:r>
          </w:p>
        </w:tc>
        <w:tc>
          <w:tcPr>
            <w:tcW w:w="2091" w:type="dxa"/>
            <w:noWrap/>
          </w:tcPr>
          <w:p w14:paraId="374E072D" w14:textId="5A0B7A3A" w:rsidR="00AA3F14" w:rsidRDefault="00AA3F14" w:rsidP="00AA3F14">
            <w:pPr>
              <w:jc w:val="center"/>
              <w:rPr>
                <w:rFonts w:ascii="Times New Roman" w:hAnsi="Times New Roman"/>
                <w:b/>
                <w:bCs/>
              </w:rPr>
            </w:pPr>
            <w:r>
              <w:t xml:space="preserve">30 000 000 GNF </w:t>
            </w:r>
          </w:p>
        </w:tc>
      </w:tr>
      <w:tr w:rsidR="00AA3F14" w:rsidRPr="00842C89" w14:paraId="4FC197B7" w14:textId="77777777" w:rsidTr="00AA3F14">
        <w:trPr>
          <w:trHeight w:val="1360"/>
        </w:trPr>
        <w:tc>
          <w:tcPr>
            <w:tcW w:w="1595" w:type="dxa"/>
            <w:vMerge/>
          </w:tcPr>
          <w:p w14:paraId="3740FA80" w14:textId="77777777" w:rsidR="00AA3F14" w:rsidRPr="00842C89" w:rsidRDefault="00AA3F14" w:rsidP="00AA3F14">
            <w:pPr>
              <w:rPr>
                <w:rFonts w:ascii="Calibri" w:hAnsi="Calibri" w:cs="Calibri"/>
                <w:color w:val="000000"/>
                <w:sz w:val="24"/>
                <w:szCs w:val="24"/>
              </w:rPr>
            </w:pPr>
          </w:p>
        </w:tc>
        <w:tc>
          <w:tcPr>
            <w:tcW w:w="2767" w:type="dxa"/>
          </w:tcPr>
          <w:p w14:paraId="52D6C49C" w14:textId="055CE8FA" w:rsidR="00AA3F14" w:rsidRPr="00AA3F14" w:rsidRDefault="00AA3F14" w:rsidP="00AA3F14">
            <w:pPr>
              <w:pStyle w:val="Default"/>
              <w:rPr>
                <w:rFonts w:ascii="Calibri" w:hAnsi="Calibri" w:cs="Calibri"/>
                <w:sz w:val="20"/>
                <w:szCs w:val="20"/>
                <w:lang w:val="fr-FR"/>
              </w:rPr>
            </w:pPr>
            <w:r w:rsidRPr="00093075">
              <w:rPr>
                <w:sz w:val="20"/>
                <w:szCs w:val="20"/>
                <w:lang w:val="fr-FR"/>
              </w:rPr>
              <w:t xml:space="preserve">Frais de mise en service des 95 sites distants + deux sites Backup </w:t>
            </w:r>
          </w:p>
        </w:tc>
        <w:tc>
          <w:tcPr>
            <w:tcW w:w="1300" w:type="dxa"/>
            <w:noWrap/>
          </w:tcPr>
          <w:p w14:paraId="144172C9" w14:textId="5862737E" w:rsidR="00AA3F14" w:rsidRDefault="00AA3F14" w:rsidP="00AA3F14">
            <w:pPr>
              <w:jc w:val="center"/>
              <w:rPr>
                <w:rFonts w:ascii="Arial" w:hAnsi="Arial" w:cs="Arial"/>
                <w:sz w:val="18"/>
                <w:szCs w:val="18"/>
              </w:rPr>
            </w:pPr>
            <w:r>
              <w:t xml:space="preserve">97 </w:t>
            </w:r>
          </w:p>
        </w:tc>
        <w:tc>
          <w:tcPr>
            <w:tcW w:w="1740" w:type="dxa"/>
            <w:noWrap/>
          </w:tcPr>
          <w:p w14:paraId="2DDD41E4" w14:textId="53F59D36" w:rsidR="00AA3F14" w:rsidRDefault="00AA3F14" w:rsidP="00AA3F14">
            <w:pPr>
              <w:jc w:val="center"/>
              <w:rPr>
                <w:rFonts w:ascii="Times New Roman" w:hAnsi="Times New Roman"/>
                <w:b/>
                <w:bCs/>
              </w:rPr>
            </w:pPr>
            <w:r>
              <w:t xml:space="preserve">9 500 000 GNF </w:t>
            </w:r>
          </w:p>
        </w:tc>
        <w:tc>
          <w:tcPr>
            <w:tcW w:w="2091" w:type="dxa"/>
            <w:noWrap/>
          </w:tcPr>
          <w:p w14:paraId="1C359C80" w14:textId="109D04CD" w:rsidR="00AA3F14" w:rsidRDefault="00AA3F14" w:rsidP="00AA3F14">
            <w:pPr>
              <w:jc w:val="center"/>
              <w:rPr>
                <w:rFonts w:ascii="Times New Roman" w:hAnsi="Times New Roman"/>
                <w:b/>
                <w:bCs/>
              </w:rPr>
            </w:pPr>
            <w:r>
              <w:t xml:space="preserve">921 500 000 GNF </w:t>
            </w:r>
          </w:p>
        </w:tc>
      </w:tr>
      <w:tr w:rsidR="00AA3F14" w:rsidRPr="00842C89" w14:paraId="7428A786" w14:textId="77777777" w:rsidTr="00AA3F14">
        <w:trPr>
          <w:trHeight w:val="1360"/>
        </w:trPr>
        <w:tc>
          <w:tcPr>
            <w:tcW w:w="1595" w:type="dxa"/>
            <w:vMerge/>
          </w:tcPr>
          <w:p w14:paraId="05D91E3E" w14:textId="77777777" w:rsidR="00AA3F14" w:rsidRPr="00842C89" w:rsidRDefault="00AA3F14" w:rsidP="00AA3F14">
            <w:pPr>
              <w:rPr>
                <w:rFonts w:ascii="Calibri" w:hAnsi="Calibri" w:cs="Calibri"/>
                <w:color w:val="000000"/>
                <w:sz w:val="24"/>
                <w:szCs w:val="24"/>
              </w:rPr>
            </w:pPr>
          </w:p>
        </w:tc>
        <w:tc>
          <w:tcPr>
            <w:tcW w:w="2767" w:type="dxa"/>
          </w:tcPr>
          <w:p w14:paraId="7569D83C" w14:textId="72CDDA53" w:rsidR="00AA3F14" w:rsidRPr="00AA3F14" w:rsidRDefault="00AA3F14" w:rsidP="00AA3F14">
            <w:pPr>
              <w:pStyle w:val="Default"/>
              <w:rPr>
                <w:rFonts w:ascii="Calibri" w:hAnsi="Calibri" w:cs="Calibri"/>
                <w:sz w:val="20"/>
                <w:szCs w:val="20"/>
                <w:lang w:val="fr-FR"/>
              </w:rPr>
            </w:pPr>
            <w:r w:rsidRPr="00093075">
              <w:rPr>
                <w:sz w:val="20"/>
                <w:szCs w:val="20"/>
                <w:lang w:val="fr-FR"/>
              </w:rPr>
              <w:t xml:space="preserve">Frais de mise en service Internet 10M10M à partager entre Conakry, Boké Kindia, Mamou, Faranah, Kankan, Labé, N’Nzérékoré </w:t>
            </w:r>
          </w:p>
        </w:tc>
        <w:tc>
          <w:tcPr>
            <w:tcW w:w="1300" w:type="dxa"/>
            <w:noWrap/>
          </w:tcPr>
          <w:p w14:paraId="789959F9" w14:textId="5E3DA8A6" w:rsidR="00AA3F14" w:rsidRDefault="00AA3F14" w:rsidP="00AA3F14">
            <w:pPr>
              <w:jc w:val="center"/>
              <w:rPr>
                <w:rFonts w:ascii="Arial" w:hAnsi="Arial" w:cs="Arial"/>
                <w:sz w:val="18"/>
                <w:szCs w:val="18"/>
              </w:rPr>
            </w:pPr>
            <w:r>
              <w:t xml:space="preserve">10 </w:t>
            </w:r>
          </w:p>
        </w:tc>
        <w:tc>
          <w:tcPr>
            <w:tcW w:w="1740" w:type="dxa"/>
            <w:noWrap/>
          </w:tcPr>
          <w:p w14:paraId="2E1DA01E" w14:textId="7E7BC3F0" w:rsidR="00AA3F14" w:rsidRDefault="00AA3F14" w:rsidP="00AA3F14">
            <w:pPr>
              <w:jc w:val="center"/>
              <w:rPr>
                <w:rFonts w:ascii="Times New Roman" w:hAnsi="Times New Roman"/>
                <w:b/>
                <w:bCs/>
              </w:rPr>
            </w:pPr>
            <w:r>
              <w:t xml:space="preserve">9 500 000 GNF </w:t>
            </w:r>
          </w:p>
        </w:tc>
        <w:tc>
          <w:tcPr>
            <w:tcW w:w="2091" w:type="dxa"/>
            <w:noWrap/>
          </w:tcPr>
          <w:p w14:paraId="41945FB6" w14:textId="6D18D402" w:rsidR="00AA3F14" w:rsidRDefault="00AA3F14" w:rsidP="00AA3F14">
            <w:pPr>
              <w:jc w:val="center"/>
              <w:rPr>
                <w:rFonts w:ascii="Times New Roman" w:hAnsi="Times New Roman"/>
                <w:b/>
                <w:bCs/>
              </w:rPr>
            </w:pPr>
            <w:r>
              <w:t xml:space="preserve">Offert </w:t>
            </w:r>
          </w:p>
        </w:tc>
      </w:tr>
      <w:tr w:rsidR="00AA3F14" w:rsidRPr="00842C89" w14:paraId="511B83A8" w14:textId="77777777" w:rsidTr="00AA3F14">
        <w:trPr>
          <w:trHeight w:val="320"/>
        </w:trPr>
        <w:tc>
          <w:tcPr>
            <w:tcW w:w="1595" w:type="dxa"/>
            <w:vMerge/>
            <w:vAlign w:val="center"/>
            <w:hideMark/>
          </w:tcPr>
          <w:p w14:paraId="50D73C7D" w14:textId="35E6A164" w:rsidR="00AA3F14" w:rsidRPr="00842C89" w:rsidRDefault="00AA3F14" w:rsidP="00AA3F14">
            <w:pPr>
              <w:jc w:val="center"/>
              <w:rPr>
                <w:rFonts w:ascii="Calibri" w:hAnsi="Calibri" w:cs="Calibri"/>
                <w:color w:val="000000"/>
                <w:sz w:val="24"/>
                <w:szCs w:val="24"/>
              </w:rPr>
            </w:pPr>
          </w:p>
        </w:tc>
        <w:tc>
          <w:tcPr>
            <w:tcW w:w="5807" w:type="dxa"/>
            <w:gridSpan w:val="3"/>
            <w:shd w:val="clear" w:color="auto" w:fill="C5E0B3" w:themeFill="accent6" w:themeFillTint="66"/>
            <w:vAlign w:val="center"/>
          </w:tcPr>
          <w:p w14:paraId="4BDA9032" w14:textId="5EBAE1C5" w:rsidR="00AA3F14" w:rsidRPr="00807493" w:rsidRDefault="00AA3F14" w:rsidP="00AA3F14">
            <w:pPr>
              <w:jc w:val="center"/>
              <w:rPr>
                <w:rFonts w:ascii="Times New Roman" w:hAnsi="Times New Roman"/>
                <w:b/>
                <w:bCs/>
              </w:rPr>
            </w:pPr>
            <w:r w:rsidRPr="00807493">
              <w:rPr>
                <w:rFonts w:ascii="Calibri" w:hAnsi="Calibri" w:cs="Calibri"/>
                <w:b/>
                <w:bCs/>
                <w:color w:val="000000"/>
                <w:sz w:val="24"/>
                <w:szCs w:val="24"/>
              </w:rPr>
              <w:t xml:space="preserve">Total </w:t>
            </w:r>
            <w:r w:rsidR="00481B4A">
              <w:rPr>
                <w:rFonts w:ascii="Calibri" w:hAnsi="Calibri" w:cs="Calibri"/>
                <w:b/>
                <w:bCs/>
                <w:color w:val="000000"/>
                <w:sz w:val="24"/>
                <w:szCs w:val="24"/>
              </w:rPr>
              <w:t>coût data center de production</w:t>
            </w:r>
          </w:p>
        </w:tc>
        <w:tc>
          <w:tcPr>
            <w:tcW w:w="2091" w:type="dxa"/>
            <w:shd w:val="clear" w:color="auto" w:fill="C5E0B3" w:themeFill="accent6" w:themeFillTint="66"/>
            <w:noWrap/>
            <w:hideMark/>
          </w:tcPr>
          <w:p w14:paraId="1ADAA5E8" w14:textId="795ABBF7" w:rsidR="00AA3F14" w:rsidRPr="00807493" w:rsidRDefault="00AA3F14" w:rsidP="00AA3F14">
            <w:pPr>
              <w:rPr>
                <w:rFonts w:ascii="Calibri" w:hAnsi="Calibri" w:cs="Calibri"/>
                <w:b/>
                <w:bCs/>
                <w:color w:val="000000"/>
                <w:sz w:val="24"/>
                <w:szCs w:val="24"/>
              </w:rPr>
            </w:pPr>
            <w:r w:rsidRPr="00AA3F14">
              <w:rPr>
                <w:rFonts w:ascii="Calibri" w:hAnsi="Calibri" w:cs="Calibri"/>
                <w:b/>
                <w:bCs/>
                <w:color w:val="000000"/>
                <w:sz w:val="24"/>
                <w:szCs w:val="24"/>
              </w:rPr>
              <w:t xml:space="preserve">1 287 500 000 GNF </w:t>
            </w:r>
          </w:p>
        </w:tc>
      </w:tr>
    </w:tbl>
    <w:p w14:paraId="47408B3A" w14:textId="3C3D8297" w:rsidR="00AA3F14" w:rsidRDefault="00AA3F14" w:rsidP="000C68B4">
      <w:pPr>
        <w:rPr>
          <w:rFonts w:ascii="Arial" w:eastAsiaTheme="majorEastAsia" w:hAnsi="Arial" w:cs="Arial"/>
          <w:i/>
          <w:iCs/>
          <w:color w:val="000000" w:themeColor="text1"/>
          <w:sz w:val="24"/>
          <w:szCs w:val="24"/>
        </w:rPr>
      </w:pPr>
    </w:p>
    <w:p w14:paraId="6701B2E4" w14:textId="77777777" w:rsidR="00481B4A" w:rsidRDefault="00481B4A" w:rsidP="00481B4A">
      <w:pPr>
        <w:pStyle w:val="Caption"/>
        <w:rPr>
          <w:rFonts w:ascii="Arial" w:hAnsi="Arial" w:cs="Arial"/>
          <w:sz w:val="24"/>
          <w:szCs w:val="24"/>
        </w:rPr>
      </w:pPr>
    </w:p>
    <w:p w14:paraId="04DE74FA" w14:textId="717D20DF" w:rsidR="007F117B" w:rsidRPr="007F117B" w:rsidRDefault="007F117B" w:rsidP="007F117B">
      <w:pPr>
        <w:rPr>
          <w:b/>
          <w:bCs/>
          <w:i/>
          <w:iCs/>
        </w:rPr>
        <w:sectPr w:rsidR="007F117B" w:rsidRPr="007F117B">
          <w:pgSz w:w="11906" w:h="16838"/>
          <w:pgMar w:top="1417" w:right="1417" w:bottom="1417" w:left="1417" w:header="708" w:footer="708" w:gutter="0"/>
          <w:cols w:space="708"/>
          <w:docGrid w:linePitch="360"/>
        </w:sectPr>
      </w:pPr>
      <w:r w:rsidRPr="007F117B">
        <w:rPr>
          <w:b/>
          <w:bCs/>
          <w:i/>
          <w:iCs/>
        </w:rPr>
        <w:t>PS : le même montant est à prévoir pour la mise ne place d’un data center de test sur un des site distant</w:t>
      </w:r>
    </w:p>
    <w:p w14:paraId="6EE49CE7" w14:textId="6B13F2E3" w:rsidR="00481B4A" w:rsidRPr="00481B4A" w:rsidRDefault="00481B4A" w:rsidP="00481B4A">
      <w:pPr>
        <w:pStyle w:val="Caption"/>
        <w:rPr>
          <w:rFonts w:ascii="Arial" w:hAnsi="Arial" w:cs="Arial"/>
          <w:sz w:val="24"/>
          <w:szCs w:val="24"/>
        </w:rPr>
      </w:pPr>
      <w:bookmarkStart w:id="28" w:name="_Toc99467009"/>
      <w:r w:rsidRPr="008324FD">
        <w:rPr>
          <w:rFonts w:ascii="Arial" w:hAnsi="Arial" w:cs="Arial"/>
          <w:sz w:val="24"/>
          <w:szCs w:val="24"/>
        </w:rPr>
        <w:lastRenderedPageBreak/>
        <w:t xml:space="preserve">Tableau </w:t>
      </w:r>
      <w:r w:rsidRPr="008324FD">
        <w:rPr>
          <w:rFonts w:ascii="Arial" w:hAnsi="Arial" w:cs="Arial"/>
          <w:sz w:val="24"/>
          <w:szCs w:val="24"/>
        </w:rPr>
        <w:fldChar w:fldCharType="begin"/>
      </w:r>
      <w:r w:rsidRPr="008324FD">
        <w:rPr>
          <w:rFonts w:ascii="Arial" w:hAnsi="Arial" w:cs="Arial"/>
          <w:sz w:val="24"/>
          <w:szCs w:val="24"/>
        </w:rPr>
        <w:instrText xml:space="preserve"> SEQ Tableau \* ARABIC </w:instrText>
      </w:r>
      <w:r w:rsidRPr="008324FD">
        <w:rPr>
          <w:rFonts w:ascii="Arial" w:hAnsi="Arial" w:cs="Arial"/>
          <w:sz w:val="24"/>
          <w:szCs w:val="24"/>
        </w:rPr>
        <w:fldChar w:fldCharType="separate"/>
      </w:r>
      <w:r w:rsidR="007F117B">
        <w:rPr>
          <w:rFonts w:ascii="Arial" w:hAnsi="Arial" w:cs="Arial"/>
          <w:noProof/>
          <w:sz w:val="24"/>
          <w:szCs w:val="24"/>
        </w:rPr>
        <w:t>6</w:t>
      </w:r>
      <w:r w:rsidRPr="008324FD">
        <w:rPr>
          <w:rFonts w:ascii="Arial" w:hAnsi="Arial" w:cs="Arial"/>
          <w:sz w:val="24"/>
          <w:szCs w:val="24"/>
        </w:rPr>
        <w:fldChar w:fldCharType="end"/>
      </w:r>
      <w:r w:rsidRPr="008324FD">
        <w:rPr>
          <w:rFonts w:ascii="Arial" w:hAnsi="Arial" w:cs="Arial"/>
          <w:sz w:val="24"/>
          <w:szCs w:val="24"/>
        </w:rPr>
        <w:t xml:space="preserve"> : Estimation financière pour </w:t>
      </w:r>
      <w:r>
        <w:rPr>
          <w:rFonts w:ascii="Arial" w:hAnsi="Arial" w:cs="Arial"/>
          <w:sz w:val="24"/>
          <w:szCs w:val="24"/>
        </w:rPr>
        <w:t xml:space="preserve">la mise en place d’un data center de </w:t>
      </w:r>
      <w:r>
        <w:rPr>
          <w:rFonts w:ascii="Arial" w:hAnsi="Arial" w:cs="Arial"/>
          <w:sz w:val="24"/>
          <w:szCs w:val="24"/>
        </w:rPr>
        <w:t xml:space="preserve">sauvegarde </w:t>
      </w:r>
      <w:r w:rsidR="007F117B">
        <w:rPr>
          <w:rFonts w:ascii="Arial" w:hAnsi="Arial" w:cs="Arial"/>
          <w:sz w:val="24"/>
          <w:szCs w:val="24"/>
        </w:rPr>
        <w:t xml:space="preserve">au niveau du ministère de la santé </w:t>
      </w:r>
      <w:r>
        <w:rPr>
          <w:rFonts w:ascii="Arial" w:hAnsi="Arial" w:cs="Arial"/>
          <w:sz w:val="24"/>
          <w:szCs w:val="24"/>
        </w:rPr>
        <w:t>(conteneur mobile)</w:t>
      </w:r>
      <w:bookmarkEnd w:id="28"/>
      <w:r w:rsidRPr="008324FD">
        <w:rPr>
          <w:rFonts w:ascii="Arial" w:hAnsi="Arial" w:cs="Arial"/>
          <w:sz w:val="24"/>
          <w:szCs w:val="24"/>
        </w:rPr>
        <w:t xml:space="preserve"> </w:t>
      </w:r>
    </w:p>
    <w:tbl>
      <w:tblPr>
        <w:tblStyle w:val="TableGrid"/>
        <w:tblW w:w="3636" w:type="pct"/>
        <w:tblLook w:val="04A0" w:firstRow="1" w:lastRow="0" w:firstColumn="1" w:lastColumn="0" w:noHBand="0" w:noVBand="1"/>
      </w:tblPr>
      <w:tblGrid>
        <w:gridCol w:w="1697"/>
        <w:gridCol w:w="6545"/>
      </w:tblGrid>
      <w:tr w:rsidR="00481B4A" w:rsidRPr="00846AA1" w14:paraId="4BBD861A" w14:textId="77777777" w:rsidTr="00F92877">
        <w:tc>
          <w:tcPr>
            <w:tcW w:w="1248" w:type="pct"/>
            <w:hideMark/>
          </w:tcPr>
          <w:p w14:paraId="17B4FA0A"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Mod</w:t>
            </w:r>
            <w:r>
              <w:rPr>
                <w:rFonts w:ascii="Arial" w:hAnsi="Arial" w:cs="Arial"/>
                <w:color w:val="333333"/>
                <w:sz w:val="18"/>
                <w:szCs w:val="18"/>
              </w:rPr>
              <w:t>èle</w:t>
            </w:r>
          </w:p>
        </w:tc>
        <w:tc>
          <w:tcPr>
            <w:tcW w:w="3752" w:type="pct"/>
            <w:noWrap/>
            <w:hideMark/>
          </w:tcPr>
          <w:p w14:paraId="14E90DA7"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CDC0LAMISC38</w:t>
            </w:r>
          </w:p>
        </w:tc>
      </w:tr>
      <w:tr w:rsidR="00481B4A" w:rsidRPr="00846AA1" w14:paraId="38BFA6A0" w14:textId="77777777" w:rsidTr="00F92877">
        <w:tc>
          <w:tcPr>
            <w:tcW w:w="1248" w:type="pct"/>
            <w:hideMark/>
          </w:tcPr>
          <w:p w14:paraId="40CE6365"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Description</w:t>
            </w:r>
          </w:p>
        </w:tc>
        <w:tc>
          <w:tcPr>
            <w:tcW w:w="3752" w:type="pct"/>
            <w:noWrap/>
            <w:hideMark/>
          </w:tcPr>
          <w:p w14:paraId="48C7EC43" w14:textId="77777777" w:rsidR="00481B4A" w:rsidRPr="00846AA1" w:rsidRDefault="00481B4A" w:rsidP="00F92877">
            <w:pPr>
              <w:rPr>
                <w:rFonts w:ascii="Arial" w:hAnsi="Arial" w:cs="Arial"/>
                <w:color w:val="333333"/>
                <w:sz w:val="18"/>
                <w:szCs w:val="18"/>
                <w:lang w:val="en-US"/>
              </w:rPr>
            </w:pPr>
            <w:r w:rsidRPr="00846AA1">
              <w:rPr>
                <w:rFonts w:ascii="Arial" w:hAnsi="Arial" w:cs="Arial"/>
                <w:color w:val="333333"/>
                <w:sz w:val="18"/>
                <w:szCs w:val="18"/>
                <w:lang w:val="en-US"/>
              </w:rPr>
              <w:t>Prefabricated All-in-One data center-40ft-IT-N+X-380V-50Hz-12192*2438*2896</w:t>
            </w:r>
          </w:p>
        </w:tc>
      </w:tr>
      <w:tr w:rsidR="00481B4A" w:rsidRPr="00846AA1" w14:paraId="709C3DEF" w14:textId="77777777" w:rsidTr="00F92877">
        <w:tc>
          <w:tcPr>
            <w:tcW w:w="1248" w:type="pct"/>
            <w:hideMark/>
          </w:tcPr>
          <w:p w14:paraId="2B680B43"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Attributs logiciels et matériels</w:t>
            </w:r>
          </w:p>
        </w:tc>
        <w:tc>
          <w:tcPr>
            <w:tcW w:w="3752" w:type="pct"/>
            <w:noWrap/>
            <w:hideMark/>
          </w:tcPr>
          <w:p w14:paraId="5184D996"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Hardware</w:t>
            </w:r>
          </w:p>
        </w:tc>
      </w:tr>
      <w:tr w:rsidR="00481B4A" w:rsidRPr="00846AA1" w14:paraId="219079E5" w14:textId="77777777" w:rsidTr="00F92877">
        <w:tc>
          <w:tcPr>
            <w:tcW w:w="1248" w:type="pct"/>
            <w:hideMark/>
          </w:tcPr>
          <w:p w14:paraId="3500EFFD"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 xml:space="preserve">Pack </w:t>
            </w:r>
            <w:proofErr w:type="spellStart"/>
            <w:r w:rsidRPr="00846AA1">
              <w:rPr>
                <w:rFonts w:ascii="Arial" w:hAnsi="Arial" w:cs="Arial"/>
                <w:color w:val="333333"/>
                <w:sz w:val="18"/>
                <w:szCs w:val="18"/>
              </w:rPr>
              <w:t>Weight</w:t>
            </w:r>
            <w:proofErr w:type="spellEnd"/>
            <w:r w:rsidRPr="00846AA1">
              <w:rPr>
                <w:rFonts w:ascii="Arial" w:hAnsi="Arial" w:cs="Arial"/>
                <w:color w:val="333333"/>
                <w:sz w:val="18"/>
                <w:szCs w:val="18"/>
              </w:rPr>
              <w:t>(kg)</w:t>
            </w:r>
          </w:p>
        </w:tc>
        <w:tc>
          <w:tcPr>
            <w:tcW w:w="3752" w:type="pct"/>
            <w:noWrap/>
            <w:hideMark/>
          </w:tcPr>
          <w:p w14:paraId="000381A0"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12000</w:t>
            </w:r>
          </w:p>
        </w:tc>
      </w:tr>
      <w:tr w:rsidR="00481B4A" w:rsidRPr="00846AA1" w14:paraId="01CEBB92" w14:textId="77777777" w:rsidTr="00F92877">
        <w:tc>
          <w:tcPr>
            <w:tcW w:w="1248" w:type="pct"/>
            <w:hideMark/>
          </w:tcPr>
          <w:p w14:paraId="3EA10475"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Pack Volume(m^3)</w:t>
            </w:r>
          </w:p>
        </w:tc>
        <w:tc>
          <w:tcPr>
            <w:tcW w:w="3752" w:type="pct"/>
            <w:noWrap/>
            <w:hideMark/>
          </w:tcPr>
          <w:p w14:paraId="4234E1FF"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86.08</w:t>
            </w:r>
          </w:p>
        </w:tc>
      </w:tr>
      <w:tr w:rsidR="00481B4A" w:rsidRPr="00846AA1" w14:paraId="6F0DC599" w14:textId="77777777" w:rsidTr="00F92877">
        <w:tc>
          <w:tcPr>
            <w:tcW w:w="1248" w:type="pct"/>
            <w:hideMark/>
          </w:tcPr>
          <w:p w14:paraId="72FE91E6"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 xml:space="preserve">Pack </w:t>
            </w:r>
            <w:proofErr w:type="gramStart"/>
            <w:r w:rsidRPr="00846AA1">
              <w:rPr>
                <w:rFonts w:ascii="Arial" w:hAnsi="Arial" w:cs="Arial"/>
                <w:color w:val="333333"/>
                <w:sz w:val="18"/>
                <w:szCs w:val="18"/>
              </w:rPr>
              <w:t>Dimension(</w:t>
            </w:r>
            <w:proofErr w:type="gramEnd"/>
            <w:r w:rsidRPr="00846AA1">
              <w:rPr>
                <w:rFonts w:ascii="Arial" w:hAnsi="Arial" w:cs="Arial"/>
                <w:color w:val="333333"/>
                <w:sz w:val="18"/>
                <w:szCs w:val="18"/>
              </w:rPr>
              <w:t>D*W*H mm)</w:t>
            </w:r>
          </w:p>
        </w:tc>
        <w:tc>
          <w:tcPr>
            <w:tcW w:w="3752" w:type="pct"/>
            <w:noWrap/>
            <w:hideMark/>
          </w:tcPr>
          <w:p w14:paraId="2B3017CC"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12192*2438*2896</w:t>
            </w:r>
          </w:p>
        </w:tc>
      </w:tr>
      <w:tr w:rsidR="00481B4A" w:rsidRPr="00846AA1" w14:paraId="67CB52C5" w14:textId="77777777" w:rsidTr="00F92877">
        <w:tc>
          <w:tcPr>
            <w:tcW w:w="1248" w:type="pct"/>
            <w:hideMark/>
          </w:tcPr>
          <w:p w14:paraId="7E626C46" w14:textId="77777777" w:rsidR="00481B4A" w:rsidRPr="00846AA1" w:rsidRDefault="00481B4A" w:rsidP="00F92877">
            <w:pPr>
              <w:rPr>
                <w:rFonts w:ascii="Arial" w:hAnsi="Arial" w:cs="Arial"/>
                <w:color w:val="333333"/>
                <w:sz w:val="18"/>
                <w:szCs w:val="18"/>
              </w:rPr>
            </w:pPr>
            <w:r w:rsidRPr="00846AA1">
              <w:rPr>
                <w:rFonts w:ascii="Arial" w:hAnsi="Arial" w:cs="Arial"/>
                <w:color w:val="333333"/>
                <w:sz w:val="18"/>
                <w:szCs w:val="18"/>
              </w:rPr>
              <w:t>Dimension</w:t>
            </w:r>
            <w:r>
              <w:rPr>
                <w:rFonts w:ascii="Arial" w:hAnsi="Arial" w:cs="Arial"/>
                <w:color w:val="333333"/>
                <w:sz w:val="18"/>
                <w:szCs w:val="18"/>
              </w:rPr>
              <w:t xml:space="preserve"> nette </w:t>
            </w:r>
            <w:r w:rsidRPr="00846AA1">
              <w:rPr>
                <w:rFonts w:ascii="Arial" w:hAnsi="Arial" w:cs="Arial"/>
                <w:color w:val="333333"/>
                <w:sz w:val="18"/>
                <w:szCs w:val="18"/>
              </w:rPr>
              <w:t>(D*W*H mm)</w:t>
            </w:r>
          </w:p>
        </w:tc>
        <w:tc>
          <w:tcPr>
            <w:tcW w:w="3752" w:type="pct"/>
            <w:noWrap/>
            <w:hideMark/>
          </w:tcPr>
          <w:p w14:paraId="20E0B6A3" w14:textId="77777777" w:rsidR="00481B4A" w:rsidRPr="00846AA1" w:rsidRDefault="00481B4A" w:rsidP="00F92877">
            <w:pPr>
              <w:rPr>
                <w:rFonts w:ascii="Arial" w:hAnsi="Arial" w:cs="Arial"/>
                <w:color w:val="333333"/>
                <w:sz w:val="18"/>
                <w:szCs w:val="18"/>
              </w:rPr>
            </w:pPr>
          </w:p>
        </w:tc>
      </w:tr>
      <w:tr w:rsidR="00481B4A" w:rsidRPr="00846AA1" w14:paraId="11E6B37A" w14:textId="77777777" w:rsidTr="00F92877">
        <w:tc>
          <w:tcPr>
            <w:tcW w:w="1248" w:type="pct"/>
            <w:hideMark/>
          </w:tcPr>
          <w:p w14:paraId="7E333B4F" w14:textId="77777777" w:rsidR="00481B4A" w:rsidRPr="00846AA1" w:rsidRDefault="00481B4A" w:rsidP="00F92877">
            <w:pPr>
              <w:rPr>
                <w:rFonts w:ascii="Arial" w:hAnsi="Arial" w:cs="Arial"/>
                <w:color w:val="333333"/>
                <w:sz w:val="18"/>
                <w:szCs w:val="18"/>
              </w:rPr>
            </w:pPr>
            <w:proofErr w:type="spellStart"/>
            <w:r w:rsidRPr="00846AA1">
              <w:rPr>
                <w:rFonts w:ascii="Arial" w:hAnsi="Arial" w:cs="Arial"/>
                <w:color w:val="333333"/>
                <w:sz w:val="18"/>
                <w:szCs w:val="18"/>
              </w:rPr>
              <w:t>Typic</w:t>
            </w:r>
            <w:proofErr w:type="spellEnd"/>
            <w:r w:rsidRPr="00846AA1">
              <w:rPr>
                <w:rFonts w:ascii="Arial" w:hAnsi="Arial" w:cs="Arial"/>
                <w:color w:val="333333"/>
                <w:sz w:val="18"/>
                <w:szCs w:val="18"/>
              </w:rPr>
              <w:t xml:space="preserve"> Power(W)</w:t>
            </w:r>
          </w:p>
        </w:tc>
        <w:tc>
          <w:tcPr>
            <w:tcW w:w="3752" w:type="pct"/>
            <w:noWrap/>
            <w:hideMark/>
          </w:tcPr>
          <w:p w14:paraId="0E774D8C" w14:textId="77777777" w:rsidR="00481B4A" w:rsidRPr="00846AA1" w:rsidRDefault="00481B4A" w:rsidP="00F92877">
            <w:pPr>
              <w:rPr>
                <w:rFonts w:ascii="Arial" w:hAnsi="Arial" w:cs="Arial"/>
                <w:color w:val="333333"/>
                <w:sz w:val="18"/>
                <w:szCs w:val="18"/>
              </w:rPr>
            </w:pPr>
          </w:p>
        </w:tc>
      </w:tr>
      <w:tr w:rsidR="00481B4A" w:rsidRPr="00846AA1" w14:paraId="6C967120" w14:textId="77777777" w:rsidTr="00481B4A">
        <w:tc>
          <w:tcPr>
            <w:tcW w:w="1248" w:type="pct"/>
            <w:shd w:val="clear" w:color="auto" w:fill="C5E0B3" w:themeFill="accent6" w:themeFillTint="66"/>
            <w:hideMark/>
          </w:tcPr>
          <w:p w14:paraId="5A800AF6" w14:textId="6151D9FE" w:rsidR="00481B4A" w:rsidRPr="00846AA1" w:rsidRDefault="00481B4A" w:rsidP="00F92877">
            <w:pPr>
              <w:rPr>
                <w:rFonts w:ascii="Calibri" w:hAnsi="Calibri" w:cs="Calibri"/>
                <w:b/>
                <w:bCs/>
                <w:color w:val="000000"/>
                <w:sz w:val="24"/>
                <w:szCs w:val="24"/>
              </w:rPr>
            </w:pPr>
            <w:r w:rsidRPr="00481B4A">
              <w:rPr>
                <w:rFonts w:ascii="Calibri" w:hAnsi="Calibri" w:cs="Calibri"/>
                <w:b/>
                <w:bCs/>
                <w:color w:val="000000"/>
                <w:sz w:val="24"/>
                <w:szCs w:val="24"/>
              </w:rPr>
              <w:t>Total coût</w:t>
            </w:r>
          </w:p>
        </w:tc>
        <w:tc>
          <w:tcPr>
            <w:tcW w:w="3752" w:type="pct"/>
            <w:shd w:val="clear" w:color="auto" w:fill="C5E0B3" w:themeFill="accent6" w:themeFillTint="66"/>
            <w:noWrap/>
            <w:hideMark/>
          </w:tcPr>
          <w:p w14:paraId="7D316FAE" w14:textId="77777777" w:rsidR="00481B4A" w:rsidRPr="00846AA1" w:rsidRDefault="00481B4A" w:rsidP="00F92877">
            <w:pPr>
              <w:rPr>
                <w:rFonts w:ascii="Calibri" w:hAnsi="Calibri" w:cs="Calibri"/>
                <w:b/>
                <w:bCs/>
                <w:color w:val="000000"/>
                <w:sz w:val="24"/>
                <w:szCs w:val="24"/>
              </w:rPr>
            </w:pPr>
            <w:r w:rsidRPr="00481B4A">
              <w:rPr>
                <w:rFonts w:ascii="Calibri" w:hAnsi="Calibri" w:cs="Calibri"/>
                <w:b/>
                <w:bCs/>
                <w:color w:val="000000"/>
                <w:sz w:val="24"/>
                <w:szCs w:val="24"/>
              </w:rPr>
              <w:t>9 941 300 000 GNF</w:t>
            </w:r>
          </w:p>
        </w:tc>
      </w:tr>
    </w:tbl>
    <w:p w14:paraId="1EC7B7D8" w14:textId="53BC9A6B" w:rsidR="00481B4A" w:rsidRDefault="00481B4A" w:rsidP="000C68B4">
      <w:pPr>
        <w:rPr>
          <w:rFonts w:ascii="Arial" w:eastAsiaTheme="majorEastAsia" w:hAnsi="Arial" w:cs="Arial"/>
          <w:i/>
          <w:iCs/>
          <w:color w:val="000000" w:themeColor="text1"/>
          <w:sz w:val="24"/>
          <w:szCs w:val="24"/>
        </w:rPr>
      </w:pPr>
    </w:p>
    <w:p w14:paraId="372D66AF" w14:textId="1330E10D" w:rsidR="00A601EE" w:rsidRPr="00807493" w:rsidRDefault="000C68B4" w:rsidP="000C68B4">
      <w:pPr>
        <w:rPr>
          <w:rFonts w:ascii="Arial" w:eastAsiaTheme="majorEastAsia" w:hAnsi="Arial" w:cs="Arial"/>
          <w:b/>
          <w:i/>
          <w:iCs/>
          <w:color w:val="000000" w:themeColor="text1"/>
          <w:sz w:val="24"/>
          <w:szCs w:val="24"/>
        </w:rPr>
      </w:pPr>
      <w:r>
        <w:rPr>
          <w:rFonts w:ascii="Arial" w:eastAsiaTheme="majorEastAsia" w:hAnsi="Arial" w:cs="Arial"/>
          <w:i/>
          <w:iCs/>
          <w:color w:val="000000" w:themeColor="text1"/>
          <w:sz w:val="24"/>
          <w:szCs w:val="24"/>
        </w:rPr>
        <w:t xml:space="preserve">  </w:t>
      </w:r>
      <w:r w:rsidR="00A601EE" w:rsidRPr="00807493">
        <w:rPr>
          <w:rFonts w:ascii="Arial" w:eastAsiaTheme="majorEastAsia" w:hAnsi="Arial" w:cs="Arial"/>
          <w:b/>
          <w:i/>
          <w:iCs/>
          <w:color w:val="000000" w:themeColor="text1"/>
          <w:sz w:val="24"/>
          <w:szCs w:val="24"/>
        </w:rPr>
        <w:t>2.3 Mise en réseau des structures de santé pour la gestion des données</w:t>
      </w:r>
    </w:p>
    <w:p w14:paraId="63C91EF0" w14:textId="71D5C8CD" w:rsidR="00A601EE" w:rsidRPr="007E2C3E" w:rsidRDefault="00A601EE" w:rsidP="00A601EE">
      <w:pPr>
        <w:spacing w:line="360" w:lineRule="auto"/>
        <w:jc w:val="both"/>
        <w:rPr>
          <w:rFonts w:ascii="Arial" w:eastAsia="Times New Roman" w:hAnsi="Arial" w:cs="Arial"/>
          <w:sz w:val="24"/>
          <w:szCs w:val="24"/>
          <w:lang w:eastAsia="fr-FR"/>
        </w:rPr>
      </w:pPr>
      <w:r w:rsidRPr="007E2C3E">
        <w:rPr>
          <w:rFonts w:ascii="Arial" w:eastAsia="Times New Roman" w:hAnsi="Arial" w:cs="Arial"/>
          <w:sz w:val="24"/>
          <w:szCs w:val="24"/>
          <w:lang w:eastAsia="fr-FR"/>
        </w:rPr>
        <w:t>L</w:t>
      </w:r>
      <w:r>
        <w:rPr>
          <w:rFonts w:ascii="Arial" w:eastAsia="Times New Roman" w:hAnsi="Arial" w:cs="Arial"/>
          <w:sz w:val="24"/>
          <w:szCs w:val="24"/>
          <w:lang w:eastAsia="fr-FR"/>
        </w:rPr>
        <w:t xml:space="preserve">a disponibilité d’une connexion internet de débit moyen (au moins 2 </w:t>
      </w:r>
      <w:proofErr w:type="spellStart"/>
      <w:r>
        <w:rPr>
          <w:rFonts w:ascii="Arial" w:eastAsia="Times New Roman" w:hAnsi="Arial" w:cs="Arial"/>
          <w:sz w:val="24"/>
          <w:szCs w:val="24"/>
          <w:lang w:eastAsia="fr-FR"/>
        </w:rPr>
        <w:t>Mps</w:t>
      </w:r>
      <w:proofErr w:type="spellEnd"/>
      <w:r>
        <w:rPr>
          <w:rFonts w:ascii="Arial" w:eastAsia="Times New Roman" w:hAnsi="Arial" w:cs="Arial"/>
          <w:sz w:val="24"/>
          <w:szCs w:val="24"/>
          <w:lang w:eastAsia="fr-FR"/>
        </w:rPr>
        <w:t xml:space="preserve"> bidirectionnel</w:t>
      </w:r>
      <w:r w:rsidR="00C51600">
        <w:rPr>
          <w:rFonts w:ascii="Arial" w:eastAsia="Times New Roman" w:hAnsi="Arial" w:cs="Arial"/>
          <w:sz w:val="24"/>
          <w:szCs w:val="24"/>
          <w:lang w:eastAsia="fr-FR"/>
        </w:rPr>
        <w:t>s</w:t>
      </w:r>
      <w:r>
        <w:rPr>
          <w:rFonts w:ascii="Arial" w:eastAsia="Times New Roman" w:hAnsi="Arial" w:cs="Arial"/>
          <w:sz w:val="24"/>
          <w:szCs w:val="24"/>
          <w:lang w:eastAsia="fr-FR"/>
        </w:rPr>
        <w:t xml:space="preserve">) est indispensable pour la transmission prompte et l’utilisation des données. </w:t>
      </w:r>
      <w:r w:rsidRPr="007E2C3E">
        <w:rPr>
          <w:rFonts w:ascii="Arial" w:eastAsia="Times New Roman" w:hAnsi="Arial" w:cs="Arial"/>
          <w:sz w:val="24"/>
          <w:szCs w:val="24"/>
          <w:lang w:eastAsia="fr-FR"/>
        </w:rPr>
        <w:t>Sur l’ensemble des structures sanitaires des huit (8) régions, seul</w:t>
      </w:r>
      <w:r>
        <w:rPr>
          <w:rFonts w:ascii="Arial" w:eastAsia="Times New Roman" w:hAnsi="Arial" w:cs="Arial"/>
          <w:sz w:val="24"/>
          <w:szCs w:val="24"/>
          <w:lang w:eastAsia="fr-FR"/>
        </w:rPr>
        <w:t>e</w:t>
      </w:r>
      <w:r w:rsidRPr="007E2C3E">
        <w:rPr>
          <w:rFonts w:ascii="Arial" w:eastAsia="Times New Roman" w:hAnsi="Arial" w:cs="Arial"/>
          <w:sz w:val="24"/>
          <w:szCs w:val="24"/>
          <w:lang w:eastAsia="fr-FR"/>
        </w:rPr>
        <w:t xml:space="preserve"> la région de Conakry bénéficie du réseau métropolitain avec un meilleur maillage de la connexion de</w:t>
      </w:r>
      <w:r w:rsidR="00321A30">
        <w:rPr>
          <w:rFonts w:ascii="Arial" w:eastAsia="Times New Roman" w:hAnsi="Arial" w:cs="Arial"/>
          <w:sz w:val="24"/>
          <w:szCs w:val="24"/>
          <w:lang w:eastAsia="fr-FR"/>
        </w:rPr>
        <w:t>s</w:t>
      </w:r>
      <w:r w:rsidRPr="007E2C3E">
        <w:rPr>
          <w:rFonts w:ascii="Arial" w:eastAsia="Times New Roman" w:hAnsi="Arial" w:cs="Arial"/>
          <w:sz w:val="24"/>
          <w:szCs w:val="24"/>
          <w:lang w:eastAsia="fr-FR"/>
        </w:rPr>
        <w:t xml:space="preserve"> structures et service</w:t>
      </w:r>
      <w:r w:rsidR="00321A30">
        <w:rPr>
          <w:rFonts w:ascii="Arial" w:eastAsia="Times New Roman" w:hAnsi="Arial" w:cs="Arial"/>
          <w:sz w:val="24"/>
          <w:szCs w:val="24"/>
          <w:lang w:eastAsia="fr-FR"/>
        </w:rPr>
        <w:t>s</w:t>
      </w:r>
      <w:r w:rsidRPr="007E2C3E">
        <w:rPr>
          <w:rFonts w:ascii="Arial" w:eastAsia="Times New Roman" w:hAnsi="Arial" w:cs="Arial"/>
          <w:sz w:val="24"/>
          <w:szCs w:val="24"/>
          <w:lang w:eastAsia="fr-FR"/>
        </w:rPr>
        <w:t xml:space="preserve"> de santé.</w:t>
      </w:r>
    </w:p>
    <w:p w14:paraId="35B4D573" w14:textId="13DF235C" w:rsidR="00A601EE" w:rsidRDefault="00A601EE" w:rsidP="00A601EE">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La mise à contribution d’un fournisseur d’accès à internet (FAI) qui va capitaliser les atouts </w:t>
      </w:r>
      <w:r w:rsidR="00F67700">
        <w:rPr>
          <w:rFonts w:ascii="Arial" w:eastAsia="Times New Roman" w:hAnsi="Arial" w:cs="Arial"/>
          <w:sz w:val="24"/>
          <w:szCs w:val="24"/>
          <w:lang w:eastAsia="fr-FR"/>
        </w:rPr>
        <w:t>de la fibre optique</w:t>
      </w:r>
      <w:r>
        <w:rPr>
          <w:rFonts w:ascii="Arial" w:eastAsia="Times New Roman" w:hAnsi="Arial" w:cs="Arial"/>
          <w:sz w:val="24"/>
          <w:szCs w:val="24"/>
          <w:lang w:eastAsia="fr-FR"/>
        </w:rPr>
        <w:t xml:space="preserve"> afin d’interconnecter dans une première phase (court terme) toutes les directions régionales (8)</w:t>
      </w:r>
      <w:r w:rsidR="0042573E">
        <w:rPr>
          <w:rFonts w:ascii="Arial" w:eastAsia="Times New Roman" w:hAnsi="Arial" w:cs="Arial"/>
          <w:sz w:val="24"/>
          <w:szCs w:val="24"/>
          <w:lang w:eastAsia="fr-FR"/>
        </w:rPr>
        <w:t xml:space="preserve">, </w:t>
      </w:r>
      <w:r>
        <w:rPr>
          <w:rFonts w:ascii="Arial" w:eastAsia="Times New Roman" w:hAnsi="Arial" w:cs="Arial"/>
          <w:sz w:val="24"/>
          <w:szCs w:val="24"/>
          <w:lang w:eastAsia="fr-FR"/>
        </w:rPr>
        <w:t>les structures hospitalières nationales, préfectora</w:t>
      </w:r>
      <w:r w:rsidR="00C51600">
        <w:rPr>
          <w:rFonts w:ascii="Arial" w:eastAsia="Times New Roman" w:hAnsi="Arial" w:cs="Arial"/>
          <w:sz w:val="24"/>
          <w:szCs w:val="24"/>
          <w:lang w:eastAsia="fr-FR"/>
        </w:rPr>
        <w:t>les</w:t>
      </w:r>
      <w:r>
        <w:rPr>
          <w:rFonts w:ascii="Arial" w:eastAsia="Times New Roman" w:hAnsi="Arial" w:cs="Arial"/>
          <w:sz w:val="24"/>
          <w:szCs w:val="24"/>
          <w:lang w:eastAsia="fr-FR"/>
        </w:rPr>
        <w:t xml:space="preserve"> et nationa</w:t>
      </w:r>
      <w:r w:rsidR="00C51600">
        <w:rPr>
          <w:rFonts w:ascii="Arial" w:eastAsia="Times New Roman" w:hAnsi="Arial" w:cs="Arial"/>
          <w:sz w:val="24"/>
          <w:szCs w:val="24"/>
          <w:lang w:eastAsia="fr-FR"/>
        </w:rPr>
        <w:t>les</w:t>
      </w:r>
      <w:r>
        <w:rPr>
          <w:rFonts w:ascii="Arial" w:eastAsia="Times New Roman" w:hAnsi="Arial" w:cs="Arial"/>
          <w:sz w:val="24"/>
          <w:szCs w:val="24"/>
          <w:lang w:eastAsia="fr-FR"/>
        </w:rPr>
        <w:t xml:space="preserve"> (49) et les directions préfectorales (33). Dans une deuxième phase (à moyen ou long terme) rendre disponible la connexion internet à l’échelle des centres de santé (423). Voir tableau </w:t>
      </w:r>
      <w:r w:rsidR="00A45512">
        <w:rPr>
          <w:rFonts w:ascii="Arial" w:eastAsia="Times New Roman" w:hAnsi="Arial" w:cs="Arial"/>
          <w:sz w:val="24"/>
          <w:szCs w:val="24"/>
          <w:lang w:eastAsia="fr-FR"/>
        </w:rPr>
        <w:t>6</w:t>
      </w:r>
      <w:r>
        <w:rPr>
          <w:rFonts w:ascii="Arial" w:eastAsia="Times New Roman" w:hAnsi="Arial" w:cs="Arial"/>
          <w:sz w:val="24"/>
          <w:szCs w:val="24"/>
          <w:lang w:eastAsia="fr-FR"/>
        </w:rPr>
        <w:t xml:space="preserve"> </w:t>
      </w:r>
    </w:p>
    <w:p w14:paraId="7254ED41" w14:textId="1B8CEF5B" w:rsidR="00842C89" w:rsidRPr="00CB197B" w:rsidRDefault="00842C89" w:rsidP="00A601EE">
      <w:pPr>
        <w:spacing w:line="360" w:lineRule="auto"/>
        <w:jc w:val="both"/>
        <w:rPr>
          <w:rFonts w:ascii="Arial" w:eastAsia="Times New Roman" w:hAnsi="Arial" w:cs="Arial"/>
          <w:sz w:val="24"/>
          <w:szCs w:val="24"/>
          <w:lang w:eastAsia="fr-FR"/>
        </w:rPr>
      </w:pPr>
      <w:r w:rsidRPr="00CB197B">
        <w:rPr>
          <w:rFonts w:ascii="Arial" w:eastAsia="Times New Roman" w:hAnsi="Arial" w:cs="Arial"/>
          <w:sz w:val="24"/>
          <w:szCs w:val="24"/>
          <w:lang w:eastAsia="fr-FR"/>
        </w:rPr>
        <w:t xml:space="preserve">Le tableau </w:t>
      </w:r>
      <w:r w:rsidR="00CB197B">
        <w:rPr>
          <w:rFonts w:ascii="Arial" w:eastAsia="Times New Roman" w:hAnsi="Arial" w:cs="Arial"/>
          <w:sz w:val="24"/>
          <w:szCs w:val="24"/>
          <w:lang w:eastAsia="fr-FR"/>
        </w:rPr>
        <w:t>7</w:t>
      </w:r>
      <w:r w:rsidRPr="00CB197B">
        <w:rPr>
          <w:rFonts w:ascii="Arial" w:eastAsia="Times New Roman" w:hAnsi="Arial" w:cs="Arial"/>
          <w:sz w:val="24"/>
          <w:szCs w:val="24"/>
          <w:lang w:eastAsia="fr-FR"/>
        </w:rPr>
        <w:t xml:space="preserve"> donne l’estimation financière de la mise en </w:t>
      </w:r>
      <w:r w:rsidR="00321A30" w:rsidRPr="00CB197B">
        <w:rPr>
          <w:rFonts w:ascii="Arial" w:eastAsia="Times New Roman" w:hAnsi="Arial" w:cs="Arial"/>
          <w:sz w:val="24"/>
          <w:szCs w:val="24"/>
          <w:lang w:eastAsia="fr-FR"/>
        </w:rPr>
        <w:t>réseau</w:t>
      </w:r>
      <w:r w:rsidRPr="00CB197B">
        <w:rPr>
          <w:rFonts w:ascii="Arial" w:eastAsia="Times New Roman" w:hAnsi="Arial" w:cs="Arial"/>
          <w:sz w:val="24"/>
          <w:szCs w:val="24"/>
          <w:lang w:eastAsia="fr-FR"/>
        </w:rPr>
        <w:t xml:space="preserve"> des structures de la première phase</w:t>
      </w:r>
    </w:p>
    <w:p w14:paraId="756D64B5" w14:textId="73AEBACD" w:rsidR="00A601EE" w:rsidRDefault="00C51600" w:rsidP="00A601EE">
      <w:pPr>
        <w:spacing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À</w:t>
      </w:r>
      <w:r w:rsidR="00A601EE">
        <w:rPr>
          <w:rFonts w:ascii="Arial" w:eastAsia="Times New Roman" w:hAnsi="Arial" w:cs="Arial"/>
          <w:sz w:val="24"/>
          <w:szCs w:val="24"/>
          <w:lang w:eastAsia="fr-FR"/>
        </w:rPr>
        <w:t xml:space="preserve"> partir du point d’atterriss</w:t>
      </w:r>
      <w:r w:rsidR="005E71FF">
        <w:rPr>
          <w:rFonts w:ascii="Arial" w:eastAsia="Times New Roman" w:hAnsi="Arial" w:cs="Arial"/>
          <w:sz w:val="24"/>
          <w:szCs w:val="24"/>
          <w:lang w:eastAsia="fr-FR"/>
        </w:rPr>
        <w:t>ement</w:t>
      </w:r>
      <w:r w:rsidR="00A601EE">
        <w:rPr>
          <w:rFonts w:ascii="Arial" w:eastAsia="Times New Roman" w:hAnsi="Arial" w:cs="Arial"/>
          <w:sz w:val="24"/>
          <w:szCs w:val="24"/>
          <w:lang w:eastAsia="fr-FR"/>
        </w:rPr>
        <w:t xml:space="preserve"> virtuel</w:t>
      </w:r>
      <w:r w:rsidR="00DA1945">
        <w:rPr>
          <w:rFonts w:ascii="Arial" w:eastAsia="Times New Roman" w:hAnsi="Arial" w:cs="Arial"/>
          <w:sz w:val="24"/>
          <w:szCs w:val="24"/>
          <w:lang w:eastAsia="fr-FR"/>
        </w:rPr>
        <w:t xml:space="preserve"> </w:t>
      </w:r>
      <w:r w:rsidR="00A601EE">
        <w:rPr>
          <w:rFonts w:ascii="Arial" w:eastAsia="Times New Roman" w:hAnsi="Arial" w:cs="Arial"/>
          <w:sz w:val="24"/>
          <w:szCs w:val="24"/>
          <w:lang w:eastAsia="fr-FR"/>
        </w:rPr>
        <w:t xml:space="preserve">(PAV) de la </w:t>
      </w:r>
      <w:r w:rsidR="00A601EE" w:rsidRPr="00A601EE">
        <w:rPr>
          <w:rFonts w:ascii="Arial" w:eastAsia="Times New Roman" w:hAnsi="Arial" w:cs="Arial"/>
          <w:sz w:val="24"/>
          <w:szCs w:val="24"/>
          <w:lang w:eastAsia="fr-FR"/>
        </w:rPr>
        <w:t xml:space="preserve">Société de Gestion et d’Exploitation du </w:t>
      </w:r>
      <w:proofErr w:type="spellStart"/>
      <w:r w:rsidR="00A601EE" w:rsidRPr="00A601EE">
        <w:rPr>
          <w:rFonts w:ascii="Arial" w:eastAsia="Times New Roman" w:hAnsi="Arial" w:cs="Arial"/>
          <w:sz w:val="24"/>
          <w:szCs w:val="24"/>
          <w:lang w:eastAsia="fr-FR"/>
        </w:rPr>
        <w:t>Backbone</w:t>
      </w:r>
      <w:proofErr w:type="spellEnd"/>
      <w:r w:rsidR="00A601EE">
        <w:rPr>
          <w:rFonts w:ascii="Arial" w:eastAsia="Times New Roman" w:hAnsi="Arial" w:cs="Arial"/>
          <w:sz w:val="24"/>
          <w:szCs w:val="24"/>
          <w:lang w:eastAsia="fr-FR"/>
        </w:rPr>
        <w:t xml:space="preserve"> (SOGEB), le FAI veillera à rendre accessible</w:t>
      </w:r>
      <w:r w:rsidR="00EA57FE">
        <w:rPr>
          <w:rFonts w:ascii="Arial" w:eastAsia="Times New Roman" w:hAnsi="Arial" w:cs="Arial"/>
          <w:sz w:val="24"/>
          <w:szCs w:val="24"/>
          <w:lang w:eastAsia="fr-FR"/>
        </w:rPr>
        <w:t>s</w:t>
      </w:r>
      <w:r w:rsidR="00A601EE">
        <w:rPr>
          <w:rFonts w:ascii="Arial" w:eastAsia="Times New Roman" w:hAnsi="Arial" w:cs="Arial"/>
          <w:sz w:val="24"/>
          <w:szCs w:val="24"/>
          <w:lang w:eastAsia="fr-FR"/>
        </w:rPr>
        <w:t xml:space="preserve"> les applications qui seront hébergé</w:t>
      </w:r>
      <w:r>
        <w:rPr>
          <w:rFonts w:ascii="Arial" w:eastAsia="Times New Roman" w:hAnsi="Arial" w:cs="Arial"/>
          <w:sz w:val="24"/>
          <w:szCs w:val="24"/>
          <w:lang w:eastAsia="fr-FR"/>
        </w:rPr>
        <w:t>es</w:t>
      </w:r>
      <w:r w:rsidR="00A601EE">
        <w:rPr>
          <w:rFonts w:ascii="Arial" w:eastAsia="Times New Roman" w:hAnsi="Arial" w:cs="Arial"/>
          <w:sz w:val="24"/>
          <w:szCs w:val="24"/>
          <w:lang w:eastAsia="fr-FR"/>
        </w:rPr>
        <w:t xml:space="preserve"> sur le </w:t>
      </w:r>
      <w:r>
        <w:rPr>
          <w:rFonts w:ascii="Arial" w:eastAsia="Times New Roman" w:hAnsi="Arial" w:cs="Arial"/>
          <w:sz w:val="24"/>
          <w:szCs w:val="24"/>
          <w:lang w:eastAsia="fr-FR"/>
        </w:rPr>
        <w:t>D</w:t>
      </w:r>
      <w:r w:rsidR="00A601EE">
        <w:rPr>
          <w:rFonts w:ascii="Arial" w:eastAsia="Times New Roman" w:hAnsi="Arial" w:cs="Arial"/>
          <w:sz w:val="24"/>
          <w:szCs w:val="24"/>
          <w:lang w:eastAsia="fr-FR"/>
        </w:rPr>
        <w:t xml:space="preserve">ata </w:t>
      </w:r>
      <w:r>
        <w:rPr>
          <w:rFonts w:ascii="Arial" w:eastAsia="Times New Roman" w:hAnsi="Arial" w:cs="Arial"/>
          <w:sz w:val="24"/>
          <w:szCs w:val="24"/>
          <w:lang w:eastAsia="fr-FR"/>
        </w:rPr>
        <w:t>C</w:t>
      </w:r>
      <w:r w:rsidR="00A601EE">
        <w:rPr>
          <w:rFonts w:ascii="Arial" w:eastAsia="Times New Roman" w:hAnsi="Arial" w:cs="Arial"/>
          <w:sz w:val="24"/>
          <w:szCs w:val="24"/>
          <w:lang w:eastAsia="fr-FR"/>
        </w:rPr>
        <w:t>enter du site primaire à travers une connexion stable et sécurisée (voir figure</w:t>
      </w:r>
      <w:r w:rsidR="00CB197B">
        <w:rPr>
          <w:rFonts w:ascii="Arial" w:eastAsia="Times New Roman" w:hAnsi="Arial" w:cs="Arial"/>
          <w:sz w:val="24"/>
          <w:szCs w:val="24"/>
          <w:lang w:eastAsia="fr-FR"/>
        </w:rPr>
        <w:t xml:space="preserve"> 6</w:t>
      </w:r>
      <w:r w:rsidR="00A601EE">
        <w:rPr>
          <w:rFonts w:ascii="Arial" w:eastAsia="Times New Roman" w:hAnsi="Arial" w:cs="Arial"/>
          <w:sz w:val="24"/>
          <w:szCs w:val="24"/>
          <w:lang w:eastAsia="fr-FR"/>
        </w:rPr>
        <w:t xml:space="preserve">). </w:t>
      </w:r>
    </w:p>
    <w:p w14:paraId="00BD5BFC" w14:textId="54D3BB4F" w:rsidR="00A601EE" w:rsidRPr="00DE5871" w:rsidRDefault="00A601EE" w:rsidP="00A601EE">
      <w:pPr>
        <w:pStyle w:val="Caption"/>
        <w:jc w:val="center"/>
        <w:rPr>
          <w:rFonts w:ascii="Arial" w:hAnsi="Arial" w:cs="Arial"/>
          <w:sz w:val="24"/>
          <w:szCs w:val="24"/>
        </w:rPr>
      </w:pPr>
      <w:bookmarkStart w:id="29" w:name="_Toc99467010"/>
      <w:r w:rsidRPr="00DE5871">
        <w:rPr>
          <w:rFonts w:ascii="Arial" w:hAnsi="Arial" w:cs="Arial"/>
          <w:sz w:val="24"/>
          <w:szCs w:val="24"/>
        </w:rPr>
        <w:t xml:space="preserve">Tableau </w:t>
      </w:r>
      <w:r w:rsidRPr="00DE5871">
        <w:rPr>
          <w:rFonts w:ascii="Arial" w:hAnsi="Arial" w:cs="Arial"/>
          <w:sz w:val="24"/>
          <w:szCs w:val="24"/>
        </w:rPr>
        <w:fldChar w:fldCharType="begin"/>
      </w:r>
      <w:r w:rsidRPr="00DE5871">
        <w:rPr>
          <w:rFonts w:ascii="Arial" w:hAnsi="Arial" w:cs="Arial"/>
          <w:sz w:val="24"/>
          <w:szCs w:val="24"/>
        </w:rPr>
        <w:instrText xml:space="preserve"> SEQ Tableau \* ARABIC </w:instrText>
      </w:r>
      <w:r w:rsidRPr="00DE5871">
        <w:rPr>
          <w:rFonts w:ascii="Arial" w:hAnsi="Arial" w:cs="Arial"/>
          <w:sz w:val="24"/>
          <w:szCs w:val="24"/>
        </w:rPr>
        <w:fldChar w:fldCharType="separate"/>
      </w:r>
      <w:r w:rsidR="007F117B">
        <w:rPr>
          <w:rFonts w:ascii="Arial" w:hAnsi="Arial" w:cs="Arial"/>
          <w:noProof/>
          <w:sz w:val="24"/>
          <w:szCs w:val="24"/>
        </w:rPr>
        <w:t>7</w:t>
      </w:r>
      <w:r w:rsidRPr="00DE5871">
        <w:rPr>
          <w:rFonts w:ascii="Arial" w:hAnsi="Arial" w:cs="Arial"/>
          <w:sz w:val="24"/>
          <w:szCs w:val="24"/>
        </w:rPr>
        <w:fldChar w:fldCharType="end"/>
      </w:r>
      <w:r w:rsidRPr="00DE5871">
        <w:rPr>
          <w:rFonts w:ascii="Arial" w:hAnsi="Arial" w:cs="Arial"/>
          <w:sz w:val="24"/>
          <w:szCs w:val="24"/>
        </w:rPr>
        <w:t> : Nombre de structures et centres de santé par direction régionale</w:t>
      </w:r>
      <w:bookmarkEnd w:id="29"/>
    </w:p>
    <w:tbl>
      <w:tblPr>
        <w:tblStyle w:val="TableGrid"/>
        <w:tblW w:w="5238" w:type="pct"/>
        <w:tblLayout w:type="fixed"/>
        <w:tblLook w:val="04A0" w:firstRow="1" w:lastRow="0" w:firstColumn="1" w:lastColumn="0" w:noHBand="0" w:noVBand="1"/>
      </w:tblPr>
      <w:tblGrid>
        <w:gridCol w:w="559"/>
        <w:gridCol w:w="1297"/>
        <w:gridCol w:w="2816"/>
        <w:gridCol w:w="3319"/>
        <w:gridCol w:w="1502"/>
      </w:tblGrid>
      <w:tr w:rsidR="00A601EE" w:rsidRPr="00DE5871" w14:paraId="4BB2651B" w14:textId="77777777" w:rsidTr="00807493">
        <w:trPr>
          <w:trHeight w:val="1082"/>
        </w:trPr>
        <w:tc>
          <w:tcPr>
            <w:tcW w:w="295" w:type="pct"/>
            <w:shd w:val="clear" w:color="auto" w:fill="FBE4D5" w:themeFill="accent2" w:themeFillTint="33"/>
            <w:vAlign w:val="center"/>
            <w:hideMark/>
          </w:tcPr>
          <w:p w14:paraId="7B7E7922" w14:textId="77777777" w:rsidR="00A601EE" w:rsidRPr="00DE5871" w:rsidRDefault="00A601EE" w:rsidP="00EC285A">
            <w:pPr>
              <w:rPr>
                <w:rFonts w:ascii="Arial" w:hAnsi="Arial" w:cs="Arial"/>
                <w:b/>
                <w:bCs/>
              </w:rPr>
            </w:pPr>
            <w:r w:rsidRPr="00DE5871">
              <w:rPr>
                <w:rFonts w:ascii="Arial" w:hAnsi="Arial" w:cs="Arial"/>
                <w:b/>
                <w:bCs/>
              </w:rPr>
              <w:lastRenderedPageBreak/>
              <w:t>N°</w:t>
            </w:r>
          </w:p>
        </w:tc>
        <w:tc>
          <w:tcPr>
            <w:tcW w:w="683" w:type="pct"/>
            <w:shd w:val="clear" w:color="auto" w:fill="FBE4D5" w:themeFill="accent2" w:themeFillTint="33"/>
            <w:vAlign w:val="center"/>
            <w:hideMark/>
          </w:tcPr>
          <w:p w14:paraId="3DF9FC19" w14:textId="77777777" w:rsidR="00A601EE" w:rsidRPr="00DE5871" w:rsidRDefault="00A601EE" w:rsidP="00EC285A">
            <w:pPr>
              <w:rPr>
                <w:rFonts w:ascii="Arial" w:hAnsi="Arial" w:cs="Arial"/>
                <w:b/>
                <w:bCs/>
              </w:rPr>
            </w:pPr>
            <w:r w:rsidRPr="00DE5871">
              <w:rPr>
                <w:rFonts w:ascii="Arial" w:hAnsi="Arial" w:cs="Arial"/>
                <w:b/>
                <w:bCs/>
              </w:rPr>
              <w:t>Directions régionales de la santé</w:t>
            </w:r>
          </w:p>
        </w:tc>
        <w:tc>
          <w:tcPr>
            <w:tcW w:w="1483" w:type="pct"/>
            <w:shd w:val="clear" w:color="auto" w:fill="FBE4D5" w:themeFill="accent2" w:themeFillTint="33"/>
            <w:vAlign w:val="center"/>
            <w:hideMark/>
          </w:tcPr>
          <w:p w14:paraId="3A491BEE" w14:textId="4BA56589" w:rsidR="00A601EE" w:rsidRDefault="00A601EE" w:rsidP="00EC285A">
            <w:pPr>
              <w:rPr>
                <w:rFonts w:ascii="Arial" w:hAnsi="Arial" w:cs="Arial"/>
                <w:b/>
                <w:bCs/>
              </w:rPr>
            </w:pPr>
            <w:r>
              <w:rPr>
                <w:rFonts w:ascii="Arial" w:hAnsi="Arial" w:cs="Arial"/>
                <w:b/>
                <w:bCs/>
              </w:rPr>
              <w:t xml:space="preserve">- </w:t>
            </w:r>
            <w:r w:rsidRPr="00DE5871">
              <w:rPr>
                <w:rFonts w:ascii="Arial" w:hAnsi="Arial" w:cs="Arial"/>
                <w:b/>
                <w:bCs/>
              </w:rPr>
              <w:t xml:space="preserve">Directions </w:t>
            </w:r>
            <w:r w:rsidR="00C51600">
              <w:rPr>
                <w:rFonts w:ascii="Arial" w:hAnsi="Arial" w:cs="Arial"/>
                <w:b/>
                <w:bCs/>
              </w:rPr>
              <w:t>p</w:t>
            </w:r>
            <w:r w:rsidRPr="00DE5871">
              <w:rPr>
                <w:rFonts w:ascii="Arial" w:hAnsi="Arial" w:cs="Arial"/>
                <w:b/>
                <w:bCs/>
              </w:rPr>
              <w:t>réfectorales de la santé</w:t>
            </w:r>
          </w:p>
          <w:p w14:paraId="21C152ED" w14:textId="294CE125" w:rsidR="00A601EE" w:rsidRPr="00DE5871" w:rsidRDefault="00A601EE" w:rsidP="00EC285A">
            <w:pPr>
              <w:rPr>
                <w:rFonts w:ascii="Arial" w:hAnsi="Arial" w:cs="Arial"/>
                <w:b/>
                <w:bCs/>
              </w:rPr>
            </w:pPr>
            <w:r>
              <w:rPr>
                <w:rFonts w:ascii="Arial" w:hAnsi="Arial" w:cs="Arial"/>
                <w:b/>
                <w:bCs/>
              </w:rPr>
              <w:t xml:space="preserve">- </w:t>
            </w:r>
            <w:r w:rsidRPr="00DE5871">
              <w:rPr>
                <w:rFonts w:ascii="Arial" w:hAnsi="Arial" w:cs="Arial"/>
                <w:b/>
                <w:bCs/>
              </w:rPr>
              <w:t xml:space="preserve">Directions </w:t>
            </w:r>
            <w:r w:rsidR="00C51600">
              <w:rPr>
                <w:rFonts w:ascii="Arial" w:hAnsi="Arial" w:cs="Arial"/>
                <w:b/>
                <w:bCs/>
              </w:rPr>
              <w:t>c</w:t>
            </w:r>
            <w:r w:rsidRPr="00DE5871">
              <w:rPr>
                <w:rFonts w:ascii="Arial" w:hAnsi="Arial" w:cs="Arial"/>
                <w:b/>
                <w:bCs/>
              </w:rPr>
              <w:t>ommunales de la santé</w:t>
            </w:r>
          </w:p>
        </w:tc>
        <w:tc>
          <w:tcPr>
            <w:tcW w:w="1748" w:type="pct"/>
            <w:shd w:val="clear" w:color="auto" w:fill="FBE4D5" w:themeFill="accent2" w:themeFillTint="33"/>
            <w:vAlign w:val="center"/>
            <w:hideMark/>
          </w:tcPr>
          <w:p w14:paraId="1097234B" w14:textId="77777777" w:rsidR="00A601EE" w:rsidRDefault="00A601EE" w:rsidP="00EC285A">
            <w:pPr>
              <w:rPr>
                <w:rFonts w:ascii="Calibri" w:hAnsi="Calibri" w:cs="Calibri"/>
                <w:b/>
                <w:bCs/>
              </w:rPr>
            </w:pPr>
            <w:r>
              <w:rPr>
                <w:rFonts w:ascii="Calibri" w:hAnsi="Calibri" w:cs="Calibri"/>
                <w:b/>
                <w:bCs/>
              </w:rPr>
              <w:t xml:space="preserve">- </w:t>
            </w:r>
            <w:r w:rsidRPr="00DE5871">
              <w:rPr>
                <w:rFonts w:ascii="Calibri" w:hAnsi="Calibri" w:cs="Calibri"/>
                <w:b/>
                <w:bCs/>
              </w:rPr>
              <w:t xml:space="preserve">Hôpitaux </w:t>
            </w:r>
            <w:r>
              <w:rPr>
                <w:rFonts w:ascii="Calibri" w:hAnsi="Calibri" w:cs="Calibri"/>
                <w:b/>
                <w:bCs/>
              </w:rPr>
              <w:t>r</w:t>
            </w:r>
            <w:r w:rsidRPr="00DE5871">
              <w:rPr>
                <w:rFonts w:ascii="Calibri" w:hAnsi="Calibri" w:cs="Calibri"/>
                <w:b/>
                <w:bCs/>
              </w:rPr>
              <w:t>égionaux</w:t>
            </w:r>
          </w:p>
          <w:p w14:paraId="1131BBE1" w14:textId="31075D21" w:rsidR="00A601EE" w:rsidRDefault="00A601EE" w:rsidP="00EC285A">
            <w:pPr>
              <w:rPr>
                <w:rFonts w:ascii="Calibri" w:hAnsi="Calibri" w:cs="Calibri"/>
                <w:b/>
                <w:bCs/>
              </w:rPr>
            </w:pPr>
            <w:r>
              <w:rPr>
                <w:rFonts w:ascii="Calibri" w:hAnsi="Calibri" w:cs="Calibri"/>
                <w:b/>
                <w:bCs/>
              </w:rPr>
              <w:t xml:space="preserve">- </w:t>
            </w:r>
            <w:r w:rsidRPr="00DE5871">
              <w:rPr>
                <w:rFonts w:ascii="Calibri" w:hAnsi="Calibri" w:cs="Calibri"/>
                <w:b/>
                <w:bCs/>
              </w:rPr>
              <w:t>Hôpitaux pr</w:t>
            </w:r>
            <w:r w:rsidR="00C51600">
              <w:rPr>
                <w:rFonts w:ascii="Calibri" w:hAnsi="Calibri" w:cs="Calibri"/>
                <w:b/>
                <w:bCs/>
              </w:rPr>
              <w:t>é</w:t>
            </w:r>
            <w:r w:rsidRPr="00DE5871">
              <w:rPr>
                <w:rFonts w:ascii="Calibri" w:hAnsi="Calibri" w:cs="Calibri"/>
                <w:b/>
                <w:bCs/>
              </w:rPr>
              <w:t>fectoraux</w:t>
            </w:r>
          </w:p>
          <w:p w14:paraId="3C017317" w14:textId="77777777" w:rsidR="00A601EE" w:rsidRDefault="00A601EE" w:rsidP="00EC285A">
            <w:pPr>
              <w:rPr>
                <w:rFonts w:ascii="Calibri" w:hAnsi="Calibri" w:cs="Calibri"/>
                <w:b/>
                <w:bCs/>
              </w:rPr>
            </w:pPr>
            <w:r>
              <w:rPr>
                <w:rFonts w:ascii="Calibri" w:hAnsi="Calibri" w:cs="Calibri"/>
                <w:b/>
                <w:bCs/>
              </w:rPr>
              <w:t xml:space="preserve">- </w:t>
            </w:r>
            <w:r w:rsidRPr="00DE5871">
              <w:rPr>
                <w:rFonts w:ascii="Calibri" w:hAnsi="Calibri" w:cs="Calibri"/>
                <w:b/>
                <w:bCs/>
              </w:rPr>
              <w:t>Hôpitaux nationaux de Santé</w:t>
            </w:r>
          </w:p>
          <w:p w14:paraId="1EA916B8" w14:textId="77777777" w:rsidR="00A601EE" w:rsidRPr="00DE5871" w:rsidRDefault="00A601EE" w:rsidP="00EC285A">
            <w:pPr>
              <w:rPr>
                <w:rFonts w:ascii="Calibri" w:hAnsi="Calibri" w:cs="Calibri"/>
                <w:b/>
                <w:bCs/>
              </w:rPr>
            </w:pPr>
            <w:r>
              <w:rPr>
                <w:rFonts w:ascii="Calibri" w:hAnsi="Calibri" w:cs="Calibri"/>
                <w:b/>
                <w:bCs/>
              </w:rPr>
              <w:t>- Centres médicaux communaux</w:t>
            </w:r>
          </w:p>
        </w:tc>
        <w:tc>
          <w:tcPr>
            <w:tcW w:w="791" w:type="pct"/>
            <w:shd w:val="clear" w:color="auto" w:fill="FBE4D5" w:themeFill="accent2" w:themeFillTint="33"/>
            <w:vAlign w:val="center"/>
            <w:hideMark/>
          </w:tcPr>
          <w:p w14:paraId="57D950C2" w14:textId="77777777" w:rsidR="00A601EE" w:rsidRPr="00DE5871" w:rsidRDefault="00A601EE" w:rsidP="00EC285A">
            <w:pPr>
              <w:rPr>
                <w:rFonts w:ascii="Arial" w:hAnsi="Arial" w:cs="Arial"/>
                <w:b/>
                <w:bCs/>
                <w:i/>
                <w:iCs/>
              </w:rPr>
            </w:pPr>
            <w:r w:rsidRPr="00DE5871">
              <w:rPr>
                <w:rFonts w:ascii="Arial" w:hAnsi="Arial" w:cs="Arial"/>
                <w:b/>
                <w:bCs/>
                <w:i/>
                <w:iCs/>
              </w:rPr>
              <w:t>Centres de santé</w:t>
            </w:r>
          </w:p>
          <w:p w14:paraId="46FBF9FE" w14:textId="77777777" w:rsidR="00A601EE" w:rsidRPr="00DE5871" w:rsidRDefault="00A601EE" w:rsidP="00EC285A">
            <w:pPr>
              <w:rPr>
                <w:rFonts w:ascii="Arial" w:hAnsi="Arial" w:cs="Arial"/>
                <w:b/>
                <w:bCs/>
                <w:i/>
                <w:iCs/>
              </w:rPr>
            </w:pPr>
          </w:p>
        </w:tc>
      </w:tr>
      <w:tr w:rsidR="00A601EE" w:rsidRPr="00DE5871" w14:paraId="7A15CE60" w14:textId="77777777" w:rsidTr="00EC285A">
        <w:trPr>
          <w:trHeight w:val="311"/>
        </w:trPr>
        <w:tc>
          <w:tcPr>
            <w:tcW w:w="295" w:type="pct"/>
            <w:vMerge w:val="restart"/>
            <w:hideMark/>
          </w:tcPr>
          <w:p w14:paraId="15DDA2DD" w14:textId="77777777" w:rsidR="00A601EE" w:rsidRPr="00DE5871" w:rsidRDefault="00A601EE" w:rsidP="00EC285A">
            <w:pPr>
              <w:jc w:val="center"/>
              <w:rPr>
                <w:rFonts w:ascii="Arial" w:hAnsi="Arial" w:cs="Arial"/>
              </w:rPr>
            </w:pPr>
            <w:r w:rsidRPr="00DE5871">
              <w:rPr>
                <w:rFonts w:ascii="Arial" w:hAnsi="Arial" w:cs="Arial"/>
              </w:rPr>
              <w:t>1</w:t>
            </w:r>
          </w:p>
        </w:tc>
        <w:tc>
          <w:tcPr>
            <w:tcW w:w="683" w:type="pct"/>
            <w:vMerge w:val="restart"/>
            <w:hideMark/>
          </w:tcPr>
          <w:p w14:paraId="72BDBAE5" w14:textId="77777777" w:rsidR="00A601EE" w:rsidRPr="00DE5871" w:rsidRDefault="00A601EE" w:rsidP="00EC285A">
            <w:pPr>
              <w:jc w:val="center"/>
              <w:rPr>
                <w:rFonts w:ascii="Arial" w:hAnsi="Arial" w:cs="Arial"/>
                <w:b/>
                <w:bCs/>
              </w:rPr>
            </w:pPr>
            <w:r w:rsidRPr="00DE5871">
              <w:rPr>
                <w:rFonts w:ascii="Arial" w:hAnsi="Arial" w:cs="Arial"/>
                <w:b/>
                <w:bCs/>
              </w:rPr>
              <w:t>Conakry</w:t>
            </w:r>
          </w:p>
        </w:tc>
        <w:tc>
          <w:tcPr>
            <w:tcW w:w="1483" w:type="pct"/>
            <w:hideMark/>
          </w:tcPr>
          <w:p w14:paraId="73B7CF63" w14:textId="77777777" w:rsidR="00A601EE" w:rsidRPr="00DE5871" w:rsidRDefault="00A601EE" w:rsidP="00EC285A">
            <w:pPr>
              <w:rPr>
                <w:rFonts w:ascii="Arial" w:hAnsi="Arial" w:cs="Arial"/>
              </w:rPr>
            </w:pPr>
            <w:proofErr w:type="spellStart"/>
            <w:r w:rsidRPr="00DE5871">
              <w:rPr>
                <w:rFonts w:ascii="Arial" w:hAnsi="Arial" w:cs="Arial"/>
              </w:rPr>
              <w:t>Kaloum</w:t>
            </w:r>
            <w:proofErr w:type="spellEnd"/>
          </w:p>
        </w:tc>
        <w:tc>
          <w:tcPr>
            <w:tcW w:w="1748" w:type="pct"/>
            <w:hideMark/>
          </w:tcPr>
          <w:p w14:paraId="6D9BEDE4"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12023772" w14:textId="77777777" w:rsidR="00A601EE" w:rsidRPr="00DE5871" w:rsidRDefault="00A601EE" w:rsidP="00807493">
            <w:pPr>
              <w:jc w:val="center"/>
              <w:rPr>
                <w:rFonts w:ascii="Arial" w:hAnsi="Arial" w:cs="Arial"/>
                <w:b/>
                <w:bCs/>
                <w:i/>
                <w:iCs/>
              </w:rPr>
            </w:pPr>
            <w:r w:rsidRPr="00DE5871">
              <w:rPr>
                <w:rFonts w:ascii="Arial" w:hAnsi="Arial" w:cs="Arial"/>
                <w:b/>
                <w:bCs/>
                <w:i/>
                <w:iCs/>
              </w:rPr>
              <w:t>5</w:t>
            </w:r>
          </w:p>
        </w:tc>
      </w:tr>
      <w:tr w:rsidR="00A601EE" w:rsidRPr="00DE5871" w14:paraId="192B2DE0" w14:textId="77777777" w:rsidTr="00EC285A">
        <w:trPr>
          <w:trHeight w:val="311"/>
        </w:trPr>
        <w:tc>
          <w:tcPr>
            <w:tcW w:w="295" w:type="pct"/>
            <w:vMerge/>
            <w:hideMark/>
          </w:tcPr>
          <w:p w14:paraId="319B4165" w14:textId="77777777" w:rsidR="00A601EE" w:rsidRPr="00DE5871" w:rsidRDefault="00A601EE" w:rsidP="00EC285A">
            <w:pPr>
              <w:rPr>
                <w:rFonts w:ascii="Arial" w:hAnsi="Arial" w:cs="Arial"/>
              </w:rPr>
            </w:pPr>
          </w:p>
        </w:tc>
        <w:tc>
          <w:tcPr>
            <w:tcW w:w="683" w:type="pct"/>
            <w:vMerge/>
            <w:hideMark/>
          </w:tcPr>
          <w:p w14:paraId="2C2897BC" w14:textId="77777777" w:rsidR="00A601EE" w:rsidRPr="00DE5871" w:rsidRDefault="00A601EE" w:rsidP="00EC285A">
            <w:pPr>
              <w:rPr>
                <w:rFonts w:ascii="Arial" w:hAnsi="Arial" w:cs="Arial"/>
                <w:b/>
                <w:bCs/>
              </w:rPr>
            </w:pPr>
          </w:p>
        </w:tc>
        <w:tc>
          <w:tcPr>
            <w:tcW w:w="1483" w:type="pct"/>
            <w:hideMark/>
          </w:tcPr>
          <w:p w14:paraId="2C51CB2F" w14:textId="77777777" w:rsidR="00A601EE" w:rsidRPr="00DE5871" w:rsidRDefault="00A601EE" w:rsidP="00EC285A">
            <w:pPr>
              <w:rPr>
                <w:rFonts w:ascii="Arial" w:hAnsi="Arial" w:cs="Arial"/>
              </w:rPr>
            </w:pPr>
            <w:r w:rsidRPr="00DE5871">
              <w:rPr>
                <w:rFonts w:ascii="Arial" w:hAnsi="Arial" w:cs="Arial"/>
              </w:rPr>
              <w:t>Matam</w:t>
            </w:r>
          </w:p>
        </w:tc>
        <w:tc>
          <w:tcPr>
            <w:tcW w:w="1748" w:type="pct"/>
            <w:hideMark/>
          </w:tcPr>
          <w:p w14:paraId="58EC9347"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06DAF665" w14:textId="77777777" w:rsidR="00A601EE" w:rsidRPr="00DE5871" w:rsidRDefault="00A601EE" w:rsidP="00807493">
            <w:pPr>
              <w:jc w:val="center"/>
              <w:rPr>
                <w:rFonts w:ascii="Arial" w:hAnsi="Arial" w:cs="Arial"/>
                <w:b/>
                <w:bCs/>
                <w:i/>
                <w:iCs/>
              </w:rPr>
            </w:pPr>
            <w:r w:rsidRPr="00DE5871">
              <w:rPr>
                <w:rFonts w:ascii="Arial" w:hAnsi="Arial" w:cs="Arial"/>
                <w:b/>
                <w:bCs/>
                <w:i/>
                <w:iCs/>
              </w:rPr>
              <w:t>1</w:t>
            </w:r>
          </w:p>
        </w:tc>
      </w:tr>
      <w:tr w:rsidR="00A601EE" w:rsidRPr="00DE5871" w14:paraId="36F61A77" w14:textId="77777777" w:rsidTr="00EC285A">
        <w:trPr>
          <w:trHeight w:val="311"/>
        </w:trPr>
        <w:tc>
          <w:tcPr>
            <w:tcW w:w="295" w:type="pct"/>
            <w:vMerge/>
            <w:hideMark/>
          </w:tcPr>
          <w:p w14:paraId="288BB228" w14:textId="77777777" w:rsidR="00A601EE" w:rsidRPr="00DE5871" w:rsidRDefault="00A601EE" w:rsidP="00EC285A">
            <w:pPr>
              <w:rPr>
                <w:rFonts w:ascii="Arial" w:hAnsi="Arial" w:cs="Arial"/>
              </w:rPr>
            </w:pPr>
          </w:p>
        </w:tc>
        <w:tc>
          <w:tcPr>
            <w:tcW w:w="683" w:type="pct"/>
            <w:vMerge/>
            <w:hideMark/>
          </w:tcPr>
          <w:p w14:paraId="123E82D3" w14:textId="77777777" w:rsidR="00A601EE" w:rsidRPr="00DE5871" w:rsidRDefault="00A601EE" w:rsidP="00EC285A">
            <w:pPr>
              <w:rPr>
                <w:rFonts w:ascii="Arial" w:hAnsi="Arial" w:cs="Arial"/>
                <w:b/>
                <w:bCs/>
              </w:rPr>
            </w:pPr>
          </w:p>
        </w:tc>
        <w:tc>
          <w:tcPr>
            <w:tcW w:w="1483" w:type="pct"/>
            <w:hideMark/>
          </w:tcPr>
          <w:p w14:paraId="032D8769" w14:textId="77777777" w:rsidR="00A601EE" w:rsidRPr="00DE5871" w:rsidRDefault="00A601EE" w:rsidP="00EC285A">
            <w:pPr>
              <w:rPr>
                <w:rFonts w:ascii="Arial" w:hAnsi="Arial" w:cs="Arial"/>
              </w:rPr>
            </w:pPr>
            <w:proofErr w:type="spellStart"/>
            <w:r w:rsidRPr="00DE5871">
              <w:rPr>
                <w:rFonts w:ascii="Arial" w:hAnsi="Arial" w:cs="Arial"/>
              </w:rPr>
              <w:t>Dixinn</w:t>
            </w:r>
            <w:proofErr w:type="spellEnd"/>
          </w:p>
        </w:tc>
        <w:tc>
          <w:tcPr>
            <w:tcW w:w="1748" w:type="pct"/>
            <w:hideMark/>
          </w:tcPr>
          <w:p w14:paraId="04B087D0"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0356E0AE" w14:textId="77777777" w:rsidR="00A601EE" w:rsidRPr="00DE5871" w:rsidRDefault="00A601EE" w:rsidP="00807493">
            <w:pPr>
              <w:jc w:val="center"/>
              <w:rPr>
                <w:rFonts w:ascii="Arial" w:hAnsi="Arial" w:cs="Arial"/>
                <w:b/>
                <w:bCs/>
                <w:i/>
                <w:iCs/>
              </w:rPr>
            </w:pPr>
            <w:r w:rsidRPr="00DE5871">
              <w:rPr>
                <w:rFonts w:ascii="Arial" w:hAnsi="Arial" w:cs="Arial"/>
                <w:b/>
                <w:bCs/>
                <w:i/>
                <w:iCs/>
              </w:rPr>
              <w:t>3</w:t>
            </w:r>
          </w:p>
        </w:tc>
      </w:tr>
      <w:tr w:rsidR="00A601EE" w:rsidRPr="00DE5871" w14:paraId="15F9D908" w14:textId="77777777" w:rsidTr="00EC285A">
        <w:trPr>
          <w:trHeight w:val="311"/>
        </w:trPr>
        <w:tc>
          <w:tcPr>
            <w:tcW w:w="295" w:type="pct"/>
            <w:vMerge/>
            <w:hideMark/>
          </w:tcPr>
          <w:p w14:paraId="1A6218B5" w14:textId="77777777" w:rsidR="00A601EE" w:rsidRPr="00DE5871" w:rsidRDefault="00A601EE" w:rsidP="00EC285A">
            <w:pPr>
              <w:rPr>
                <w:rFonts w:ascii="Arial" w:hAnsi="Arial" w:cs="Arial"/>
              </w:rPr>
            </w:pPr>
          </w:p>
        </w:tc>
        <w:tc>
          <w:tcPr>
            <w:tcW w:w="683" w:type="pct"/>
            <w:vMerge/>
            <w:hideMark/>
          </w:tcPr>
          <w:p w14:paraId="405AA3A8" w14:textId="77777777" w:rsidR="00A601EE" w:rsidRPr="00DE5871" w:rsidRDefault="00A601EE" w:rsidP="00EC285A">
            <w:pPr>
              <w:rPr>
                <w:rFonts w:ascii="Arial" w:hAnsi="Arial" w:cs="Arial"/>
                <w:b/>
                <w:bCs/>
              </w:rPr>
            </w:pPr>
          </w:p>
        </w:tc>
        <w:tc>
          <w:tcPr>
            <w:tcW w:w="1483" w:type="pct"/>
            <w:hideMark/>
          </w:tcPr>
          <w:p w14:paraId="70453DF1" w14:textId="77777777" w:rsidR="00A601EE" w:rsidRPr="00DE5871" w:rsidRDefault="00A601EE" w:rsidP="00EC285A">
            <w:pPr>
              <w:rPr>
                <w:rFonts w:ascii="Arial" w:hAnsi="Arial" w:cs="Arial"/>
              </w:rPr>
            </w:pPr>
            <w:proofErr w:type="spellStart"/>
            <w:r w:rsidRPr="00DE5871">
              <w:rPr>
                <w:rFonts w:ascii="Arial" w:hAnsi="Arial" w:cs="Arial"/>
              </w:rPr>
              <w:t>Matoto</w:t>
            </w:r>
            <w:proofErr w:type="spellEnd"/>
          </w:p>
        </w:tc>
        <w:tc>
          <w:tcPr>
            <w:tcW w:w="1748" w:type="pct"/>
            <w:hideMark/>
          </w:tcPr>
          <w:p w14:paraId="2B66458E"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0D872DEF" w14:textId="77777777" w:rsidR="00A601EE" w:rsidRPr="00DE5871" w:rsidRDefault="00A601EE" w:rsidP="00807493">
            <w:pPr>
              <w:jc w:val="center"/>
              <w:rPr>
                <w:rFonts w:ascii="Arial" w:hAnsi="Arial" w:cs="Arial"/>
                <w:b/>
                <w:bCs/>
                <w:i/>
                <w:iCs/>
              </w:rPr>
            </w:pPr>
            <w:r w:rsidRPr="00DE5871">
              <w:rPr>
                <w:rFonts w:ascii="Arial" w:hAnsi="Arial" w:cs="Arial"/>
                <w:b/>
                <w:bCs/>
                <w:i/>
                <w:iCs/>
              </w:rPr>
              <w:t>9</w:t>
            </w:r>
          </w:p>
        </w:tc>
      </w:tr>
      <w:tr w:rsidR="00A601EE" w:rsidRPr="00DE5871" w14:paraId="426A6BF6" w14:textId="77777777" w:rsidTr="00EC285A">
        <w:trPr>
          <w:trHeight w:val="311"/>
        </w:trPr>
        <w:tc>
          <w:tcPr>
            <w:tcW w:w="295" w:type="pct"/>
            <w:vMerge/>
            <w:hideMark/>
          </w:tcPr>
          <w:p w14:paraId="2D07CC04" w14:textId="77777777" w:rsidR="00A601EE" w:rsidRPr="00DE5871" w:rsidRDefault="00A601EE" w:rsidP="00EC285A">
            <w:pPr>
              <w:rPr>
                <w:rFonts w:ascii="Arial" w:hAnsi="Arial" w:cs="Arial"/>
              </w:rPr>
            </w:pPr>
          </w:p>
        </w:tc>
        <w:tc>
          <w:tcPr>
            <w:tcW w:w="683" w:type="pct"/>
            <w:vMerge/>
            <w:hideMark/>
          </w:tcPr>
          <w:p w14:paraId="1F2A9391" w14:textId="77777777" w:rsidR="00A601EE" w:rsidRPr="00DE5871" w:rsidRDefault="00A601EE" w:rsidP="00EC285A">
            <w:pPr>
              <w:rPr>
                <w:rFonts w:ascii="Arial" w:hAnsi="Arial" w:cs="Arial"/>
                <w:b/>
                <w:bCs/>
              </w:rPr>
            </w:pPr>
          </w:p>
        </w:tc>
        <w:tc>
          <w:tcPr>
            <w:tcW w:w="1483" w:type="pct"/>
            <w:hideMark/>
          </w:tcPr>
          <w:p w14:paraId="3F6BDA8C" w14:textId="77777777" w:rsidR="00A601EE" w:rsidRPr="00DE5871" w:rsidRDefault="00A601EE" w:rsidP="00EC285A">
            <w:pPr>
              <w:rPr>
                <w:rFonts w:ascii="Arial" w:hAnsi="Arial" w:cs="Arial"/>
              </w:rPr>
            </w:pPr>
            <w:proofErr w:type="spellStart"/>
            <w:r w:rsidRPr="00DE5871">
              <w:rPr>
                <w:rFonts w:ascii="Arial" w:hAnsi="Arial" w:cs="Arial"/>
              </w:rPr>
              <w:t>Ratoma</w:t>
            </w:r>
            <w:proofErr w:type="spellEnd"/>
          </w:p>
        </w:tc>
        <w:tc>
          <w:tcPr>
            <w:tcW w:w="1748" w:type="pct"/>
            <w:hideMark/>
          </w:tcPr>
          <w:p w14:paraId="27AC0188" w14:textId="77777777" w:rsidR="00A601EE" w:rsidRPr="00DE5871" w:rsidRDefault="00A601EE" w:rsidP="00807493">
            <w:pPr>
              <w:jc w:val="center"/>
              <w:rPr>
                <w:rFonts w:ascii="Arial" w:hAnsi="Arial" w:cs="Arial"/>
                <w:b/>
                <w:bCs/>
              </w:rPr>
            </w:pPr>
            <w:r w:rsidRPr="00DE5871">
              <w:rPr>
                <w:rFonts w:ascii="Arial" w:hAnsi="Arial" w:cs="Arial"/>
                <w:b/>
                <w:bCs/>
              </w:rPr>
              <w:t>3</w:t>
            </w:r>
          </w:p>
        </w:tc>
        <w:tc>
          <w:tcPr>
            <w:tcW w:w="791" w:type="pct"/>
            <w:hideMark/>
          </w:tcPr>
          <w:p w14:paraId="0CC37BA0" w14:textId="77777777" w:rsidR="00A601EE" w:rsidRPr="00DE5871" w:rsidRDefault="00A601EE" w:rsidP="00807493">
            <w:pPr>
              <w:jc w:val="center"/>
              <w:rPr>
                <w:rFonts w:ascii="Arial" w:hAnsi="Arial" w:cs="Arial"/>
                <w:b/>
                <w:bCs/>
                <w:i/>
                <w:iCs/>
              </w:rPr>
            </w:pPr>
            <w:r w:rsidRPr="00DE5871">
              <w:rPr>
                <w:rFonts w:ascii="Arial" w:hAnsi="Arial" w:cs="Arial"/>
                <w:b/>
                <w:bCs/>
                <w:i/>
                <w:iCs/>
              </w:rPr>
              <w:t>8</w:t>
            </w:r>
          </w:p>
        </w:tc>
      </w:tr>
      <w:tr w:rsidR="00A601EE" w:rsidRPr="00DE5871" w14:paraId="771312F2" w14:textId="77777777" w:rsidTr="00EC285A">
        <w:trPr>
          <w:trHeight w:val="311"/>
        </w:trPr>
        <w:tc>
          <w:tcPr>
            <w:tcW w:w="295" w:type="pct"/>
            <w:vMerge w:val="restart"/>
            <w:hideMark/>
          </w:tcPr>
          <w:p w14:paraId="07BC971C" w14:textId="77777777" w:rsidR="00A601EE" w:rsidRPr="00DE5871" w:rsidRDefault="00A601EE" w:rsidP="00EC285A">
            <w:pPr>
              <w:jc w:val="center"/>
              <w:rPr>
                <w:rFonts w:ascii="Arial" w:hAnsi="Arial" w:cs="Arial"/>
              </w:rPr>
            </w:pPr>
            <w:r w:rsidRPr="00DE5871">
              <w:rPr>
                <w:rFonts w:ascii="Arial" w:hAnsi="Arial" w:cs="Arial"/>
              </w:rPr>
              <w:t>2</w:t>
            </w:r>
          </w:p>
        </w:tc>
        <w:tc>
          <w:tcPr>
            <w:tcW w:w="683" w:type="pct"/>
            <w:vMerge w:val="restart"/>
            <w:hideMark/>
          </w:tcPr>
          <w:p w14:paraId="68FDBF5F" w14:textId="77777777" w:rsidR="00A601EE" w:rsidRPr="00DE5871" w:rsidRDefault="00A601EE" w:rsidP="00EC285A">
            <w:pPr>
              <w:jc w:val="center"/>
              <w:rPr>
                <w:rFonts w:ascii="Arial" w:hAnsi="Arial" w:cs="Arial"/>
                <w:b/>
                <w:bCs/>
              </w:rPr>
            </w:pPr>
            <w:r w:rsidRPr="00DE5871">
              <w:rPr>
                <w:rFonts w:ascii="Arial" w:hAnsi="Arial" w:cs="Arial"/>
                <w:b/>
                <w:bCs/>
              </w:rPr>
              <w:t>Boké</w:t>
            </w:r>
          </w:p>
        </w:tc>
        <w:tc>
          <w:tcPr>
            <w:tcW w:w="1483" w:type="pct"/>
            <w:hideMark/>
          </w:tcPr>
          <w:p w14:paraId="69A3942C" w14:textId="77777777" w:rsidR="00A601EE" w:rsidRPr="00DE5871" w:rsidRDefault="00A601EE" w:rsidP="00EC285A">
            <w:pPr>
              <w:rPr>
                <w:rFonts w:ascii="Arial" w:hAnsi="Arial" w:cs="Arial"/>
              </w:rPr>
            </w:pPr>
            <w:r w:rsidRPr="00DE5871">
              <w:rPr>
                <w:rFonts w:ascii="Arial" w:hAnsi="Arial" w:cs="Arial"/>
              </w:rPr>
              <w:t>Boké</w:t>
            </w:r>
          </w:p>
        </w:tc>
        <w:tc>
          <w:tcPr>
            <w:tcW w:w="1748" w:type="pct"/>
            <w:hideMark/>
          </w:tcPr>
          <w:p w14:paraId="43785512"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7A645B64" w14:textId="77777777" w:rsidR="00A601EE" w:rsidRPr="00DE5871" w:rsidRDefault="00A601EE" w:rsidP="00807493">
            <w:pPr>
              <w:jc w:val="center"/>
              <w:rPr>
                <w:rFonts w:ascii="Arial" w:hAnsi="Arial" w:cs="Arial"/>
                <w:b/>
                <w:bCs/>
                <w:i/>
                <w:iCs/>
              </w:rPr>
            </w:pPr>
            <w:r w:rsidRPr="00DE5871">
              <w:rPr>
                <w:rFonts w:ascii="Arial" w:hAnsi="Arial" w:cs="Arial"/>
                <w:b/>
                <w:bCs/>
                <w:i/>
                <w:iCs/>
              </w:rPr>
              <w:t>16</w:t>
            </w:r>
          </w:p>
        </w:tc>
      </w:tr>
      <w:tr w:rsidR="00A601EE" w:rsidRPr="00DE5871" w14:paraId="54295500" w14:textId="77777777" w:rsidTr="00EC285A">
        <w:trPr>
          <w:trHeight w:val="311"/>
        </w:trPr>
        <w:tc>
          <w:tcPr>
            <w:tcW w:w="295" w:type="pct"/>
            <w:vMerge/>
            <w:hideMark/>
          </w:tcPr>
          <w:p w14:paraId="31CAC56D" w14:textId="77777777" w:rsidR="00A601EE" w:rsidRPr="00DE5871" w:rsidRDefault="00A601EE" w:rsidP="00EC285A">
            <w:pPr>
              <w:rPr>
                <w:rFonts w:ascii="Arial" w:hAnsi="Arial" w:cs="Arial"/>
              </w:rPr>
            </w:pPr>
          </w:p>
        </w:tc>
        <w:tc>
          <w:tcPr>
            <w:tcW w:w="683" w:type="pct"/>
            <w:vMerge/>
            <w:hideMark/>
          </w:tcPr>
          <w:p w14:paraId="4B04B5A6" w14:textId="77777777" w:rsidR="00A601EE" w:rsidRPr="00DE5871" w:rsidRDefault="00A601EE" w:rsidP="00EC285A">
            <w:pPr>
              <w:rPr>
                <w:rFonts w:ascii="Arial" w:hAnsi="Arial" w:cs="Arial"/>
                <w:b/>
                <w:bCs/>
              </w:rPr>
            </w:pPr>
          </w:p>
        </w:tc>
        <w:tc>
          <w:tcPr>
            <w:tcW w:w="1483" w:type="pct"/>
            <w:hideMark/>
          </w:tcPr>
          <w:p w14:paraId="0EB96CFC" w14:textId="77777777" w:rsidR="00A601EE" w:rsidRPr="00DE5871" w:rsidRDefault="00A601EE" w:rsidP="00EC285A">
            <w:pPr>
              <w:rPr>
                <w:rFonts w:ascii="Arial" w:hAnsi="Arial" w:cs="Arial"/>
              </w:rPr>
            </w:pPr>
            <w:r w:rsidRPr="00DE5871">
              <w:rPr>
                <w:rFonts w:ascii="Arial" w:hAnsi="Arial" w:cs="Arial"/>
              </w:rPr>
              <w:t>Fria</w:t>
            </w:r>
          </w:p>
        </w:tc>
        <w:tc>
          <w:tcPr>
            <w:tcW w:w="1748" w:type="pct"/>
            <w:hideMark/>
          </w:tcPr>
          <w:p w14:paraId="7A96C48D"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04FF6098" w14:textId="77777777" w:rsidR="00A601EE" w:rsidRPr="00DE5871" w:rsidRDefault="00A601EE" w:rsidP="00807493">
            <w:pPr>
              <w:jc w:val="center"/>
              <w:rPr>
                <w:rFonts w:ascii="Arial" w:hAnsi="Arial" w:cs="Arial"/>
                <w:b/>
                <w:bCs/>
                <w:i/>
                <w:iCs/>
              </w:rPr>
            </w:pPr>
            <w:r w:rsidRPr="00DE5871">
              <w:rPr>
                <w:rFonts w:ascii="Arial" w:hAnsi="Arial" w:cs="Arial"/>
                <w:b/>
                <w:bCs/>
                <w:i/>
                <w:iCs/>
              </w:rPr>
              <w:t>6</w:t>
            </w:r>
          </w:p>
        </w:tc>
      </w:tr>
      <w:tr w:rsidR="00A601EE" w:rsidRPr="00DE5871" w14:paraId="69DE77E3" w14:textId="77777777" w:rsidTr="00EC285A">
        <w:trPr>
          <w:trHeight w:val="311"/>
        </w:trPr>
        <w:tc>
          <w:tcPr>
            <w:tcW w:w="295" w:type="pct"/>
            <w:vMerge/>
            <w:hideMark/>
          </w:tcPr>
          <w:p w14:paraId="50AEBA2A" w14:textId="77777777" w:rsidR="00A601EE" w:rsidRPr="00DE5871" w:rsidRDefault="00A601EE" w:rsidP="00EC285A">
            <w:pPr>
              <w:rPr>
                <w:rFonts w:ascii="Arial" w:hAnsi="Arial" w:cs="Arial"/>
              </w:rPr>
            </w:pPr>
          </w:p>
        </w:tc>
        <w:tc>
          <w:tcPr>
            <w:tcW w:w="683" w:type="pct"/>
            <w:vMerge/>
            <w:hideMark/>
          </w:tcPr>
          <w:p w14:paraId="5A28BCF1" w14:textId="77777777" w:rsidR="00A601EE" w:rsidRPr="00DE5871" w:rsidRDefault="00A601EE" w:rsidP="00EC285A">
            <w:pPr>
              <w:rPr>
                <w:rFonts w:ascii="Arial" w:hAnsi="Arial" w:cs="Arial"/>
                <w:b/>
                <w:bCs/>
              </w:rPr>
            </w:pPr>
          </w:p>
        </w:tc>
        <w:tc>
          <w:tcPr>
            <w:tcW w:w="1483" w:type="pct"/>
            <w:hideMark/>
          </w:tcPr>
          <w:p w14:paraId="67E541AA" w14:textId="77777777" w:rsidR="00A601EE" w:rsidRPr="00DE5871" w:rsidRDefault="00A601EE" w:rsidP="00EC285A">
            <w:pPr>
              <w:rPr>
                <w:rFonts w:ascii="Arial" w:hAnsi="Arial" w:cs="Arial"/>
              </w:rPr>
            </w:pPr>
            <w:r w:rsidRPr="00DE5871">
              <w:rPr>
                <w:rFonts w:ascii="Arial" w:hAnsi="Arial" w:cs="Arial"/>
              </w:rPr>
              <w:t>Gaoual</w:t>
            </w:r>
          </w:p>
        </w:tc>
        <w:tc>
          <w:tcPr>
            <w:tcW w:w="1748" w:type="pct"/>
            <w:hideMark/>
          </w:tcPr>
          <w:p w14:paraId="611507F9"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7EDFC6E7" w14:textId="77777777" w:rsidR="00A601EE" w:rsidRPr="00DE5871" w:rsidRDefault="00A601EE" w:rsidP="00807493">
            <w:pPr>
              <w:jc w:val="center"/>
              <w:rPr>
                <w:rFonts w:ascii="Arial" w:hAnsi="Arial" w:cs="Arial"/>
                <w:b/>
                <w:bCs/>
                <w:i/>
                <w:iCs/>
              </w:rPr>
            </w:pPr>
            <w:r w:rsidRPr="00DE5871">
              <w:rPr>
                <w:rFonts w:ascii="Arial" w:hAnsi="Arial" w:cs="Arial"/>
                <w:b/>
                <w:bCs/>
                <w:i/>
                <w:iCs/>
              </w:rPr>
              <w:t>8</w:t>
            </w:r>
          </w:p>
        </w:tc>
      </w:tr>
      <w:tr w:rsidR="00A601EE" w:rsidRPr="00DE5871" w14:paraId="4D06807A" w14:textId="77777777" w:rsidTr="00EC285A">
        <w:trPr>
          <w:trHeight w:val="311"/>
        </w:trPr>
        <w:tc>
          <w:tcPr>
            <w:tcW w:w="295" w:type="pct"/>
            <w:vMerge/>
            <w:hideMark/>
          </w:tcPr>
          <w:p w14:paraId="16AA35EE" w14:textId="77777777" w:rsidR="00A601EE" w:rsidRPr="00DE5871" w:rsidRDefault="00A601EE" w:rsidP="00EC285A">
            <w:pPr>
              <w:rPr>
                <w:rFonts w:ascii="Arial" w:hAnsi="Arial" w:cs="Arial"/>
              </w:rPr>
            </w:pPr>
          </w:p>
        </w:tc>
        <w:tc>
          <w:tcPr>
            <w:tcW w:w="683" w:type="pct"/>
            <w:vMerge/>
            <w:hideMark/>
          </w:tcPr>
          <w:p w14:paraId="1AE3A59C" w14:textId="77777777" w:rsidR="00A601EE" w:rsidRPr="00DE5871" w:rsidRDefault="00A601EE" w:rsidP="00EC285A">
            <w:pPr>
              <w:rPr>
                <w:rFonts w:ascii="Arial" w:hAnsi="Arial" w:cs="Arial"/>
                <w:b/>
                <w:bCs/>
              </w:rPr>
            </w:pPr>
          </w:p>
        </w:tc>
        <w:tc>
          <w:tcPr>
            <w:tcW w:w="1483" w:type="pct"/>
            <w:hideMark/>
          </w:tcPr>
          <w:p w14:paraId="2A55035A" w14:textId="77777777" w:rsidR="00A601EE" w:rsidRPr="00DE5871" w:rsidRDefault="00A601EE" w:rsidP="00EC285A">
            <w:pPr>
              <w:rPr>
                <w:rFonts w:ascii="Arial" w:hAnsi="Arial" w:cs="Arial"/>
              </w:rPr>
            </w:pPr>
            <w:r w:rsidRPr="00DE5871">
              <w:rPr>
                <w:rFonts w:ascii="Arial" w:hAnsi="Arial" w:cs="Arial"/>
              </w:rPr>
              <w:t>Boffa</w:t>
            </w:r>
          </w:p>
        </w:tc>
        <w:tc>
          <w:tcPr>
            <w:tcW w:w="1748" w:type="pct"/>
            <w:hideMark/>
          </w:tcPr>
          <w:p w14:paraId="1A6E5795"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1622B856" w14:textId="77777777" w:rsidR="00A601EE" w:rsidRPr="00DE5871" w:rsidRDefault="00A601EE" w:rsidP="00807493">
            <w:pPr>
              <w:jc w:val="center"/>
              <w:rPr>
                <w:rFonts w:ascii="Arial" w:hAnsi="Arial" w:cs="Arial"/>
                <w:b/>
                <w:bCs/>
                <w:i/>
                <w:iCs/>
              </w:rPr>
            </w:pPr>
            <w:r w:rsidRPr="00DE5871">
              <w:rPr>
                <w:rFonts w:ascii="Arial" w:hAnsi="Arial" w:cs="Arial"/>
                <w:b/>
                <w:bCs/>
                <w:i/>
                <w:iCs/>
              </w:rPr>
              <w:t>8</w:t>
            </w:r>
          </w:p>
        </w:tc>
      </w:tr>
      <w:tr w:rsidR="00A601EE" w:rsidRPr="00DE5871" w14:paraId="03373CD3" w14:textId="77777777" w:rsidTr="00EC285A">
        <w:trPr>
          <w:trHeight w:val="311"/>
        </w:trPr>
        <w:tc>
          <w:tcPr>
            <w:tcW w:w="295" w:type="pct"/>
            <w:vMerge/>
            <w:hideMark/>
          </w:tcPr>
          <w:p w14:paraId="0D7B9BDE" w14:textId="77777777" w:rsidR="00A601EE" w:rsidRPr="00DE5871" w:rsidRDefault="00A601EE" w:rsidP="00EC285A">
            <w:pPr>
              <w:rPr>
                <w:rFonts w:ascii="Arial" w:hAnsi="Arial" w:cs="Arial"/>
              </w:rPr>
            </w:pPr>
          </w:p>
        </w:tc>
        <w:tc>
          <w:tcPr>
            <w:tcW w:w="683" w:type="pct"/>
            <w:vMerge/>
            <w:hideMark/>
          </w:tcPr>
          <w:p w14:paraId="5A175B6E" w14:textId="77777777" w:rsidR="00A601EE" w:rsidRPr="00DE5871" w:rsidRDefault="00A601EE" w:rsidP="00EC285A">
            <w:pPr>
              <w:rPr>
                <w:rFonts w:ascii="Arial" w:hAnsi="Arial" w:cs="Arial"/>
                <w:b/>
                <w:bCs/>
              </w:rPr>
            </w:pPr>
          </w:p>
        </w:tc>
        <w:tc>
          <w:tcPr>
            <w:tcW w:w="1483" w:type="pct"/>
            <w:hideMark/>
          </w:tcPr>
          <w:p w14:paraId="4D1B6540" w14:textId="77777777" w:rsidR="00A601EE" w:rsidRPr="00DE5871" w:rsidRDefault="00A601EE" w:rsidP="00EC285A">
            <w:pPr>
              <w:rPr>
                <w:rFonts w:ascii="Arial" w:hAnsi="Arial" w:cs="Arial"/>
              </w:rPr>
            </w:pPr>
            <w:r w:rsidRPr="00DE5871">
              <w:rPr>
                <w:rFonts w:ascii="Arial" w:hAnsi="Arial" w:cs="Arial"/>
              </w:rPr>
              <w:t>Koundara</w:t>
            </w:r>
          </w:p>
        </w:tc>
        <w:tc>
          <w:tcPr>
            <w:tcW w:w="1748" w:type="pct"/>
            <w:hideMark/>
          </w:tcPr>
          <w:p w14:paraId="2F081D5F"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655B862C" w14:textId="77777777" w:rsidR="00A601EE" w:rsidRPr="00DE5871" w:rsidRDefault="00A601EE" w:rsidP="00807493">
            <w:pPr>
              <w:jc w:val="center"/>
              <w:rPr>
                <w:rFonts w:ascii="Arial" w:hAnsi="Arial" w:cs="Arial"/>
                <w:b/>
                <w:bCs/>
                <w:i/>
                <w:iCs/>
              </w:rPr>
            </w:pPr>
            <w:r w:rsidRPr="00DE5871">
              <w:rPr>
                <w:rFonts w:ascii="Arial" w:hAnsi="Arial" w:cs="Arial"/>
                <w:b/>
                <w:bCs/>
                <w:i/>
                <w:iCs/>
              </w:rPr>
              <w:t>7</w:t>
            </w:r>
          </w:p>
        </w:tc>
      </w:tr>
      <w:tr w:rsidR="00A601EE" w:rsidRPr="00DE5871" w14:paraId="7ADE8E13" w14:textId="77777777" w:rsidTr="00EC285A">
        <w:trPr>
          <w:trHeight w:val="311"/>
        </w:trPr>
        <w:tc>
          <w:tcPr>
            <w:tcW w:w="295" w:type="pct"/>
            <w:vMerge w:val="restart"/>
            <w:hideMark/>
          </w:tcPr>
          <w:p w14:paraId="79252146" w14:textId="77777777" w:rsidR="00A601EE" w:rsidRPr="00DE5871" w:rsidRDefault="00A601EE" w:rsidP="00EC285A">
            <w:pPr>
              <w:jc w:val="center"/>
              <w:rPr>
                <w:rFonts w:ascii="Arial" w:hAnsi="Arial" w:cs="Arial"/>
              </w:rPr>
            </w:pPr>
            <w:r w:rsidRPr="00DE5871">
              <w:rPr>
                <w:rFonts w:ascii="Arial" w:hAnsi="Arial" w:cs="Arial"/>
              </w:rPr>
              <w:t>3</w:t>
            </w:r>
          </w:p>
        </w:tc>
        <w:tc>
          <w:tcPr>
            <w:tcW w:w="683" w:type="pct"/>
            <w:vMerge w:val="restart"/>
            <w:hideMark/>
          </w:tcPr>
          <w:p w14:paraId="207A643C" w14:textId="77777777" w:rsidR="00A601EE" w:rsidRPr="00DE5871" w:rsidRDefault="00A601EE" w:rsidP="00EC285A">
            <w:pPr>
              <w:jc w:val="center"/>
              <w:rPr>
                <w:rFonts w:ascii="Arial" w:hAnsi="Arial" w:cs="Arial"/>
                <w:b/>
                <w:bCs/>
              </w:rPr>
            </w:pPr>
            <w:r w:rsidRPr="00DE5871">
              <w:rPr>
                <w:rFonts w:ascii="Arial" w:hAnsi="Arial" w:cs="Arial"/>
                <w:b/>
                <w:bCs/>
              </w:rPr>
              <w:t>Kindia</w:t>
            </w:r>
          </w:p>
        </w:tc>
        <w:tc>
          <w:tcPr>
            <w:tcW w:w="1483" w:type="pct"/>
            <w:hideMark/>
          </w:tcPr>
          <w:p w14:paraId="12640846" w14:textId="77777777" w:rsidR="00A601EE" w:rsidRPr="00DE5871" w:rsidRDefault="00A601EE" w:rsidP="00EC285A">
            <w:pPr>
              <w:rPr>
                <w:rFonts w:ascii="Arial" w:hAnsi="Arial" w:cs="Arial"/>
              </w:rPr>
            </w:pPr>
            <w:r w:rsidRPr="00DE5871">
              <w:rPr>
                <w:rFonts w:ascii="Arial" w:hAnsi="Arial" w:cs="Arial"/>
              </w:rPr>
              <w:t>Kindia</w:t>
            </w:r>
          </w:p>
        </w:tc>
        <w:tc>
          <w:tcPr>
            <w:tcW w:w="1748" w:type="pct"/>
            <w:hideMark/>
          </w:tcPr>
          <w:p w14:paraId="229E1AEE"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267BEA77" w14:textId="77777777" w:rsidR="00A601EE" w:rsidRPr="00DE5871" w:rsidRDefault="00A601EE" w:rsidP="00807493">
            <w:pPr>
              <w:jc w:val="center"/>
              <w:rPr>
                <w:rFonts w:ascii="Arial" w:hAnsi="Arial" w:cs="Arial"/>
                <w:b/>
                <w:bCs/>
                <w:i/>
                <w:iCs/>
              </w:rPr>
            </w:pPr>
            <w:r w:rsidRPr="00DE5871">
              <w:rPr>
                <w:rFonts w:ascii="Arial" w:hAnsi="Arial" w:cs="Arial"/>
                <w:b/>
                <w:bCs/>
                <w:i/>
                <w:iCs/>
              </w:rPr>
              <w:t>15</w:t>
            </w:r>
          </w:p>
        </w:tc>
      </w:tr>
      <w:tr w:rsidR="00A601EE" w:rsidRPr="00DE5871" w14:paraId="7194221C" w14:textId="77777777" w:rsidTr="00EC285A">
        <w:trPr>
          <w:trHeight w:val="311"/>
        </w:trPr>
        <w:tc>
          <w:tcPr>
            <w:tcW w:w="295" w:type="pct"/>
            <w:vMerge/>
            <w:hideMark/>
          </w:tcPr>
          <w:p w14:paraId="46FD6D9B" w14:textId="77777777" w:rsidR="00A601EE" w:rsidRPr="00DE5871" w:rsidRDefault="00A601EE" w:rsidP="00EC285A">
            <w:pPr>
              <w:rPr>
                <w:rFonts w:ascii="Arial" w:hAnsi="Arial" w:cs="Arial"/>
              </w:rPr>
            </w:pPr>
          </w:p>
        </w:tc>
        <w:tc>
          <w:tcPr>
            <w:tcW w:w="683" w:type="pct"/>
            <w:vMerge/>
            <w:hideMark/>
          </w:tcPr>
          <w:p w14:paraId="0362B325" w14:textId="77777777" w:rsidR="00A601EE" w:rsidRPr="00DE5871" w:rsidRDefault="00A601EE" w:rsidP="00EC285A">
            <w:pPr>
              <w:rPr>
                <w:rFonts w:ascii="Arial" w:hAnsi="Arial" w:cs="Arial"/>
                <w:b/>
                <w:bCs/>
              </w:rPr>
            </w:pPr>
          </w:p>
        </w:tc>
        <w:tc>
          <w:tcPr>
            <w:tcW w:w="1483" w:type="pct"/>
            <w:hideMark/>
          </w:tcPr>
          <w:p w14:paraId="7C7F5221" w14:textId="77777777" w:rsidR="00A601EE" w:rsidRPr="00DE5871" w:rsidRDefault="00A601EE" w:rsidP="00EC285A">
            <w:pPr>
              <w:rPr>
                <w:rFonts w:ascii="Arial" w:hAnsi="Arial" w:cs="Arial"/>
              </w:rPr>
            </w:pPr>
            <w:proofErr w:type="spellStart"/>
            <w:r w:rsidRPr="00DE5871">
              <w:rPr>
                <w:rFonts w:ascii="Arial" w:hAnsi="Arial" w:cs="Arial"/>
              </w:rPr>
              <w:t>Dubreka</w:t>
            </w:r>
            <w:proofErr w:type="spellEnd"/>
          </w:p>
        </w:tc>
        <w:tc>
          <w:tcPr>
            <w:tcW w:w="1748" w:type="pct"/>
            <w:hideMark/>
          </w:tcPr>
          <w:p w14:paraId="3B7EA4F7"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048B5DA4" w14:textId="77777777" w:rsidR="00A601EE" w:rsidRPr="00DE5871" w:rsidRDefault="00A601EE" w:rsidP="00807493">
            <w:pPr>
              <w:jc w:val="center"/>
              <w:rPr>
                <w:rFonts w:ascii="Arial" w:hAnsi="Arial" w:cs="Arial"/>
                <w:b/>
                <w:bCs/>
                <w:i/>
                <w:iCs/>
              </w:rPr>
            </w:pPr>
            <w:r w:rsidRPr="00DE5871">
              <w:rPr>
                <w:rFonts w:ascii="Arial" w:hAnsi="Arial" w:cs="Arial"/>
                <w:b/>
                <w:bCs/>
                <w:i/>
                <w:iCs/>
              </w:rPr>
              <w:t>10</w:t>
            </w:r>
          </w:p>
        </w:tc>
      </w:tr>
      <w:tr w:rsidR="00A601EE" w:rsidRPr="00DE5871" w14:paraId="74C3B634" w14:textId="77777777" w:rsidTr="00EC285A">
        <w:trPr>
          <w:trHeight w:val="311"/>
        </w:trPr>
        <w:tc>
          <w:tcPr>
            <w:tcW w:w="295" w:type="pct"/>
            <w:vMerge/>
            <w:hideMark/>
          </w:tcPr>
          <w:p w14:paraId="5AED7B97" w14:textId="77777777" w:rsidR="00A601EE" w:rsidRPr="00DE5871" w:rsidRDefault="00A601EE" w:rsidP="00EC285A">
            <w:pPr>
              <w:rPr>
                <w:rFonts w:ascii="Arial" w:hAnsi="Arial" w:cs="Arial"/>
              </w:rPr>
            </w:pPr>
          </w:p>
        </w:tc>
        <w:tc>
          <w:tcPr>
            <w:tcW w:w="683" w:type="pct"/>
            <w:vMerge/>
            <w:hideMark/>
          </w:tcPr>
          <w:p w14:paraId="63AB2D97" w14:textId="77777777" w:rsidR="00A601EE" w:rsidRPr="00DE5871" w:rsidRDefault="00A601EE" w:rsidP="00EC285A">
            <w:pPr>
              <w:rPr>
                <w:rFonts w:ascii="Arial" w:hAnsi="Arial" w:cs="Arial"/>
                <w:b/>
                <w:bCs/>
              </w:rPr>
            </w:pPr>
          </w:p>
        </w:tc>
        <w:tc>
          <w:tcPr>
            <w:tcW w:w="1483" w:type="pct"/>
            <w:hideMark/>
          </w:tcPr>
          <w:p w14:paraId="3900DC9D" w14:textId="77777777" w:rsidR="00A601EE" w:rsidRPr="00DE5871" w:rsidRDefault="00A601EE" w:rsidP="00EC285A">
            <w:pPr>
              <w:rPr>
                <w:rFonts w:ascii="Arial" w:hAnsi="Arial" w:cs="Arial"/>
              </w:rPr>
            </w:pPr>
            <w:proofErr w:type="spellStart"/>
            <w:r w:rsidRPr="00DE5871">
              <w:rPr>
                <w:rFonts w:ascii="Arial" w:hAnsi="Arial" w:cs="Arial"/>
              </w:rPr>
              <w:t>Coyah</w:t>
            </w:r>
            <w:proofErr w:type="spellEnd"/>
          </w:p>
        </w:tc>
        <w:tc>
          <w:tcPr>
            <w:tcW w:w="1748" w:type="pct"/>
            <w:hideMark/>
          </w:tcPr>
          <w:p w14:paraId="711C35F2"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624E669E" w14:textId="77777777" w:rsidR="00A601EE" w:rsidRPr="00DE5871" w:rsidRDefault="00A601EE" w:rsidP="00807493">
            <w:pPr>
              <w:jc w:val="center"/>
              <w:rPr>
                <w:rFonts w:ascii="Arial" w:hAnsi="Arial" w:cs="Arial"/>
                <w:b/>
                <w:bCs/>
                <w:i/>
                <w:iCs/>
              </w:rPr>
            </w:pPr>
            <w:r w:rsidRPr="00DE5871">
              <w:rPr>
                <w:rFonts w:ascii="Arial" w:hAnsi="Arial" w:cs="Arial"/>
                <w:b/>
                <w:bCs/>
                <w:i/>
                <w:iCs/>
              </w:rPr>
              <w:t>6</w:t>
            </w:r>
          </w:p>
        </w:tc>
      </w:tr>
      <w:tr w:rsidR="00A601EE" w:rsidRPr="00DE5871" w14:paraId="165AD18E" w14:textId="77777777" w:rsidTr="00EC285A">
        <w:trPr>
          <w:trHeight w:val="311"/>
        </w:trPr>
        <w:tc>
          <w:tcPr>
            <w:tcW w:w="295" w:type="pct"/>
            <w:vMerge/>
            <w:hideMark/>
          </w:tcPr>
          <w:p w14:paraId="1331DDEF" w14:textId="77777777" w:rsidR="00A601EE" w:rsidRPr="00DE5871" w:rsidRDefault="00A601EE" w:rsidP="00EC285A">
            <w:pPr>
              <w:rPr>
                <w:rFonts w:ascii="Arial" w:hAnsi="Arial" w:cs="Arial"/>
              </w:rPr>
            </w:pPr>
          </w:p>
        </w:tc>
        <w:tc>
          <w:tcPr>
            <w:tcW w:w="683" w:type="pct"/>
            <w:vMerge/>
            <w:hideMark/>
          </w:tcPr>
          <w:p w14:paraId="7B1BC2CF" w14:textId="77777777" w:rsidR="00A601EE" w:rsidRPr="00DE5871" w:rsidRDefault="00A601EE" w:rsidP="00EC285A">
            <w:pPr>
              <w:rPr>
                <w:rFonts w:ascii="Arial" w:hAnsi="Arial" w:cs="Arial"/>
                <w:b/>
                <w:bCs/>
              </w:rPr>
            </w:pPr>
          </w:p>
        </w:tc>
        <w:tc>
          <w:tcPr>
            <w:tcW w:w="1483" w:type="pct"/>
            <w:hideMark/>
          </w:tcPr>
          <w:p w14:paraId="730D66BF" w14:textId="77777777" w:rsidR="00A601EE" w:rsidRPr="00DE5871" w:rsidRDefault="00A601EE" w:rsidP="00EC285A">
            <w:pPr>
              <w:rPr>
                <w:rFonts w:ascii="Arial" w:hAnsi="Arial" w:cs="Arial"/>
              </w:rPr>
            </w:pPr>
            <w:proofErr w:type="spellStart"/>
            <w:r w:rsidRPr="00DE5871">
              <w:rPr>
                <w:rFonts w:ascii="Arial" w:hAnsi="Arial" w:cs="Arial"/>
              </w:rPr>
              <w:t>Forecariah</w:t>
            </w:r>
            <w:proofErr w:type="spellEnd"/>
          </w:p>
        </w:tc>
        <w:tc>
          <w:tcPr>
            <w:tcW w:w="1748" w:type="pct"/>
            <w:hideMark/>
          </w:tcPr>
          <w:p w14:paraId="642BAEC9"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7ADD4988" w14:textId="77777777" w:rsidR="00A601EE" w:rsidRPr="00DE5871" w:rsidRDefault="00A601EE" w:rsidP="00807493">
            <w:pPr>
              <w:jc w:val="center"/>
              <w:rPr>
                <w:rFonts w:ascii="Arial" w:hAnsi="Arial" w:cs="Arial"/>
                <w:b/>
                <w:bCs/>
                <w:i/>
                <w:iCs/>
              </w:rPr>
            </w:pPr>
            <w:r w:rsidRPr="00DE5871">
              <w:rPr>
                <w:rFonts w:ascii="Arial" w:hAnsi="Arial" w:cs="Arial"/>
                <w:b/>
                <w:bCs/>
                <w:i/>
                <w:iCs/>
              </w:rPr>
              <w:t>10</w:t>
            </w:r>
          </w:p>
        </w:tc>
      </w:tr>
      <w:tr w:rsidR="00A601EE" w:rsidRPr="00DE5871" w14:paraId="4C23E7F7" w14:textId="77777777" w:rsidTr="00EC285A">
        <w:trPr>
          <w:trHeight w:val="311"/>
        </w:trPr>
        <w:tc>
          <w:tcPr>
            <w:tcW w:w="295" w:type="pct"/>
            <w:vMerge/>
            <w:hideMark/>
          </w:tcPr>
          <w:p w14:paraId="352604D6" w14:textId="77777777" w:rsidR="00A601EE" w:rsidRPr="00DE5871" w:rsidRDefault="00A601EE" w:rsidP="00EC285A">
            <w:pPr>
              <w:rPr>
                <w:rFonts w:ascii="Arial" w:hAnsi="Arial" w:cs="Arial"/>
              </w:rPr>
            </w:pPr>
          </w:p>
        </w:tc>
        <w:tc>
          <w:tcPr>
            <w:tcW w:w="683" w:type="pct"/>
            <w:vMerge/>
            <w:hideMark/>
          </w:tcPr>
          <w:p w14:paraId="0E944DD4" w14:textId="77777777" w:rsidR="00A601EE" w:rsidRPr="00DE5871" w:rsidRDefault="00A601EE" w:rsidP="00EC285A">
            <w:pPr>
              <w:rPr>
                <w:rFonts w:ascii="Arial" w:hAnsi="Arial" w:cs="Arial"/>
                <w:b/>
                <w:bCs/>
              </w:rPr>
            </w:pPr>
          </w:p>
        </w:tc>
        <w:tc>
          <w:tcPr>
            <w:tcW w:w="1483" w:type="pct"/>
            <w:hideMark/>
          </w:tcPr>
          <w:p w14:paraId="6A7A6773" w14:textId="77777777" w:rsidR="00A601EE" w:rsidRPr="00DE5871" w:rsidRDefault="00A601EE" w:rsidP="00EC285A">
            <w:pPr>
              <w:rPr>
                <w:rFonts w:ascii="Arial" w:hAnsi="Arial" w:cs="Arial"/>
              </w:rPr>
            </w:pPr>
            <w:proofErr w:type="spellStart"/>
            <w:r w:rsidRPr="00DE5871">
              <w:rPr>
                <w:rFonts w:ascii="Arial" w:hAnsi="Arial" w:cs="Arial"/>
              </w:rPr>
              <w:t>Telemele</w:t>
            </w:r>
            <w:proofErr w:type="spellEnd"/>
          </w:p>
        </w:tc>
        <w:tc>
          <w:tcPr>
            <w:tcW w:w="1748" w:type="pct"/>
            <w:hideMark/>
          </w:tcPr>
          <w:p w14:paraId="74DF91C6"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3FE84174" w14:textId="77777777" w:rsidR="00A601EE" w:rsidRPr="00DE5871" w:rsidRDefault="00A601EE" w:rsidP="00807493">
            <w:pPr>
              <w:jc w:val="center"/>
              <w:rPr>
                <w:rFonts w:ascii="Arial" w:hAnsi="Arial" w:cs="Arial"/>
                <w:b/>
                <w:bCs/>
                <w:i/>
                <w:iCs/>
              </w:rPr>
            </w:pPr>
            <w:r w:rsidRPr="00DE5871">
              <w:rPr>
                <w:rFonts w:ascii="Arial" w:hAnsi="Arial" w:cs="Arial"/>
                <w:b/>
                <w:bCs/>
                <w:i/>
                <w:iCs/>
              </w:rPr>
              <w:t>14</w:t>
            </w:r>
          </w:p>
        </w:tc>
      </w:tr>
      <w:tr w:rsidR="00A601EE" w:rsidRPr="00DE5871" w14:paraId="223C5EA5" w14:textId="77777777" w:rsidTr="00EC285A">
        <w:trPr>
          <w:trHeight w:val="311"/>
        </w:trPr>
        <w:tc>
          <w:tcPr>
            <w:tcW w:w="295" w:type="pct"/>
            <w:vMerge w:val="restart"/>
            <w:hideMark/>
          </w:tcPr>
          <w:p w14:paraId="1886CCFE" w14:textId="77777777" w:rsidR="00A601EE" w:rsidRPr="00DE5871" w:rsidRDefault="00A601EE" w:rsidP="00EC285A">
            <w:pPr>
              <w:jc w:val="center"/>
              <w:rPr>
                <w:rFonts w:ascii="Arial" w:hAnsi="Arial" w:cs="Arial"/>
              </w:rPr>
            </w:pPr>
            <w:r w:rsidRPr="00DE5871">
              <w:rPr>
                <w:rFonts w:ascii="Arial" w:hAnsi="Arial" w:cs="Arial"/>
              </w:rPr>
              <w:t>4</w:t>
            </w:r>
          </w:p>
        </w:tc>
        <w:tc>
          <w:tcPr>
            <w:tcW w:w="683" w:type="pct"/>
            <w:vMerge w:val="restart"/>
            <w:hideMark/>
          </w:tcPr>
          <w:p w14:paraId="0672F316" w14:textId="77777777" w:rsidR="00A601EE" w:rsidRPr="00DE5871" w:rsidRDefault="00A601EE" w:rsidP="00EC285A">
            <w:pPr>
              <w:jc w:val="center"/>
              <w:rPr>
                <w:rFonts w:ascii="Arial" w:hAnsi="Arial" w:cs="Arial"/>
                <w:b/>
                <w:bCs/>
              </w:rPr>
            </w:pPr>
            <w:r w:rsidRPr="00DE5871">
              <w:rPr>
                <w:rFonts w:ascii="Arial" w:hAnsi="Arial" w:cs="Arial"/>
                <w:b/>
                <w:bCs/>
              </w:rPr>
              <w:t>Mamou</w:t>
            </w:r>
          </w:p>
        </w:tc>
        <w:tc>
          <w:tcPr>
            <w:tcW w:w="1483" w:type="pct"/>
            <w:hideMark/>
          </w:tcPr>
          <w:p w14:paraId="02E4390F" w14:textId="77777777" w:rsidR="00A601EE" w:rsidRPr="00DE5871" w:rsidRDefault="00A601EE" w:rsidP="00EC285A">
            <w:pPr>
              <w:rPr>
                <w:rFonts w:ascii="Arial" w:hAnsi="Arial" w:cs="Arial"/>
              </w:rPr>
            </w:pPr>
            <w:r w:rsidRPr="00DE5871">
              <w:rPr>
                <w:rFonts w:ascii="Arial" w:hAnsi="Arial" w:cs="Arial"/>
              </w:rPr>
              <w:t>Mamou</w:t>
            </w:r>
          </w:p>
        </w:tc>
        <w:tc>
          <w:tcPr>
            <w:tcW w:w="1748" w:type="pct"/>
            <w:hideMark/>
          </w:tcPr>
          <w:p w14:paraId="086DB26B"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73626EAA" w14:textId="77777777" w:rsidR="00A601EE" w:rsidRPr="00DE5871" w:rsidRDefault="00A601EE" w:rsidP="00807493">
            <w:pPr>
              <w:jc w:val="center"/>
              <w:rPr>
                <w:rFonts w:ascii="Arial" w:hAnsi="Arial" w:cs="Arial"/>
                <w:b/>
                <w:bCs/>
                <w:i/>
                <w:iCs/>
              </w:rPr>
            </w:pPr>
            <w:r w:rsidRPr="00DE5871">
              <w:rPr>
                <w:rFonts w:ascii="Arial" w:hAnsi="Arial" w:cs="Arial"/>
                <w:b/>
                <w:bCs/>
                <w:i/>
                <w:iCs/>
              </w:rPr>
              <w:t>18</w:t>
            </w:r>
          </w:p>
        </w:tc>
      </w:tr>
      <w:tr w:rsidR="00A601EE" w:rsidRPr="00DE5871" w14:paraId="2743F672" w14:textId="77777777" w:rsidTr="00EC285A">
        <w:trPr>
          <w:trHeight w:val="311"/>
        </w:trPr>
        <w:tc>
          <w:tcPr>
            <w:tcW w:w="295" w:type="pct"/>
            <w:vMerge/>
            <w:hideMark/>
          </w:tcPr>
          <w:p w14:paraId="0107A40E" w14:textId="77777777" w:rsidR="00A601EE" w:rsidRPr="00DE5871" w:rsidRDefault="00A601EE" w:rsidP="00EC285A">
            <w:pPr>
              <w:rPr>
                <w:rFonts w:ascii="Arial" w:hAnsi="Arial" w:cs="Arial"/>
              </w:rPr>
            </w:pPr>
          </w:p>
        </w:tc>
        <w:tc>
          <w:tcPr>
            <w:tcW w:w="683" w:type="pct"/>
            <w:vMerge/>
            <w:hideMark/>
          </w:tcPr>
          <w:p w14:paraId="1D2D64D6" w14:textId="77777777" w:rsidR="00A601EE" w:rsidRPr="00DE5871" w:rsidRDefault="00A601EE" w:rsidP="00EC285A">
            <w:pPr>
              <w:rPr>
                <w:rFonts w:ascii="Arial" w:hAnsi="Arial" w:cs="Arial"/>
                <w:b/>
                <w:bCs/>
              </w:rPr>
            </w:pPr>
          </w:p>
        </w:tc>
        <w:tc>
          <w:tcPr>
            <w:tcW w:w="1483" w:type="pct"/>
            <w:hideMark/>
          </w:tcPr>
          <w:p w14:paraId="71821E9C" w14:textId="77777777" w:rsidR="00A601EE" w:rsidRPr="00DE5871" w:rsidRDefault="00A601EE" w:rsidP="00EC285A">
            <w:pPr>
              <w:rPr>
                <w:rFonts w:ascii="Arial" w:hAnsi="Arial" w:cs="Arial"/>
              </w:rPr>
            </w:pPr>
            <w:proofErr w:type="spellStart"/>
            <w:r w:rsidRPr="00DE5871">
              <w:rPr>
                <w:rFonts w:ascii="Arial" w:hAnsi="Arial" w:cs="Arial"/>
              </w:rPr>
              <w:t>Dalaba</w:t>
            </w:r>
            <w:proofErr w:type="spellEnd"/>
          </w:p>
        </w:tc>
        <w:tc>
          <w:tcPr>
            <w:tcW w:w="1748" w:type="pct"/>
            <w:hideMark/>
          </w:tcPr>
          <w:p w14:paraId="27DD4D35"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6FE7B627" w14:textId="77777777" w:rsidR="00A601EE" w:rsidRPr="00DE5871" w:rsidRDefault="00A601EE" w:rsidP="00807493">
            <w:pPr>
              <w:jc w:val="center"/>
              <w:rPr>
                <w:rFonts w:ascii="Arial" w:hAnsi="Arial" w:cs="Arial"/>
                <w:b/>
                <w:bCs/>
                <w:i/>
                <w:iCs/>
              </w:rPr>
            </w:pPr>
            <w:r w:rsidRPr="00DE5871">
              <w:rPr>
                <w:rFonts w:ascii="Arial" w:hAnsi="Arial" w:cs="Arial"/>
                <w:b/>
                <w:bCs/>
                <w:i/>
                <w:iCs/>
              </w:rPr>
              <w:t>10</w:t>
            </w:r>
          </w:p>
        </w:tc>
      </w:tr>
      <w:tr w:rsidR="00A601EE" w:rsidRPr="00DE5871" w14:paraId="5CF2121F" w14:textId="77777777" w:rsidTr="00EC285A">
        <w:trPr>
          <w:trHeight w:val="311"/>
        </w:trPr>
        <w:tc>
          <w:tcPr>
            <w:tcW w:w="295" w:type="pct"/>
            <w:vMerge/>
            <w:hideMark/>
          </w:tcPr>
          <w:p w14:paraId="75524C0D" w14:textId="77777777" w:rsidR="00A601EE" w:rsidRPr="00DE5871" w:rsidRDefault="00A601EE" w:rsidP="00EC285A">
            <w:pPr>
              <w:rPr>
                <w:rFonts w:ascii="Arial" w:hAnsi="Arial" w:cs="Arial"/>
              </w:rPr>
            </w:pPr>
          </w:p>
        </w:tc>
        <w:tc>
          <w:tcPr>
            <w:tcW w:w="683" w:type="pct"/>
            <w:vMerge/>
            <w:hideMark/>
          </w:tcPr>
          <w:p w14:paraId="713C8A5A" w14:textId="77777777" w:rsidR="00A601EE" w:rsidRPr="00DE5871" w:rsidRDefault="00A601EE" w:rsidP="00EC285A">
            <w:pPr>
              <w:rPr>
                <w:rFonts w:ascii="Arial" w:hAnsi="Arial" w:cs="Arial"/>
                <w:b/>
                <w:bCs/>
              </w:rPr>
            </w:pPr>
          </w:p>
        </w:tc>
        <w:tc>
          <w:tcPr>
            <w:tcW w:w="1483" w:type="pct"/>
            <w:hideMark/>
          </w:tcPr>
          <w:p w14:paraId="3A9493CF" w14:textId="77777777" w:rsidR="00A601EE" w:rsidRPr="00DE5871" w:rsidRDefault="00A601EE" w:rsidP="00EC285A">
            <w:pPr>
              <w:rPr>
                <w:rFonts w:ascii="Arial" w:hAnsi="Arial" w:cs="Arial"/>
              </w:rPr>
            </w:pPr>
            <w:r w:rsidRPr="00DE5871">
              <w:rPr>
                <w:rFonts w:ascii="Arial" w:hAnsi="Arial" w:cs="Arial"/>
              </w:rPr>
              <w:t>Pita</w:t>
            </w:r>
          </w:p>
        </w:tc>
        <w:tc>
          <w:tcPr>
            <w:tcW w:w="1748" w:type="pct"/>
            <w:hideMark/>
          </w:tcPr>
          <w:p w14:paraId="70F74270"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58BCC583" w14:textId="77777777" w:rsidR="00A601EE" w:rsidRPr="00DE5871" w:rsidRDefault="00A601EE" w:rsidP="00807493">
            <w:pPr>
              <w:jc w:val="center"/>
              <w:rPr>
                <w:rFonts w:ascii="Arial" w:hAnsi="Arial" w:cs="Arial"/>
                <w:b/>
                <w:bCs/>
                <w:i/>
                <w:iCs/>
              </w:rPr>
            </w:pPr>
            <w:r w:rsidRPr="00DE5871">
              <w:rPr>
                <w:rFonts w:ascii="Arial" w:hAnsi="Arial" w:cs="Arial"/>
                <w:b/>
                <w:bCs/>
                <w:i/>
                <w:iCs/>
              </w:rPr>
              <w:t>13</w:t>
            </w:r>
          </w:p>
        </w:tc>
      </w:tr>
      <w:tr w:rsidR="00A601EE" w:rsidRPr="00DE5871" w14:paraId="10DEAAE1" w14:textId="77777777" w:rsidTr="00EC285A">
        <w:trPr>
          <w:trHeight w:val="311"/>
        </w:trPr>
        <w:tc>
          <w:tcPr>
            <w:tcW w:w="295" w:type="pct"/>
            <w:vMerge w:val="restart"/>
            <w:hideMark/>
          </w:tcPr>
          <w:p w14:paraId="4DAE1FCE" w14:textId="77777777" w:rsidR="00A601EE" w:rsidRPr="00DE5871" w:rsidRDefault="00A601EE" w:rsidP="00EC285A">
            <w:pPr>
              <w:jc w:val="center"/>
              <w:rPr>
                <w:rFonts w:ascii="Arial" w:hAnsi="Arial" w:cs="Arial"/>
              </w:rPr>
            </w:pPr>
            <w:r w:rsidRPr="00DE5871">
              <w:rPr>
                <w:rFonts w:ascii="Arial" w:hAnsi="Arial" w:cs="Arial"/>
              </w:rPr>
              <w:t>5</w:t>
            </w:r>
          </w:p>
        </w:tc>
        <w:tc>
          <w:tcPr>
            <w:tcW w:w="683" w:type="pct"/>
            <w:vMerge w:val="restart"/>
            <w:hideMark/>
          </w:tcPr>
          <w:p w14:paraId="2C06F4EF" w14:textId="77777777" w:rsidR="00A601EE" w:rsidRPr="00DE5871" w:rsidRDefault="00A601EE" w:rsidP="00EC285A">
            <w:pPr>
              <w:jc w:val="center"/>
              <w:rPr>
                <w:rFonts w:ascii="Arial" w:hAnsi="Arial" w:cs="Arial"/>
                <w:b/>
                <w:bCs/>
              </w:rPr>
            </w:pPr>
            <w:r w:rsidRPr="00DE5871">
              <w:rPr>
                <w:rFonts w:ascii="Arial" w:hAnsi="Arial" w:cs="Arial"/>
                <w:b/>
                <w:bCs/>
              </w:rPr>
              <w:t>Faranah</w:t>
            </w:r>
          </w:p>
        </w:tc>
        <w:tc>
          <w:tcPr>
            <w:tcW w:w="1483" w:type="pct"/>
            <w:hideMark/>
          </w:tcPr>
          <w:p w14:paraId="21EF3929" w14:textId="77777777" w:rsidR="00A601EE" w:rsidRPr="00DE5871" w:rsidRDefault="00A601EE" w:rsidP="00EC285A">
            <w:pPr>
              <w:rPr>
                <w:rFonts w:ascii="Arial" w:hAnsi="Arial" w:cs="Arial"/>
              </w:rPr>
            </w:pPr>
            <w:r w:rsidRPr="00DE5871">
              <w:rPr>
                <w:rFonts w:ascii="Arial" w:hAnsi="Arial" w:cs="Arial"/>
              </w:rPr>
              <w:t>Faranah</w:t>
            </w:r>
          </w:p>
        </w:tc>
        <w:tc>
          <w:tcPr>
            <w:tcW w:w="1748" w:type="pct"/>
            <w:hideMark/>
          </w:tcPr>
          <w:p w14:paraId="7170A68B"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09B21BBC" w14:textId="77777777" w:rsidR="00A601EE" w:rsidRPr="00DE5871" w:rsidRDefault="00A601EE" w:rsidP="00807493">
            <w:pPr>
              <w:jc w:val="center"/>
              <w:rPr>
                <w:rFonts w:ascii="Arial" w:hAnsi="Arial" w:cs="Arial"/>
                <w:b/>
                <w:bCs/>
                <w:i/>
                <w:iCs/>
              </w:rPr>
            </w:pPr>
            <w:r w:rsidRPr="00DE5871">
              <w:rPr>
                <w:rFonts w:ascii="Arial" w:hAnsi="Arial" w:cs="Arial"/>
                <w:b/>
                <w:bCs/>
                <w:i/>
                <w:iCs/>
              </w:rPr>
              <w:t>13</w:t>
            </w:r>
          </w:p>
        </w:tc>
      </w:tr>
      <w:tr w:rsidR="00A601EE" w:rsidRPr="00DE5871" w14:paraId="5439F1B3" w14:textId="77777777" w:rsidTr="00EC285A">
        <w:trPr>
          <w:trHeight w:val="311"/>
        </w:trPr>
        <w:tc>
          <w:tcPr>
            <w:tcW w:w="295" w:type="pct"/>
            <w:vMerge/>
            <w:hideMark/>
          </w:tcPr>
          <w:p w14:paraId="494E3A54" w14:textId="77777777" w:rsidR="00A601EE" w:rsidRPr="00DE5871" w:rsidRDefault="00A601EE" w:rsidP="00EC285A">
            <w:pPr>
              <w:rPr>
                <w:rFonts w:ascii="Arial" w:hAnsi="Arial" w:cs="Arial"/>
              </w:rPr>
            </w:pPr>
          </w:p>
        </w:tc>
        <w:tc>
          <w:tcPr>
            <w:tcW w:w="683" w:type="pct"/>
            <w:vMerge/>
            <w:hideMark/>
          </w:tcPr>
          <w:p w14:paraId="59207205" w14:textId="77777777" w:rsidR="00A601EE" w:rsidRPr="00DE5871" w:rsidRDefault="00A601EE" w:rsidP="00EC285A">
            <w:pPr>
              <w:rPr>
                <w:rFonts w:ascii="Arial" w:hAnsi="Arial" w:cs="Arial"/>
                <w:b/>
                <w:bCs/>
              </w:rPr>
            </w:pPr>
          </w:p>
        </w:tc>
        <w:tc>
          <w:tcPr>
            <w:tcW w:w="1483" w:type="pct"/>
            <w:hideMark/>
          </w:tcPr>
          <w:p w14:paraId="4CC30AEC" w14:textId="77777777" w:rsidR="00A601EE" w:rsidRPr="00DE5871" w:rsidRDefault="00A601EE" w:rsidP="00EC285A">
            <w:pPr>
              <w:rPr>
                <w:rFonts w:ascii="Arial" w:hAnsi="Arial" w:cs="Arial"/>
              </w:rPr>
            </w:pPr>
            <w:r w:rsidRPr="00DE5871">
              <w:rPr>
                <w:rFonts w:ascii="Arial" w:hAnsi="Arial" w:cs="Arial"/>
              </w:rPr>
              <w:t>Dabola</w:t>
            </w:r>
          </w:p>
        </w:tc>
        <w:tc>
          <w:tcPr>
            <w:tcW w:w="1748" w:type="pct"/>
            <w:hideMark/>
          </w:tcPr>
          <w:p w14:paraId="7186E928"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5FAB932C" w14:textId="77777777" w:rsidR="00A601EE" w:rsidRPr="00DE5871" w:rsidRDefault="00A601EE" w:rsidP="00807493">
            <w:pPr>
              <w:jc w:val="center"/>
              <w:rPr>
                <w:rFonts w:ascii="Arial" w:hAnsi="Arial" w:cs="Arial"/>
                <w:b/>
                <w:bCs/>
                <w:i/>
                <w:iCs/>
              </w:rPr>
            </w:pPr>
            <w:r w:rsidRPr="00DE5871">
              <w:rPr>
                <w:rFonts w:ascii="Arial" w:hAnsi="Arial" w:cs="Arial"/>
                <w:b/>
                <w:bCs/>
                <w:i/>
                <w:iCs/>
              </w:rPr>
              <w:t>10</w:t>
            </w:r>
          </w:p>
        </w:tc>
      </w:tr>
      <w:tr w:rsidR="00A601EE" w:rsidRPr="00DE5871" w14:paraId="4E2CD821" w14:textId="77777777" w:rsidTr="00EC285A">
        <w:trPr>
          <w:trHeight w:val="311"/>
        </w:trPr>
        <w:tc>
          <w:tcPr>
            <w:tcW w:w="295" w:type="pct"/>
            <w:vMerge/>
            <w:hideMark/>
          </w:tcPr>
          <w:p w14:paraId="4DFA3D63" w14:textId="77777777" w:rsidR="00A601EE" w:rsidRPr="00DE5871" w:rsidRDefault="00A601EE" w:rsidP="00EC285A">
            <w:pPr>
              <w:rPr>
                <w:rFonts w:ascii="Arial" w:hAnsi="Arial" w:cs="Arial"/>
              </w:rPr>
            </w:pPr>
          </w:p>
        </w:tc>
        <w:tc>
          <w:tcPr>
            <w:tcW w:w="683" w:type="pct"/>
            <w:vMerge/>
            <w:hideMark/>
          </w:tcPr>
          <w:p w14:paraId="1411E53F" w14:textId="77777777" w:rsidR="00A601EE" w:rsidRPr="00DE5871" w:rsidRDefault="00A601EE" w:rsidP="00EC285A">
            <w:pPr>
              <w:rPr>
                <w:rFonts w:ascii="Arial" w:hAnsi="Arial" w:cs="Arial"/>
                <w:b/>
                <w:bCs/>
              </w:rPr>
            </w:pPr>
          </w:p>
        </w:tc>
        <w:tc>
          <w:tcPr>
            <w:tcW w:w="1483" w:type="pct"/>
            <w:hideMark/>
          </w:tcPr>
          <w:p w14:paraId="0D94530B" w14:textId="77777777" w:rsidR="00A601EE" w:rsidRPr="00DE5871" w:rsidRDefault="00A601EE" w:rsidP="00EC285A">
            <w:pPr>
              <w:rPr>
                <w:rFonts w:ascii="Arial" w:hAnsi="Arial" w:cs="Arial"/>
              </w:rPr>
            </w:pPr>
            <w:r w:rsidRPr="00DE5871">
              <w:rPr>
                <w:rFonts w:ascii="Arial" w:hAnsi="Arial" w:cs="Arial"/>
              </w:rPr>
              <w:t>Dinguiraye</w:t>
            </w:r>
          </w:p>
        </w:tc>
        <w:tc>
          <w:tcPr>
            <w:tcW w:w="1748" w:type="pct"/>
            <w:hideMark/>
          </w:tcPr>
          <w:p w14:paraId="0E428678"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292D6949" w14:textId="77777777" w:rsidR="00A601EE" w:rsidRPr="00DE5871" w:rsidRDefault="00A601EE" w:rsidP="00807493">
            <w:pPr>
              <w:jc w:val="center"/>
              <w:rPr>
                <w:rFonts w:ascii="Arial" w:hAnsi="Arial" w:cs="Arial"/>
                <w:b/>
                <w:bCs/>
                <w:i/>
                <w:iCs/>
              </w:rPr>
            </w:pPr>
            <w:r w:rsidRPr="00DE5871">
              <w:rPr>
                <w:rFonts w:ascii="Arial" w:hAnsi="Arial" w:cs="Arial"/>
                <w:b/>
                <w:bCs/>
                <w:i/>
                <w:iCs/>
              </w:rPr>
              <w:t>8</w:t>
            </w:r>
          </w:p>
        </w:tc>
      </w:tr>
      <w:tr w:rsidR="00A601EE" w:rsidRPr="00DE5871" w14:paraId="705C7858" w14:textId="77777777" w:rsidTr="00EC285A">
        <w:trPr>
          <w:trHeight w:val="311"/>
        </w:trPr>
        <w:tc>
          <w:tcPr>
            <w:tcW w:w="295" w:type="pct"/>
            <w:vMerge/>
            <w:hideMark/>
          </w:tcPr>
          <w:p w14:paraId="296C5630" w14:textId="77777777" w:rsidR="00A601EE" w:rsidRPr="00DE5871" w:rsidRDefault="00A601EE" w:rsidP="00EC285A">
            <w:pPr>
              <w:rPr>
                <w:rFonts w:ascii="Arial" w:hAnsi="Arial" w:cs="Arial"/>
              </w:rPr>
            </w:pPr>
          </w:p>
        </w:tc>
        <w:tc>
          <w:tcPr>
            <w:tcW w:w="683" w:type="pct"/>
            <w:vMerge/>
            <w:hideMark/>
          </w:tcPr>
          <w:p w14:paraId="3C332E01" w14:textId="77777777" w:rsidR="00A601EE" w:rsidRPr="00DE5871" w:rsidRDefault="00A601EE" w:rsidP="00EC285A">
            <w:pPr>
              <w:rPr>
                <w:rFonts w:ascii="Arial" w:hAnsi="Arial" w:cs="Arial"/>
                <w:b/>
                <w:bCs/>
              </w:rPr>
            </w:pPr>
          </w:p>
        </w:tc>
        <w:tc>
          <w:tcPr>
            <w:tcW w:w="1483" w:type="pct"/>
            <w:hideMark/>
          </w:tcPr>
          <w:p w14:paraId="1278A98B" w14:textId="77777777" w:rsidR="00A601EE" w:rsidRPr="00DE5871" w:rsidRDefault="00A601EE" w:rsidP="00EC285A">
            <w:pPr>
              <w:rPr>
                <w:rFonts w:ascii="Arial" w:hAnsi="Arial" w:cs="Arial"/>
              </w:rPr>
            </w:pPr>
            <w:r w:rsidRPr="00DE5871">
              <w:rPr>
                <w:rFonts w:ascii="Arial" w:hAnsi="Arial" w:cs="Arial"/>
              </w:rPr>
              <w:t>Kissidougou</w:t>
            </w:r>
          </w:p>
        </w:tc>
        <w:tc>
          <w:tcPr>
            <w:tcW w:w="1748" w:type="pct"/>
            <w:hideMark/>
          </w:tcPr>
          <w:p w14:paraId="3A0CF06B"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1D70182F" w14:textId="77777777" w:rsidR="00A601EE" w:rsidRPr="00DE5871" w:rsidRDefault="00A601EE" w:rsidP="00807493">
            <w:pPr>
              <w:jc w:val="center"/>
              <w:rPr>
                <w:rFonts w:ascii="Arial" w:hAnsi="Arial" w:cs="Arial"/>
                <w:b/>
                <w:bCs/>
                <w:i/>
                <w:iCs/>
              </w:rPr>
            </w:pPr>
            <w:r w:rsidRPr="00DE5871">
              <w:rPr>
                <w:rFonts w:ascii="Arial" w:hAnsi="Arial" w:cs="Arial"/>
                <w:b/>
                <w:bCs/>
                <w:i/>
                <w:iCs/>
              </w:rPr>
              <w:t>17</w:t>
            </w:r>
          </w:p>
        </w:tc>
      </w:tr>
      <w:tr w:rsidR="00A601EE" w:rsidRPr="00DE5871" w14:paraId="4FA1DE76" w14:textId="77777777" w:rsidTr="00EC285A">
        <w:trPr>
          <w:trHeight w:val="311"/>
        </w:trPr>
        <w:tc>
          <w:tcPr>
            <w:tcW w:w="295" w:type="pct"/>
            <w:vMerge w:val="restart"/>
            <w:hideMark/>
          </w:tcPr>
          <w:p w14:paraId="2681CDCB" w14:textId="77777777" w:rsidR="00A601EE" w:rsidRPr="00DE5871" w:rsidRDefault="00A601EE" w:rsidP="00EC285A">
            <w:pPr>
              <w:jc w:val="center"/>
              <w:rPr>
                <w:rFonts w:ascii="Arial" w:hAnsi="Arial" w:cs="Arial"/>
              </w:rPr>
            </w:pPr>
            <w:r w:rsidRPr="00DE5871">
              <w:rPr>
                <w:rFonts w:ascii="Arial" w:hAnsi="Arial" w:cs="Arial"/>
              </w:rPr>
              <w:t>6</w:t>
            </w:r>
          </w:p>
        </w:tc>
        <w:tc>
          <w:tcPr>
            <w:tcW w:w="683" w:type="pct"/>
            <w:vMerge w:val="restart"/>
            <w:hideMark/>
          </w:tcPr>
          <w:p w14:paraId="5CC0A81B" w14:textId="77777777" w:rsidR="00A601EE" w:rsidRPr="00DE5871" w:rsidRDefault="00A601EE" w:rsidP="00EC285A">
            <w:pPr>
              <w:jc w:val="center"/>
              <w:rPr>
                <w:rFonts w:ascii="Arial" w:hAnsi="Arial" w:cs="Arial"/>
                <w:b/>
                <w:bCs/>
              </w:rPr>
            </w:pPr>
            <w:r w:rsidRPr="00DE5871">
              <w:rPr>
                <w:rFonts w:ascii="Arial" w:hAnsi="Arial" w:cs="Arial"/>
                <w:b/>
                <w:bCs/>
              </w:rPr>
              <w:t>Kankan</w:t>
            </w:r>
          </w:p>
        </w:tc>
        <w:tc>
          <w:tcPr>
            <w:tcW w:w="1483" w:type="pct"/>
            <w:hideMark/>
          </w:tcPr>
          <w:p w14:paraId="65FDF8F6" w14:textId="77777777" w:rsidR="00A601EE" w:rsidRPr="00DE5871" w:rsidRDefault="00A601EE" w:rsidP="00EC285A">
            <w:pPr>
              <w:rPr>
                <w:rFonts w:ascii="Arial" w:hAnsi="Arial" w:cs="Arial"/>
              </w:rPr>
            </w:pPr>
            <w:r w:rsidRPr="00DE5871">
              <w:rPr>
                <w:rFonts w:ascii="Arial" w:hAnsi="Arial" w:cs="Arial"/>
              </w:rPr>
              <w:t>Kankan</w:t>
            </w:r>
          </w:p>
        </w:tc>
        <w:tc>
          <w:tcPr>
            <w:tcW w:w="1748" w:type="pct"/>
            <w:hideMark/>
          </w:tcPr>
          <w:p w14:paraId="5B44D772"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7B0A27B2" w14:textId="77777777" w:rsidR="00A601EE" w:rsidRPr="00DE5871" w:rsidRDefault="00A601EE" w:rsidP="00807493">
            <w:pPr>
              <w:jc w:val="center"/>
              <w:rPr>
                <w:rFonts w:ascii="Arial" w:hAnsi="Arial" w:cs="Arial"/>
                <w:b/>
                <w:bCs/>
                <w:i/>
                <w:iCs/>
              </w:rPr>
            </w:pPr>
            <w:r w:rsidRPr="00DE5871">
              <w:rPr>
                <w:rFonts w:ascii="Arial" w:hAnsi="Arial" w:cs="Arial"/>
                <w:b/>
                <w:bCs/>
                <w:i/>
                <w:iCs/>
              </w:rPr>
              <w:t>19</w:t>
            </w:r>
          </w:p>
        </w:tc>
      </w:tr>
      <w:tr w:rsidR="00A601EE" w:rsidRPr="00DE5871" w14:paraId="17E3CD6D" w14:textId="77777777" w:rsidTr="00EC285A">
        <w:trPr>
          <w:trHeight w:val="311"/>
        </w:trPr>
        <w:tc>
          <w:tcPr>
            <w:tcW w:w="295" w:type="pct"/>
            <w:vMerge/>
            <w:hideMark/>
          </w:tcPr>
          <w:p w14:paraId="0FE02605" w14:textId="77777777" w:rsidR="00A601EE" w:rsidRPr="00DE5871" w:rsidRDefault="00A601EE" w:rsidP="00EC285A">
            <w:pPr>
              <w:rPr>
                <w:rFonts w:ascii="Arial" w:hAnsi="Arial" w:cs="Arial"/>
              </w:rPr>
            </w:pPr>
          </w:p>
        </w:tc>
        <w:tc>
          <w:tcPr>
            <w:tcW w:w="683" w:type="pct"/>
            <w:vMerge/>
            <w:hideMark/>
          </w:tcPr>
          <w:p w14:paraId="251F366E" w14:textId="77777777" w:rsidR="00A601EE" w:rsidRPr="00DE5871" w:rsidRDefault="00A601EE" w:rsidP="00EC285A">
            <w:pPr>
              <w:rPr>
                <w:rFonts w:ascii="Arial" w:hAnsi="Arial" w:cs="Arial"/>
                <w:b/>
                <w:bCs/>
              </w:rPr>
            </w:pPr>
          </w:p>
        </w:tc>
        <w:tc>
          <w:tcPr>
            <w:tcW w:w="1483" w:type="pct"/>
            <w:hideMark/>
          </w:tcPr>
          <w:p w14:paraId="3977DEAC" w14:textId="77777777" w:rsidR="00A601EE" w:rsidRPr="00DE5871" w:rsidRDefault="00A601EE" w:rsidP="00EC285A">
            <w:pPr>
              <w:rPr>
                <w:rFonts w:ascii="Arial" w:hAnsi="Arial" w:cs="Arial"/>
              </w:rPr>
            </w:pPr>
            <w:r w:rsidRPr="00DE5871">
              <w:rPr>
                <w:rFonts w:ascii="Arial" w:hAnsi="Arial" w:cs="Arial"/>
              </w:rPr>
              <w:t>Kouroussa</w:t>
            </w:r>
          </w:p>
        </w:tc>
        <w:tc>
          <w:tcPr>
            <w:tcW w:w="1748" w:type="pct"/>
            <w:hideMark/>
          </w:tcPr>
          <w:p w14:paraId="46A6359D"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7163ACA9" w14:textId="77777777" w:rsidR="00A601EE" w:rsidRPr="00DE5871" w:rsidRDefault="00A601EE" w:rsidP="00807493">
            <w:pPr>
              <w:jc w:val="center"/>
              <w:rPr>
                <w:rFonts w:ascii="Arial" w:hAnsi="Arial" w:cs="Arial"/>
                <w:b/>
                <w:bCs/>
                <w:i/>
                <w:iCs/>
              </w:rPr>
            </w:pPr>
            <w:r w:rsidRPr="00DE5871">
              <w:rPr>
                <w:rFonts w:ascii="Arial" w:hAnsi="Arial" w:cs="Arial"/>
                <w:b/>
                <w:bCs/>
                <w:i/>
                <w:iCs/>
              </w:rPr>
              <w:t>13</w:t>
            </w:r>
          </w:p>
        </w:tc>
      </w:tr>
      <w:tr w:rsidR="00A601EE" w:rsidRPr="00DE5871" w14:paraId="7FAE5F84" w14:textId="77777777" w:rsidTr="00EC285A">
        <w:trPr>
          <w:trHeight w:val="311"/>
        </w:trPr>
        <w:tc>
          <w:tcPr>
            <w:tcW w:w="295" w:type="pct"/>
            <w:vMerge/>
            <w:hideMark/>
          </w:tcPr>
          <w:p w14:paraId="194C9628" w14:textId="77777777" w:rsidR="00A601EE" w:rsidRPr="00DE5871" w:rsidRDefault="00A601EE" w:rsidP="00EC285A">
            <w:pPr>
              <w:rPr>
                <w:rFonts w:ascii="Arial" w:hAnsi="Arial" w:cs="Arial"/>
              </w:rPr>
            </w:pPr>
          </w:p>
        </w:tc>
        <w:tc>
          <w:tcPr>
            <w:tcW w:w="683" w:type="pct"/>
            <w:vMerge/>
            <w:hideMark/>
          </w:tcPr>
          <w:p w14:paraId="2A2941EB" w14:textId="77777777" w:rsidR="00A601EE" w:rsidRPr="00DE5871" w:rsidRDefault="00A601EE" w:rsidP="00EC285A">
            <w:pPr>
              <w:rPr>
                <w:rFonts w:ascii="Arial" w:hAnsi="Arial" w:cs="Arial"/>
                <w:b/>
                <w:bCs/>
              </w:rPr>
            </w:pPr>
          </w:p>
        </w:tc>
        <w:tc>
          <w:tcPr>
            <w:tcW w:w="1483" w:type="pct"/>
            <w:hideMark/>
          </w:tcPr>
          <w:p w14:paraId="0BD28F7E" w14:textId="77777777" w:rsidR="00A601EE" w:rsidRPr="00DE5871" w:rsidRDefault="00A601EE" w:rsidP="00EC285A">
            <w:pPr>
              <w:rPr>
                <w:rFonts w:ascii="Arial" w:hAnsi="Arial" w:cs="Arial"/>
              </w:rPr>
            </w:pPr>
            <w:proofErr w:type="spellStart"/>
            <w:r w:rsidRPr="00DE5871">
              <w:rPr>
                <w:rFonts w:ascii="Arial" w:hAnsi="Arial" w:cs="Arial"/>
              </w:rPr>
              <w:t>Kerouane</w:t>
            </w:r>
            <w:proofErr w:type="spellEnd"/>
          </w:p>
        </w:tc>
        <w:tc>
          <w:tcPr>
            <w:tcW w:w="1748" w:type="pct"/>
            <w:hideMark/>
          </w:tcPr>
          <w:p w14:paraId="27D79450"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14619C1A" w14:textId="77777777" w:rsidR="00A601EE" w:rsidRPr="00DE5871" w:rsidRDefault="00A601EE" w:rsidP="00807493">
            <w:pPr>
              <w:jc w:val="center"/>
              <w:rPr>
                <w:rFonts w:ascii="Arial" w:hAnsi="Arial" w:cs="Arial"/>
                <w:b/>
                <w:bCs/>
                <w:i/>
                <w:iCs/>
              </w:rPr>
            </w:pPr>
            <w:r w:rsidRPr="00DE5871">
              <w:rPr>
                <w:rFonts w:ascii="Arial" w:hAnsi="Arial" w:cs="Arial"/>
                <w:b/>
                <w:bCs/>
                <w:i/>
                <w:iCs/>
              </w:rPr>
              <w:t>9</w:t>
            </w:r>
          </w:p>
        </w:tc>
      </w:tr>
      <w:tr w:rsidR="00A601EE" w:rsidRPr="00DE5871" w14:paraId="4EDDB15D" w14:textId="77777777" w:rsidTr="00EC285A">
        <w:trPr>
          <w:trHeight w:val="311"/>
        </w:trPr>
        <w:tc>
          <w:tcPr>
            <w:tcW w:w="295" w:type="pct"/>
            <w:vMerge/>
            <w:hideMark/>
          </w:tcPr>
          <w:p w14:paraId="5F93557E" w14:textId="77777777" w:rsidR="00A601EE" w:rsidRPr="00DE5871" w:rsidRDefault="00A601EE" w:rsidP="00EC285A">
            <w:pPr>
              <w:rPr>
                <w:rFonts w:ascii="Arial" w:hAnsi="Arial" w:cs="Arial"/>
              </w:rPr>
            </w:pPr>
          </w:p>
        </w:tc>
        <w:tc>
          <w:tcPr>
            <w:tcW w:w="683" w:type="pct"/>
            <w:vMerge/>
            <w:hideMark/>
          </w:tcPr>
          <w:p w14:paraId="3243BD6F" w14:textId="77777777" w:rsidR="00A601EE" w:rsidRPr="00DE5871" w:rsidRDefault="00A601EE" w:rsidP="00EC285A">
            <w:pPr>
              <w:rPr>
                <w:rFonts w:ascii="Arial" w:hAnsi="Arial" w:cs="Arial"/>
                <w:b/>
                <w:bCs/>
              </w:rPr>
            </w:pPr>
          </w:p>
        </w:tc>
        <w:tc>
          <w:tcPr>
            <w:tcW w:w="1483" w:type="pct"/>
            <w:hideMark/>
          </w:tcPr>
          <w:p w14:paraId="6BC70C0F" w14:textId="77777777" w:rsidR="00A601EE" w:rsidRPr="00DE5871" w:rsidRDefault="00A601EE" w:rsidP="00EC285A">
            <w:pPr>
              <w:rPr>
                <w:rFonts w:ascii="Arial" w:hAnsi="Arial" w:cs="Arial"/>
              </w:rPr>
            </w:pPr>
            <w:proofErr w:type="spellStart"/>
            <w:r w:rsidRPr="00DE5871">
              <w:rPr>
                <w:rFonts w:ascii="Arial" w:hAnsi="Arial" w:cs="Arial"/>
              </w:rPr>
              <w:t>Mandiana</w:t>
            </w:r>
            <w:proofErr w:type="spellEnd"/>
          </w:p>
        </w:tc>
        <w:tc>
          <w:tcPr>
            <w:tcW w:w="1748" w:type="pct"/>
            <w:hideMark/>
          </w:tcPr>
          <w:p w14:paraId="4E269941"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39D22B8E" w14:textId="77777777" w:rsidR="00A601EE" w:rsidRPr="00DE5871" w:rsidRDefault="00A601EE" w:rsidP="00807493">
            <w:pPr>
              <w:jc w:val="center"/>
              <w:rPr>
                <w:rFonts w:ascii="Arial" w:hAnsi="Arial" w:cs="Arial"/>
                <w:b/>
                <w:bCs/>
                <w:i/>
                <w:iCs/>
              </w:rPr>
            </w:pPr>
            <w:r w:rsidRPr="00DE5871">
              <w:rPr>
                <w:rFonts w:ascii="Arial" w:hAnsi="Arial" w:cs="Arial"/>
                <w:b/>
                <w:bCs/>
                <w:i/>
                <w:iCs/>
              </w:rPr>
              <w:t>13</w:t>
            </w:r>
          </w:p>
        </w:tc>
      </w:tr>
      <w:tr w:rsidR="00A601EE" w:rsidRPr="00DE5871" w14:paraId="3D2983D8" w14:textId="77777777" w:rsidTr="00EC285A">
        <w:trPr>
          <w:trHeight w:val="311"/>
        </w:trPr>
        <w:tc>
          <w:tcPr>
            <w:tcW w:w="295" w:type="pct"/>
            <w:vMerge/>
            <w:hideMark/>
          </w:tcPr>
          <w:p w14:paraId="29EA2144" w14:textId="77777777" w:rsidR="00A601EE" w:rsidRPr="00DE5871" w:rsidRDefault="00A601EE" w:rsidP="00EC285A">
            <w:pPr>
              <w:rPr>
                <w:rFonts w:ascii="Arial" w:hAnsi="Arial" w:cs="Arial"/>
              </w:rPr>
            </w:pPr>
          </w:p>
        </w:tc>
        <w:tc>
          <w:tcPr>
            <w:tcW w:w="683" w:type="pct"/>
            <w:vMerge/>
            <w:hideMark/>
          </w:tcPr>
          <w:p w14:paraId="160AF76F" w14:textId="77777777" w:rsidR="00A601EE" w:rsidRPr="00DE5871" w:rsidRDefault="00A601EE" w:rsidP="00EC285A">
            <w:pPr>
              <w:rPr>
                <w:rFonts w:ascii="Arial" w:hAnsi="Arial" w:cs="Arial"/>
                <w:b/>
                <w:bCs/>
              </w:rPr>
            </w:pPr>
          </w:p>
        </w:tc>
        <w:tc>
          <w:tcPr>
            <w:tcW w:w="1483" w:type="pct"/>
            <w:hideMark/>
          </w:tcPr>
          <w:p w14:paraId="3DC32CF9" w14:textId="77777777" w:rsidR="00A601EE" w:rsidRPr="00DE5871" w:rsidRDefault="00A601EE" w:rsidP="00EC285A">
            <w:pPr>
              <w:rPr>
                <w:rFonts w:ascii="Arial" w:hAnsi="Arial" w:cs="Arial"/>
              </w:rPr>
            </w:pPr>
            <w:r w:rsidRPr="00DE5871">
              <w:rPr>
                <w:rFonts w:ascii="Arial" w:hAnsi="Arial" w:cs="Arial"/>
              </w:rPr>
              <w:t>Siguiri</w:t>
            </w:r>
          </w:p>
        </w:tc>
        <w:tc>
          <w:tcPr>
            <w:tcW w:w="1748" w:type="pct"/>
            <w:hideMark/>
          </w:tcPr>
          <w:p w14:paraId="03A12986"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58C29DB8" w14:textId="77777777" w:rsidR="00A601EE" w:rsidRPr="00DE5871" w:rsidRDefault="00A601EE" w:rsidP="00807493">
            <w:pPr>
              <w:jc w:val="center"/>
              <w:rPr>
                <w:rFonts w:ascii="Arial" w:hAnsi="Arial" w:cs="Arial"/>
                <w:b/>
                <w:bCs/>
                <w:i/>
                <w:iCs/>
              </w:rPr>
            </w:pPr>
            <w:r w:rsidRPr="00DE5871">
              <w:rPr>
                <w:rFonts w:ascii="Arial" w:hAnsi="Arial" w:cs="Arial"/>
                <w:b/>
                <w:bCs/>
                <w:i/>
                <w:iCs/>
              </w:rPr>
              <w:t>16</w:t>
            </w:r>
          </w:p>
        </w:tc>
      </w:tr>
      <w:tr w:rsidR="00A601EE" w:rsidRPr="00DE5871" w14:paraId="515333EF" w14:textId="77777777" w:rsidTr="00EC285A">
        <w:trPr>
          <w:trHeight w:val="311"/>
        </w:trPr>
        <w:tc>
          <w:tcPr>
            <w:tcW w:w="295" w:type="pct"/>
            <w:vMerge w:val="restart"/>
            <w:hideMark/>
          </w:tcPr>
          <w:p w14:paraId="7CB3D3CD" w14:textId="77777777" w:rsidR="00A601EE" w:rsidRPr="00DE5871" w:rsidRDefault="00A601EE" w:rsidP="00EC285A">
            <w:pPr>
              <w:jc w:val="center"/>
              <w:rPr>
                <w:rFonts w:ascii="Arial" w:hAnsi="Arial" w:cs="Arial"/>
              </w:rPr>
            </w:pPr>
            <w:r w:rsidRPr="00DE5871">
              <w:rPr>
                <w:rFonts w:ascii="Arial" w:hAnsi="Arial" w:cs="Arial"/>
              </w:rPr>
              <w:t>7</w:t>
            </w:r>
          </w:p>
        </w:tc>
        <w:tc>
          <w:tcPr>
            <w:tcW w:w="683" w:type="pct"/>
            <w:vMerge w:val="restart"/>
            <w:hideMark/>
          </w:tcPr>
          <w:p w14:paraId="19D1539D" w14:textId="77777777" w:rsidR="00A601EE" w:rsidRPr="00DE5871" w:rsidRDefault="00A601EE" w:rsidP="00EC285A">
            <w:pPr>
              <w:jc w:val="center"/>
              <w:rPr>
                <w:rFonts w:ascii="Arial" w:hAnsi="Arial" w:cs="Arial"/>
                <w:b/>
                <w:bCs/>
              </w:rPr>
            </w:pPr>
            <w:r w:rsidRPr="00DE5871">
              <w:rPr>
                <w:rFonts w:ascii="Arial" w:hAnsi="Arial" w:cs="Arial"/>
                <w:b/>
                <w:bCs/>
              </w:rPr>
              <w:t>Labé</w:t>
            </w:r>
          </w:p>
        </w:tc>
        <w:tc>
          <w:tcPr>
            <w:tcW w:w="1483" w:type="pct"/>
            <w:hideMark/>
          </w:tcPr>
          <w:p w14:paraId="0E81767F" w14:textId="77777777" w:rsidR="00A601EE" w:rsidRPr="00DE5871" w:rsidRDefault="00A601EE" w:rsidP="00EC285A">
            <w:pPr>
              <w:rPr>
                <w:rFonts w:ascii="Arial" w:hAnsi="Arial" w:cs="Arial"/>
              </w:rPr>
            </w:pPr>
            <w:r w:rsidRPr="00DE5871">
              <w:rPr>
                <w:rFonts w:ascii="Arial" w:hAnsi="Arial" w:cs="Arial"/>
              </w:rPr>
              <w:t>Labé</w:t>
            </w:r>
          </w:p>
        </w:tc>
        <w:tc>
          <w:tcPr>
            <w:tcW w:w="1748" w:type="pct"/>
            <w:hideMark/>
          </w:tcPr>
          <w:p w14:paraId="17AB8C0E"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2B28A51E" w14:textId="77777777" w:rsidR="00A601EE" w:rsidRPr="00DE5871" w:rsidRDefault="00A601EE" w:rsidP="00807493">
            <w:pPr>
              <w:jc w:val="center"/>
              <w:rPr>
                <w:rFonts w:ascii="Arial" w:hAnsi="Arial" w:cs="Arial"/>
                <w:b/>
                <w:bCs/>
                <w:i/>
                <w:iCs/>
              </w:rPr>
            </w:pPr>
            <w:r w:rsidRPr="00DE5871">
              <w:rPr>
                <w:rFonts w:ascii="Arial" w:hAnsi="Arial" w:cs="Arial"/>
                <w:b/>
                <w:bCs/>
                <w:i/>
                <w:iCs/>
              </w:rPr>
              <w:t>18</w:t>
            </w:r>
          </w:p>
        </w:tc>
      </w:tr>
      <w:tr w:rsidR="00A601EE" w:rsidRPr="00DE5871" w14:paraId="5211FF29" w14:textId="77777777" w:rsidTr="00EC285A">
        <w:trPr>
          <w:trHeight w:val="311"/>
        </w:trPr>
        <w:tc>
          <w:tcPr>
            <w:tcW w:w="295" w:type="pct"/>
            <w:vMerge/>
            <w:hideMark/>
          </w:tcPr>
          <w:p w14:paraId="7FFC2EF6" w14:textId="77777777" w:rsidR="00A601EE" w:rsidRPr="00DE5871" w:rsidRDefault="00A601EE" w:rsidP="00EC285A">
            <w:pPr>
              <w:rPr>
                <w:rFonts w:ascii="Arial" w:hAnsi="Arial" w:cs="Arial"/>
              </w:rPr>
            </w:pPr>
          </w:p>
        </w:tc>
        <w:tc>
          <w:tcPr>
            <w:tcW w:w="683" w:type="pct"/>
            <w:vMerge/>
            <w:hideMark/>
          </w:tcPr>
          <w:p w14:paraId="08A29D17" w14:textId="77777777" w:rsidR="00A601EE" w:rsidRPr="00DE5871" w:rsidRDefault="00A601EE" w:rsidP="00EC285A">
            <w:pPr>
              <w:rPr>
                <w:rFonts w:ascii="Arial" w:hAnsi="Arial" w:cs="Arial"/>
                <w:b/>
                <w:bCs/>
              </w:rPr>
            </w:pPr>
          </w:p>
        </w:tc>
        <w:tc>
          <w:tcPr>
            <w:tcW w:w="1483" w:type="pct"/>
            <w:hideMark/>
          </w:tcPr>
          <w:p w14:paraId="6171296F" w14:textId="77777777" w:rsidR="00A601EE" w:rsidRPr="00DE5871" w:rsidRDefault="00A601EE" w:rsidP="00EC285A">
            <w:pPr>
              <w:rPr>
                <w:rFonts w:ascii="Arial" w:hAnsi="Arial" w:cs="Arial"/>
              </w:rPr>
            </w:pPr>
            <w:proofErr w:type="spellStart"/>
            <w:r w:rsidRPr="00DE5871">
              <w:rPr>
                <w:rFonts w:ascii="Arial" w:hAnsi="Arial" w:cs="Arial"/>
              </w:rPr>
              <w:t>Koubia</w:t>
            </w:r>
            <w:proofErr w:type="spellEnd"/>
          </w:p>
        </w:tc>
        <w:tc>
          <w:tcPr>
            <w:tcW w:w="1748" w:type="pct"/>
            <w:hideMark/>
          </w:tcPr>
          <w:p w14:paraId="4D4F7C5D"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7D62CAFB" w14:textId="77777777" w:rsidR="00A601EE" w:rsidRPr="00DE5871" w:rsidRDefault="00A601EE" w:rsidP="00807493">
            <w:pPr>
              <w:jc w:val="center"/>
              <w:rPr>
                <w:rFonts w:ascii="Arial" w:hAnsi="Arial" w:cs="Arial"/>
                <w:b/>
                <w:bCs/>
                <w:i/>
                <w:iCs/>
              </w:rPr>
            </w:pPr>
            <w:r w:rsidRPr="00DE5871">
              <w:rPr>
                <w:rFonts w:ascii="Arial" w:hAnsi="Arial" w:cs="Arial"/>
                <w:b/>
                <w:bCs/>
                <w:i/>
                <w:iCs/>
              </w:rPr>
              <w:t>6</w:t>
            </w:r>
          </w:p>
        </w:tc>
      </w:tr>
      <w:tr w:rsidR="00A601EE" w:rsidRPr="00DE5871" w14:paraId="70462873" w14:textId="77777777" w:rsidTr="00EC285A">
        <w:trPr>
          <w:trHeight w:val="311"/>
        </w:trPr>
        <w:tc>
          <w:tcPr>
            <w:tcW w:w="295" w:type="pct"/>
            <w:vMerge/>
            <w:hideMark/>
          </w:tcPr>
          <w:p w14:paraId="1776AB07" w14:textId="77777777" w:rsidR="00A601EE" w:rsidRPr="00DE5871" w:rsidRDefault="00A601EE" w:rsidP="00EC285A">
            <w:pPr>
              <w:rPr>
                <w:rFonts w:ascii="Arial" w:hAnsi="Arial" w:cs="Arial"/>
              </w:rPr>
            </w:pPr>
          </w:p>
        </w:tc>
        <w:tc>
          <w:tcPr>
            <w:tcW w:w="683" w:type="pct"/>
            <w:vMerge/>
            <w:hideMark/>
          </w:tcPr>
          <w:p w14:paraId="3E8BEAEF" w14:textId="77777777" w:rsidR="00A601EE" w:rsidRPr="00DE5871" w:rsidRDefault="00A601EE" w:rsidP="00EC285A">
            <w:pPr>
              <w:rPr>
                <w:rFonts w:ascii="Arial" w:hAnsi="Arial" w:cs="Arial"/>
                <w:b/>
                <w:bCs/>
              </w:rPr>
            </w:pPr>
          </w:p>
        </w:tc>
        <w:tc>
          <w:tcPr>
            <w:tcW w:w="1483" w:type="pct"/>
            <w:hideMark/>
          </w:tcPr>
          <w:p w14:paraId="18C09FEE" w14:textId="77777777" w:rsidR="00A601EE" w:rsidRPr="00DE5871" w:rsidRDefault="00A601EE" w:rsidP="00EC285A">
            <w:pPr>
              <w:rPr>
                <w:rFonts w:ascii="Arial" w:hAnsi="Arial" w:cs="Arial"/>
              </w:rPr>
            </w:pPr>
            <w:proofErr w:type="spellStart"/>
            <w:r w:rsidRPr="00DE5871">
              <w:rPr>
                <w:rFonts w:ascii="Arial" w:hAnsi="Arial" w:cs="Arial"/>
              </w:rPr>
              <w:t>Lelouma</w:t>
            </w:r>
            <w:proofErr w:type="spellEnd"/>
          </w:p>
        </w:tc>
        <w:tc>
          <w:tcPr>
            <w:tcW w:w="1748" w:type="pct"/>
            <w:hideMark/>
          </w:tcPr>
          <w:p w14:paraId="30C41D6B"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6EA94EEF" w14:textId="77777777" w:rsidR="00A601EE" w:rsidRPr="00DE5871" w:rsidRDefault="00A601EE" w:rsidP="00807493">
            <w:pPr>
              <w:jc w:val="center"/>
              <w:rPr>
                <w:rFonts w:ascii="Arial" w:hAnsi="Arial" w:cs="Arial"/>
                <w:b/>
                <w:bCs/>
                <w:i/>
                <w:iCs/>
              </w:rPr>
            </w:pPr>
            <w:r w:rsidRPr="00DE5871">
              <w:rPr>
                <w:rFonts w:ascii="Arial" w:hAnsi="Arial" w:cs="Arial"/>
                <w:b/>
                <w:bCs/>
                <w:i/>
                <w:iCs/>
              </w:rPr>
              <w:t>11</w:t>
            </w:r>
          </w:p>
        </w:tc>
      </w:tr>
      <w:tr w:rsidR="00A601EE" w:rsidRPr="00DE5871" w14:paraId="370007EB" w14:textId="77777777" w:rsidTr="00EC285A">
        <w:trPr>
          <w:trHeight w:val="311"/>
        </w:trPr>
        <w:tc>
          <w:tcPr>
            <w:tcW w:w="295" w:type="pct"/>
            <w:vMerge/>
            <w:hideMark/>
          </w:tcPr>
          <w:p w14:paraId="4E8AA6E8" w14:textId="77777777" w:rsidR="00A601EE" w:rsidRPr="00DE5871" w:rsidRDefault="00A601EE" w:rsidP="00EC285A">
            <w:pPr>
              <w:rPr>
                <w:rFonts w:ascii="Arial" w:hAnsi="Arial" w:cs="Arial"/>
              </w:rPr>
            </w:pPr>
          </w:p>
        </w:tc>
        <w:tc>
          <w:tcPr>
            <w:tcW w:w="683" w:type="pct"/>
            <w:vMerge/>
            <w:hideMark/>
          </w:tcPr>
          <w:p w14:paraId="3831F81C" w14:textId="77777777" w:rsidR="00A601EE" w:rsidRPr="00DE5871" w:rsidRDefault="00A601EE" w:rsidP="00EC285A">
            <w:pPr>
              <w:rPr>
                <w:rFonts w:ascii="Arial" w:hAnsi="Arial" w:cs="Arial"/>
                <w:b/>
                <w:bCs/>
              </w:rPr>
            </w:pPr>
          </w:p>
        </w:tc>
        <w:tc>
          <w:tcPr>
            <w:tcW w:w="1483" w:type="pct"/>
            <w:hideMark/>
          </w:tcPr>
          <w:p w14:paraId="70081E3D" w14:textId="77777777" w:rsidR="00A601EE" w:rsidRPr="00DE5871" w:rsidRDefault="00A601EE" w:rsidP="00EC285A">
            <w:pPr>
              <w:rPr>
                <w:rFonts w:ascii="Arial" w:hAnsi="Arial" w:cs="Arial"/>
              </w:rPr>
            </w:pPr>
            <w:r w:rsidRPr="00DE5871">
              <w:rPr>
                <w:rFonts w:ascii="Arial" w:hAnsi="Arial" w:cs="Arial"/>
              </w:rPr>
              <w:t>Mali</w:t>
            </w:r>
          </w:p>
        </w:tc>
        <w:tc>
          <w:tcPr>
            <w:tcW w:w="1748" w:type="pct"/>
            <w:hideMark/>
          </w:tcPr>
          <w:p w14:paraId="027D02B9"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10DE30BA" w14:textId="77777777" w:rsidR="00A601EE" w:rsidRPr="00DE5871" w:rsidRDefault="00A601EE" w:rsidP="00807493">
            <w:pPr>
              <w:jc w:val="center"/>
              <w:rPr>
                <w:rFonts w:ascii="Arial" w:hAnsi="Arial" w:cs="Arial"/>
                <w:b/>
                <w:bCs/>
                <w:i/>
                <w:iCs/>
              </w:rPr>
            </w:pPr>
            <w:r w:rsidRPr="00DE5871">
              <w:rPr>
                <w:rFonts w:ascii="Arial" w:hAnsi="Arial" w:cs="Arial"/>
                <w:b/>
                <w:bCs/>
                <w:i/>
                <w:iCs/>
              </w:rPr>
              <w:t>13</w:t>
            </w:r>
          </w:p>
        </w:tc>
      </w:tr>
      <w:tr w:rsidR="00A601EE" w:rsidRPr="00DE5871" w14:paraId="45701ABC" w14:textId="77777777" w:rsidTr="00EC285A">
        <w:trPr>
          <w:trHeight w:val="311"/>
        </w:trPr>
        <w:tc>
          <w:tcPr>
            <w:tcW w:w="295" w:type="pct"/>
            <w:vMerge/>
            <w:hideMark/>
          </w:tcPr>
          <w:p w14:paraId="173CA3A1" w14:textId="77777777" w:rsidR="00A601EE" w:rsidRPr="00DE5871" w:rsidRDefault="00A601EE" w:rsidP="00EC285A">
            <w:pPr>
              <w:rPr>
                <w:rFonts w:ascii="Arial" w:hAnsi="Arial" w:cs="Arial"/>
              </w:rPr>
            </w:pPr>
          </w:p>
        </w:tc>
        <w:tc>
          <w:tcPr>
            <w:tcW w:w="683" w:type="pct"/>
            <w:vMerge/>
            <w:hideMark/>
          </w:tcPr>
          <w:p w14:paraId="0C5E287D" w14:textId="77777777" w:rsidR="00A601EE" w:rsidRPr="00DE5871" w:rsidRDefault="00A601EE" w:rsidP="00EC285A">
            <w:pPr>
              <w:rPr>
                <w:rFonts w:ascii="Arial" w:hAnsi="Arial" w:cs="Arial"/>
                <w:b/>
                <w:bCs/>
              </w:rPr>
            </w:pPr>
          </w:p>
        </w:tc>
        <w:tc>
          <w:tcPr>
            <w:tcW w:w="1483" w:type="pct"/>
            <w:hideMark/>
          </w:tcPr>
          <w:p w14:paraId="13440473" w14:textId="77777777" w:rsidR="00A601EE" w:rsidRPr="00DE5871" w:rsidRDefault="00A601EE" w:rsidP="00EC285A">
            <w:pPr>
              <w:rPr>
                <w:rFonts w:ascii="Arial" w:hAnsi="Arial" w:cs="Arial"/>
              </w:rPr>
            </w:pPr>
            <w:proofErr w:type="spellStart"/>
            <w:r w:rsidRPr="00DE5871">
              <w:rPr>
                <w:rFonts w:ascii="Arial" w:hAnsi="Arial" w:cs="Arial"/>
              </w:rPr>
              <w:t>Tougue</w:t>
            </w:r>
            <w:proofErr w:type="spellEnd"/>
          </w:p>
        </w:tc>
        <w:tc>
          <w:tcPr>
            <w:tcW w:w="1748" w:type="pct"/>
            <w:hideMark/>
          </w:tcPr>
          <w:p w14:paraId="336B7CBB"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3D9CDA51" w14:textId="77777777" w:rsidR="00A601EE" w:rsidRPr="00DE5871" w:rsidRDefault="00A601EE" w:rsidP="00807493">
            <w:pPr>
              <w:jc w:val="center"/>
              <w:rPr>
                <w:rFonts w:ascii="Arial" w:hAnsi="Arial" w:cs="Arial"/>
                <w:b/>
                <w:bCs/>
                <w:i/>
                <w:iCs/>
              </w:rPr>
            </w:pPr>
            <w:r w:rsidRPr="00DE5871">
              <w:rPr>
                <w:rFonts w:ascii="Arial" w:hAnsi="Arial" w:cs="Arial"/>
                <w:b/>
                <w:bCs/>
                <w:i/>
                <w:iCs/>
              </w:rPr>
              <w:t>10</w:t>
            </w:r>
          </w:p>
        </w:tc>
      </w:tr>
      <w:tr w:rsidR="00A601EE" w:rsidRPr="00DE5871" w14:paraId="1F9F4B83" w14:textId="77777777" w:rsidTr="00EC285A">
        <w:trPr>
          <w:trHeight w:val="311"/>
        </w:trPr>
        <w:tc>
          <w:tcPr>
            <w:tcW w:w="295" w:type="pct"/>
            <w:vMerge w:val="restart"/>
            <w:hideMark/>
          </w:tcPr>
          <w:p w14:paraId="78BE78CF" w14:textId="77777777" w:rsidR="00A601EE" w:rsidRPr="00DE5871" w:rsidRDefault="00A601EE" w:rsidP="00EC285A">
            <w:pPr>
              <w:jc w:val="center"/>
              <w:rPr>
                <w:rFonts w:ascii="Arial" w:hAnsi="Arial" w:cs="Arial"/>
              </w:rPr>
            </w:pPr>
            <w:r w:rsidRPr="00DE5871">
              <w:rPr>
                <w:rFonts w:ascii="Arial" w:hAnsi="Arial" w:cs="Arial"/>
              </w:rPr>
              <w:t>8</w:t>
            </w:r>
          </w:p>
        </w:tc>
        <w:tc>
          <w:tcPr>
            <w:tcW w:w="683" w:type="pct"/>
            <w:vMerge w:val="restart"/>
            <w:hideMark/>
          </w:tcPr>
          <w:p w14:paraId="3E2D8739" w14:textId="77777777" w:rsidR="00A601EE" w:rsidRPr="00DE5871" w:rsidRDefault="00A601EE" w:rsidP="00EC285A">
            <w:pPr>
              <w:jc w:val="center"/>
              <w:rPr>
                <w:rFonts w:ascii="Arial" w:hAnsi="Arial" w:cs="Arial"/>
                <w:b/>
                <w:bCs/>
              </w:rPr>
            </w:pPr>
            <w:r w:rsidRPr="00DE5871">
              <w:rPr>
                <w:rFonts w:ascii="Arial" w:hAnsi="Arial" w:cs="Arial"/>
                <w:b/>
                <w:bCs/>
              </w:rPr>
              <w:t>Nzérékoré</w:t>
            </w:r>
          </w:p>
        </w:tc>
        <w:tc>
          <w:tcPr>
            <w:tcW w:w="1483" w:type="pct"/>
            <w:hideMark/>
          </w:tcPr>
          <w:p w14:paraId="73A97071" w14:textId="77777777" w:rsidR="00A601EE" w:rsidRPr="00DE5871" w:rsidRDefault="00A601EE" w:rsidP="00EC285A">
            <w:pPr>
              <w:rPr>
                <w:rFonts w:ascii="Arial" w:hAnsi="Arial" w:cs="Arial"/>
              </w:rPr>
            </w:pPr>
            <w:proofErr w:type="spellStart"/>
            <w:r w:rsidRPr="00DE5871">
              <w:rPr>
                <w:rFonts w:ascii="Arial" w:hAnsi="Arial" w:cs="Arial"/>
              </w:rPr>
              <w:t>Beyla</w:t>
            </w:r>
            <w:proofErr w:type="spellEnd"/>
          </w:p>
        </w:tc>
        <w:tc>
          <w:tcPr>
            <w:tcW w:w="1748" w:type="pct"/>
            <w:hideMark/>
          </w:tcPr>
          <w:p w14:paraId="464B9DFB"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5DF874A2" w14:textId="77777777" w:rsidR="00A601EE" w:rsidRPr="00DE5871" w:rsidRDefault="00A601EE" w:rsidP="00807493">
            <w:pPr>
              <w:jc w:val="center"/>
              <w:rPr>
                <w:rFonts w:ascii="Arial" w:hAnsi="Arial" w:cs="Arial"/>
                <w:b/>
                <w:bCs/>
                <w:i/>
                <w:iCs/>
              </w:rPr>
            </w:pPr>
            <w:r w:rsidRPr="00DE5871">
              <w:rPr>
                <w:rFonts w:ascii="Arial" w:hAnsi="Arial" w:cs="Arial"/>
                <w:b/>
                <w:bCs/>
                <w:i/>
                <w:iCs/>
              </w:rPr>
              <w:t>15</w:t>
            </w:r>
          </w:p>
        </w:tc>
      </w:tr>
      <w:tr w:rsidR="00A601EE" w:rsidRPr="00DE5871" w14:paraId="268B9B54" w14:textId="77777777" w:rsidTr="00EC285A">
        <w:trPr>
          <w:trHeight w:val="311"/>
        </w:trPr>
        <w:tc>
          <w:tcPr>
            <w:tcW w:w="295" w:type="pct"/>
            <w:vMerge/>
            <w:hideMark/>
          </w:tcPr>
          <w:p w14:paraId="3D20A034" w14:textId="77777777" w:rsidR="00A601EE" w:rsidRPr="00DE5871" w:rsidRDefault="00A601EE" w:rsidP="00EC285A">
            <w:pPr>
              <w:rPr>
                <w:rFonts w:ascii="Arial" w:hAnsi="Arial" w:cs="Arial"/>
              </w:rPr>
            </w:pPr>
          </w:p>
        </w:tc>
        <w:tc>
          <w:tcPr>
            <w:tcW w:w="683" w:type="pct"/>
            <w:vMerge/>
            <w:hideMark/>
          </w:tcPr>
          <w:p w14:paraId="27AECCE6" w14:textId="77777777" w:rsidR="00A601EE" w:rsidRPr="00DE5871" w:rsidRDefault="00A601EE" w:rsidP="00EC285A">
            <w:pPr>
              <w:rPr>
                <w:rFonts w:ascii="Arial" w:hAnsi="Arial" w:cs="Arial"/>
                <w:b/>
                <w:bCs/>
              </w:rPr>
            </w:pPr>
          </w:p>
        </w:tc>
        <w:tc>
          <w:tcPr>
            <w:tcW w:w="1483" w:type="pct"/>
            <w:hideMark/>
          </w:tcPr>
          <w:p w14:paraId="77F75D81" w14:textId="77777777" w:rsidR="00A601EE" w:rsidRPr="00DE5871" w:rsidRDefault="00A601EE" w:rsidP="00EC285A">
            <w:pPr>
              <w:rPr>
                <w:rFonts w:ascii="Arial" w:hAnsi="Arial" w:cs="Arial"/>
              </w:rPr>
            </w:pPr>
            <w:proofErr w:type="spellStart"/>
            <w:r w:rsidRPr="00DE5871">
              <w:rPr>
                <w:rFonts w:ascii="Arial" w:hAnsi="Arial" w:cs="Arial"/>
              </w:rPr>
              <w:t>Gueckedou</w:t>
            </w:r>
            <w:proofErr w:type="spellEnd"/>
          </w:p>
        </w:tc>
        <w:tc>
          <w:tcPr>
            <w:tcW w:w="1748" w:type="pct"/>
            <w:hideMark/>
          </w:tcPr>
          <w:p w14:paraId="67CB28C7"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77E85180" w14:textId="77777777" w:rsidR="00A601EE" w:rsidRPr="00DE5871" w:rsidRDefault="00A601EE" w:rsidP="00807493">
            <w:pPr>
              <w:jc w:val="center"/>
              <w:rPr>
                <w:rFonts w:ascii="Arial" w:hAnsi="Arial" w:cs="Arial"/>
                <w:b/>
                <w:bCs/>
                <w:i/>
                <w:iCs/>
              </w:rPr>
            </w:pPr>
            <w:r w:rsidRPr="00DE5871">
              <w:rPr>
                <w:rFonts w:ascii="Arial" w:hAnsi="Arial" w:cs="Arial"/>
                <w:b/>
                <w:bCs/>
                <w:i/>
                <w:iCs/>
              </w:rPr>
              <w:t>13</w:t>
            </w:r>
          </w:p>
        </w:tc>
      </w:tr>
      <w:tr w:rsidR="00A601EE" w:rsidRPr="00DE5871" w14:paraId="5BE041DD" w14:textId="77777777" w:rsidTr="00EC285A">
        <w:trPr>
          <w:trHeight w:val="311"/>
        </w:trPr>
        <w:tc>
          <w:tcPr>
            <w:tcW w:w="295" w:type="pct"/>
            <w:vMerge/>
            <w:hideMark/>
          </w:tcPr>
          <w:p w14:paraId="54D2BADC" w14:textId="77777777" w:rsidR="00A601EE" w:rsidRPr="00DE5871" w:rsidRDefault="00A601EE" w:rsidP="00EC285A">
            <w:pPr>
              <w:rPr>
                <w:rFonts w:ascii="Arial" w:hAnsi="Arial" w:cs="Arial"/>
              </w:rPr>
            </w:pPr>
          </w:p>
        </w:tc>
        <w:tc>
          <w:tcPr>
            <w:tcW w:w="683" w:type="pct"/>
            <w:vMerge/>
            <w:hideMark/>
          </w:tcPr>
          <w:p w14:paraId="33575F7E" w14:textId="77777777" w:rsidR="00A601EE" w:rsidRPr="00DE5871" w:rsidRDefault="00A601EE" w:rsidP="00EC285A">
            <w:pPr>
              <w:rPr>
                <w:rFonts w:ascii="Arial" w:hAnsi="Arial" w:cs="Arial"/>
                <w:b/>
                <w:bCs/>
              </w:rPr>
            </w:pPr>
          </w:p>
        </w:tc>
        <w:tc>
          <w:tcPr>
            <w:tcW w:w="1483" w:type="pct"/>
            <w:hideMark/>
          </w:tcPr>
          <w:p w14:paraId="39F728E2" w14:textId="77777777" w:rsidR="00A601EE" w:rsidRPr="00DE5871" w:rsidRDefault="00A601EE" w:rsidP="00EC285A">
            <w:pPr>
              <w:rPr>
                <w:rFonts w:ascii="Arial" w:hAnsi="Arial" w:cs="Arial"/>
              </w:rPr>
            </w:pPr>
            <w:r w:rsidRPr="00DE5871">
              <w:rPr>
                <w:rFonts w:ascii="Arial" w:hAnsi="Arial" w:cs="Arial"/>
              </w:rPr>
              <w:t>Macenta</w:t>
            </w:r>
          </w:p>
        </w:tc>
        <w:tc>
          <w:tcPr>
            <w:tcW w:w="1748" w:type="pct"/>
            <w:hideMark/>
          </w:tcPr>
          <w:p w14:paraId="59E84436"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3E8DAADA" w14:textId="77777777" w:rsidR="00A601EE" w:rsidRPr="00DE5871" w:rsidRDefault="00A601EE" w:rsidP="00807493">
            <w:pPr>
              <w:jc w:val="center"/>
              <w:rPr>
                <w:rFonts w:ascii="Arial" w:hAnsi="Arial" w:cs="Arial"/>
                <w:b/>
                <w:bCs/>
                <w:i/>
                <w:iCs/>
              </w:rPr>
            </w:pPr>
            <w:r w:rsidRPr="00DE5871">
              <w:rPr>
                <w:rFonts w:ascii="Arial" w:hAnsi="Arial" w:cs="Arial"/>
                <w:b/>
                <w:bCs/>
                <w:i/>
                <w:iCs/>
              </w:rPr>
              <w:t>18</w:t>
            </w:r>
          </w:p>
        </w:tc>
      </w:tr>
      <w:tr w:rsidR="00A601EE" w:rsidRPr="00DE5871" w14:paraId="4741298D" w14:textId="77777777" w:rsidTr="00EC285A">
        <w:trPr>
          <w:trHeight w:val="311"/>
        </w:trPr>
        <w:tc>
          <w:tcPr>
            <w:tcW w:w="295" w:type="pct"/>
            <w:vMerge/>
            <w:hideMark/>
          </w:tcPr>
          <w:p w14:paraId="454B9EDD" w14:textId="77777777" w:rsidR="00A601EE" w:rsidRPr="00DE5871" w:rsidRDefault="00A601EE" w:rsidP="00EC285A">
            <w:pPr>
              <w:rPr>
                <w:rFonts w:ascii="Arial" w:hAnsi="Arial" w:cs="Arial"/>
              </w:rPr>
            </w:pPr>
          </w:p>
        </w:tc>
        <w:tc>
          <w:tcPr>
            <w:tcW w:w="683" w:type="pct"/>
            <w:vMerge/>
            <w:hideMark/>
          </w:tcPr>
          <w:p w14:paraId="011A6D7D" w14:textId="77777777" w:rsidR="00A601EE" w:rsidRPr="00DE5871" w:rsidRDefault="00A601EE" w:rsidP="00EC285A">
            <w:pPr>
              <w:rPr>
                <w:rFonts w:ascii="Arial" w:hAnsi="Arial" w:cs="Arial"/>
                <w:b/>
                <w:bCs/>
              </w:rPr>
            </w:pPr>
          </w:p>
        </w:tc>
        <w:tc>
          <w:tcPr>
            <w:tcW w:w="1483" w:type="pct"/>
            <w:hideMark/>
          </w:tcPr>
          <w:p w14:paraId="6DE708C8" w14:textId="77777777" w:rsidR="00A601EE" w:rsidRPr="00DE5871" w:rsidRDefault="00A601EE" w:rsidP="00EC285A">
            <w:pPr>
              <w:rPr>
                <w:rFonts w:ascii="Arial" w:hAnsi="Arial" w:cs="Arial"/>
              </w:rPr>
            </w:pPr>
            <w:r w:rsidRPr="00DE5871">
              <w:rPr>
                <w:rFonts w:ascii="Arial" w:hAnsi="Arial" w:cs="Arial"/>
              </w:rPr>
              <w:t>Lola</w:t>
            </w:r>
          </w:p>
        </w:tc>
        <w:tc>
          <w:tcPr>
            <w:tcW w:w="1748" w:type="pct"/>
            <w:hideMark/>
          </w:tcPr>
          <w:p w14:paraId="5348DF96"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2DB65755" w14:textId="77777777" w:rsidR="00A601EE" w:rsidRPr="00DE5871" w:rsidRDefault="00A601EE" w:rsidP="00807493">
            <w:pPr>
              <w:jc w:val="center"/>
              <w:rPr>
                <w:rFonts w:ascii="Arial" w:hAnsi="Arial" w:cs="Arial"/>
                <w:b/>
                <w:bCs/>
                <w:i/>
                <w:iCs/>
              </w:rPr>
            </w:pPr>
            <w:r w:rsidRPr="00DE5871">
              <w:rPr>
                <w:rFonts w:ascii="Arial" w:hAnsi="Arial" w:cs="Arial"/>
                <w:b/>
                <w:bCs/>
                <w:i/>
                <w:iCs/>
              </w:rPr>
              <w:t>9</w:t>
            </w:r>
          </w:p>
        </w:tc>
      </w:tr>
      <w:tr w:rsidR="00A601EE" w:rsidRPr="00DE5871" w14:paraId="26589261" w14:textId="77777777" w:rsidTr="00EC285A">
        <w:trPr>
          <w:trHeight w:val="311"/>
        </w:trPr>
        <w:tc>
          <w:tcPr>
            <w:tcW w:w="295" w:type="pct"/>
            <w:vMerge/>
            <w:hideMark/>
          </w:tcPr>
          <w:p w14:paraId="29E3DF9D" w14:textId="77777777" w:rsidR="00A601EE" w:rsidRPr="00DE5871" w:rsidRDefault="00A601EE" w:rsidP="00EC285A">
            <w:pPr>
              <w:rPr>
                <w:rFonts w:ascii="Arial" w:hAnsi="Arial" w:cs="Arial"/>
              </w:rPr>
            </w:pPr>
          </w:p>
        </w:tc>
        <w:tc>
          <w:tcPr>
            <w:tcW w:w="683" w:type="pct"/>
            <w:vMerge/>
            <w:hideMark/>
          </w:tcPr>
          <w:p w14:paraId="26065843" w14:textId="77777777" w:rsidR="00A601EE" w:rsidRPr="00DE5871" w:rsidRDefault="00A601EE" w:rsidP="00EC285A">
            <w:pPr>
              <w:rPr>
                <w:rFonts w:ascii="Arial" w:hAnsi="Arial" w:cs="Arial"/>
                <w:b/>
                <w:bCs/>
              </w:rPr>
            </w:pPr>
          </w:p>
        </w:tc>
        <w:tc>
          <w:tcPr>
            <w:tcW w:w="1483" w:type="pct"/>
            <w:hideMark/>
          </w:tcPr>
          <w:p w14:paraId="5C74CE17" w14:textId="77777777" w:rsidR="00A601EE" w:rsidRPr="00DE5871" w:rsidRDefault="00A601EE" w:rsidP="00EC285A">
            <w:pPr>
              <w:rPr>
                <w:rFonts w:ascii="Arial" w:hAnsi="Arial" w:cs="Arial"/>
              </w:rPr>
            </w:pPr>
            <w:r w:rsidRPr="00DE5871">
              <w:rPr>
                <w:rFonts w:ascii="Arial" w:hAnsi="Arial" w:cs="Arial"/>
              </w:rPr>
              <w:t>Yomou</w:t>
            </w:r>
          </w:p>
        </w:tc>
        <w:tc>
          <w:tcPr>
            <w:tcW w:w="1748" w:type="pct"/>
            <w:hideMark/>
          </w:tcPr>
          <w:p w14:paraId="08133AB3" w14:textId="77777777" w:rsidR="00A601EE" w:rsidRPr="00DE5871" w:rsidRDefault="00A601EE" w:rsidP="00807493">
            <w:pPr>
              <w:jc w:val="center"/>
              <w:rPr>
                <w:rFonts w:ascii="Arial" w:hAnsi="Arial" w:cs="Arial"/>
                <w:b/>
                <w:bCs/>
              </w:rPr>
            </w:pPr>
            <w:r w:rsidRPr="00DE5871">
              <w:rPr>
                <w:rFonts w:ascii="Arial" w:hAnsi="Arial" w:cs="Arial"/>
                <w:b/>
                <w:bCs/>
              </w:rPr>
              <w:t>1</w:t>
            </w:r>
          </w:p>
        </w:tc>
        <w:tc>
          <w:tcPr>
            <w:tcW w:w="791" w:type="pct"/>
            <w:hideMark/>
          </w:tcPr>
          <w:p w14:paraId="64BF9F8B" w14:textId="77777777" w:rsidR="00A601EE" w:rsidRPr="00DE5871" w:rsidRDefault="00A601EE" w:rsidP="00807493">
            <w:pPr>
              <w:jc w:val="center"/>
              <w:rPr>
                <w:rFonts w:ascii="Arial" w:hAnsi="Arial" w:cs="Arial"/>
                <w:b/>
                <w:bCs/>
                <w:i/>
                <w:iCs/>
              </w:rPr>
            </w:pPr>
            <w:r w:rsidRPr="00DE5871">
              <w:rPr>
                <w:rFonts w:ascii="Arial" w:hAnsi="Arial" w:cs="Arial"/>
                <w:b/>
                <w:bCs/>
                <w:i/>
                <w:iCs/>
              </w:rPr>
              <w:t>7</w:t>
            </w:r>
          </w:p>
        </w:tc>
      </w:tr>
      <w:tr w:rsidR="00A601EE" w:rsidRPr="00DE5871" w14:paraId="253F67A7" w14:textId="77777777" w:rsidTr="00EC285A">
        <w:trPr>
          <w:trHeight w:val="311"/>
        </w:trPr>
        <w:tc>
          <w:tcPr>
            <w:tcW w:w="295" w:type="pct"/>
            <w:vMerge/>
            <w:hideMark/>
          </w:tcPr>
          <w:p w14:paraId="2EF468E2" w14:textId="77777777" w:rsidR="00A601EE" w:rsidRPr="00DE5871" w:rsidRDefault="00A601EE" w:rsidP="00EC285A">
            <w:pPr>
              <w:rPr>
                <w:rFonts w:ascii="Arial" w:hAnsi="Arial" w:cs="Arial"/>
              </w:rPr>
            </w:pPr>
          </w:p>
        </w:tc>
        <w:tc>
          <w:tcPr>
            <w:tcW w:w="683" w:type="pct"/>
            <w:vMerge/>
            <w:hideMark/>
          </w:tcPr>
          <w:p w14:paraId="7168712D" w14:textId="77777777" w:rsidR="00A601EE" w:rsidRPr="00DE5871" w:rsidRDefault="00A601EE" w:rsidP="00EC285A">
            <w:pPr>
              <w:rPr>
                <w:rFonts w:ascii="Arial" w:hAnsi="Arial" w:cs="Arial"/>
                <w:b/>
                <w:bCs/>
              </w:rPr>
            </w:pPr>
          </w:p>
        </w:tc>
        <w:tc>
          <w:tcPr>
            <w:tcW w:w="1483" w:type="pct"/>
            <w:hideMark/>
          </w:tcPr>
          <w:p w14:paraId="4ECACBB3" w14:textId="77777777" w:rsidR="00A601EE" w:rsidRPr="00DE5871" w:rsidRDefault="00A601EE" w:rsidP="00EC285A">
            <w:pPr>
              <w:rPr>
                <w:rFonts w:ascii="Arial" w:hAnsi="Arial" w:cs="Arial"/>
              </w:rPr>
            </w:pPr>
            <w:r w:rsidRPr="00DE5871">
              <w:rPr>
                <w:rFonts w:ascii="Arial" w:hAnsi="Arial" w:cs="Arial"/>
              </w:rPr>
              <w:t>N'Zérékoré</w:t>
            </w:r>
          </w:p>
        </w:tc>
        <w:tc>
          <w:tcPr>
            <w:tcW w:w="1748" w:type="pct"/>
            <w:hideMark/>
          </w:tcPr>
          <w:p w14:paraId="54F571B6" w14:textId="77777777" w:rsidR="00A601EE" w:rsidRPr="00DE5871" w:rsidRDefault="00A601EE" w:rsidP="00807493">
            <w:pPr>
              <w:jc w:val="center"/>
              <w:rPr>
                <w:rFonts w:ascii="Arial" w:hAnsi="Arial" w:cs="Arial"/>
                <w:b/>
                <w:bCs/>
              </w:rPr>
            </w:pPr>
            <w:r w:rsidRPr="00DE5871">
              <w:rPr>
                <w:rFonts w:ascii="Arial" w:hAnsi="Arial" w:cs="Arial"/>
                <w:b/>
                <w:bCs/>
              </w:rPr>
              <w:t>2</w:t>
            </w:r>
          </w:p>
        </w:tc>
        <w:tc>
          <w:tcPr>
            <w:tcW w:w="791" w:type="pct"/>
            <w:hideMark/>
          </w:tcPr>
          <w:p w14:paraId="67182B3B" w14:textId="77777777" w:rsidR="00A601EE" w:rsidRPr="00DE5871" w:rsidRDefault="00A601EE" w:rsidP="00807493">
            <w:pPr>
              <w:jc w:val="center"/>
              <w:rPr>
                <w:rFonts w:ascii="Arial" w:hAnsi="Arial" w:cs="Arial"/>
                <w:b/>
                <w:bCs/>
                <w:i/>
                <w:iCs/>
              </w:rPr>
            </w:pPr>
            <w:r w:rsidRPr="00DE5871">
              <w:rPr>
                <w:rFonts w:ascii="Arial" w:hAnsi="Arial" w:cs="Arial"/>
                <w:b/>
                <w:bCs/>
                <w:i/>
                <w:iCs/>
              </w:rPr>
              <w:t>18</w:t>
            </w:r>
          </w:p>
        </w:tc>
      </w:tr>
      <w:tr w:rsidR="00A601EE" w:rsidRPr="00DE5871" w14:paraId="3448870C" w14:textId="77777777" w:rsidTr="00EC285A">
        <w:trPr>
          <w:trHeight w:val="311"/>
        </w:trPr>
        <w:tc>
          <w:tcPr>
            <w:tcW w:w="295" w:type="pct"/>
            <w:noWrap/>
            <w:hideMark/>
          </w:tcPr>
          <w:p w14:paraId="0C7836C1" w14:textId="77777777" w:rsidR="00A601EE" w:rsidRPr="00DE5871" w:rsidRDefault="00A601EE" w:rsidP="00EC285A">
            <w:pPr>
              <w:jc w:val="center"/>
              <w:rPr>
                <w:rFonts w:ascii="Calibri" w:hAnsi="Calibri" w:cs="Calibri"/>
                <w:b/>
                <w:bCs/>
              </w:rPr>
            </w:pPr>
            <w:r w:rsidRPr="00DE5871">
              <w:rPr>
                <w:rFonts w:ascii="Calibri" w:hAnsi="Calibri" w:cs="Calibri"/>
                <w:b/>
                <w:bCs/>
              </w:rPr>
              <w:lastRenderedPageBreak/>
              <w:t>Total</w:t>
            </w:r>
          </w:p>
        </w:tc>
        <w:tc>
          <w:tcPr>
            <w:tcW w:w="683" w:type="pct"/>
          </w:tcPr>
          <w:p w14:paraId="7AD94FB8" w14:textId="77777777" w:rsidR="00A601EE" w:rsidRPr="00DE5871" w:rsidRDefault="00A601EE" w:rsidP="00EC285A">
            <w:pPr>
              <w:jc w:val="center"/>
              <w:rPr>
                <w:rFonts w:ascii="Calibri" w:hAnsi="Calibri" w:cs="Calibri"/>
                <w:b/>
                <w:bCs/>
              </w:rPr>
            </w:pPr>
            <w:r w:rsidRPr="00DE5871">
              <w:rPr>
                <w:rFonts w:ascii="Calibri" w:hAnsi="Calibri" w:cs="Calibri"/>
                <w:b/>
                <w:bCs/>
              </w:rPr>
              <w:t>8 Directions régionales de la santé</w:t>
            </w:r>
          </w:p>
        </w:tc>
        <w:tc>
          <w:tcPr>
            <w:tcW w:w="1483" w:type="pct"/>
          </w:tcPr>
          <w:p w14:paraId="7DD43C3A" w14:textId="77777777" w:rsidR="00A601EE" w:rsidRPr="00DE5871" w:rsidRDefault="00A601EE" w:rsidP="00EC285A">
            <w:pPr>
              <w:rPr>
                <w:rFonts w:ascii="Calibri" w:hAnsi="Calibri" w:cs="Calibri"/>
                <w:b/>
                <w:bCs/>
              </w:rPr>
            </w:pPr>
            <w:r w:rsidRPr="00DE5871">
              <w:rPr>
                <w:rFonts w:ascii="Calibri" w:hAnsi="Calibri" w:cs="Calibri"/>
                <w:b/>
                <w:bCs/>
              </w:rPr>
              <w:t>- 33 directions préfectorales de la santé (autres régions hors Conakry)</w:t>
            </w:r>
          </w:p>
          <w:p w14:paraId="52177CF9" w14:textId="77777777" w:rsidR="00A601EE" w:rsidRPr="00DE5871" w:rsidRDefault="00A601EE" w:rsidP="00EC285A">
            <w:pPr>
              <w:rPr>
                <w:rFonts w:ascii="Calibri" w:hAnsi="Calibri" w:cs="Calibri"/>
                <w:b/>
                <w:bCs/>
              </w:rPr>
            </w:pPr>
            <w:r w:rsidRPr="00DE5871">
              <w:rPr>
                <w:rFonts w:ascii="Calibri" w:hAnsi="Calibri" w:cs="Calibri"/>
                <w:b/>
                <w:bCs/>
              </w:rPr>
              <w:t>-  5 directions communales de la santé (Conakry)</w:t>
            </w:r>
          </w:p>
        </w:tc>
        <w:tc>
          <w:tcPr>
            <w:tcW w:w="1748" w:type="pct"/>
            <w:noWrap/>
            <w:hideMark/>
          </w:tcPr>
          <w:p w14:paraId="6A2238B1" w14:textId="77777777" w:rsidR="00A601EE" w:rsidRPr="00DE5871" w:rsidRDefault="00A601EE" w:rsidP="00807493">
            <w:pPr>
              <w:jc w:val="center"/>
              <w:rPr>
                <w:rFonts w:ascii="Calibri" w:hAnsi="Calibri" w:cs="Calibri"/>
                <w:b/>
                <w:bCs/>
              </w:rPr>
            </w:pPr>
            <w:r w:rsidRPr="00DE5871">
              <w:rPr>
                <w:rFonts w:ascii="Calibri" w:hAnsi="Calibri" w:cs="Calibri"/>
                <w:b/>
                <w:bCs/>
              </w:rPr>
              <w:t>49</w:t>
            </w:r>
          </w:p>
        </w:tc>
        <w:tc>
          <w:tcPr>
            <w:tcW w:w="791" w:type="pct"/>
            <w:noWrap/>
            <w:hideMark/>
          </w:tcPr>
          <w:p w14:paraId="3DE5CF25" w14:textId="77777777" w:rsidR="00A601EE" w:rsidRPr="00DE5871" w:rsidRDefault="00A601EE" w:rsidP="00807493">
            <w:pPr>
              <w:jc w:val="center"/>
              <w:rPr>
                <w:rFonts w:ascii="Calibri" w:hAnsi="Calibri" w:cs="Calibri"/>
                <w:b/>
                <w:bCs/>
                <w:i/>
                <w:iCs/>
              </w:rPr>
            </w:pPr>
            <w:r w:rsidRPr="00DE5871">
              <w:rPr>
                <w:rFonts w:ascii="Calibri" w:hAnsi="Calibri" w:cs="Calibri"/>
                <w:b/>
                <w:bCs/>
                <w:i/>
                <w:iCs/>
              </w:rPr>
              <w:t>423</w:t>
            </w:r>
          </w:p>
        </w:tc>
      </w:tr>
    </w:tbl>
    <w:p w14:paraId="5D71B192" w14:textId="77777777" w:rsidR="00A601EE" w:rsidRDefault="00A601EE" w:rsidP="00A601EE">
      <w:pPr>
        <w:spacing w:line="360" w:lineRule="auto"/>
        <w:jc w:val="both"/>
        <w:rPr>
          <w:rFonts w:ascii="Arial" w:eastAsia="Times New Roman" w:hAnsi="Arial" w:cs="Arial"/>
          <w:sz w:val="24"/>
          <w:szCs w:val="24"/>
          <w:lang w:eastAsia="fr-FR"/>
        </w:rPr>
      </w:pPr>
    </w:p>
    <w:p w14:paraId="6DB6228D" w14:textId="49FE6964" w:rsidR="00A601EE" w:rsidRPr="00A601EE" w:rsidRDefault="00682AAD" w:rsidP="00A601EE">
      <w:pPr>
        <w:spacing w:line="360" w:lineRule="auto"/>
        <w:jc w:val="center"/>
        <w:rPr>
          <w:rFonts w:ascii="Arial" w:hAnsi="Arial" w:cs="Arial"/>
          <w:i/>
          <w:iCs/>
          <w:color w:val="44546A" w:themeColor="text2"/>
          <w:sz w:val="24"/>
          <w:szCs w:val="24"/>
        </w:rPr>
      </w:pPr>
      <w:r>
        <w:rPr>
          <w:rFonts w:ascii="Arial" w:hAnsi="Arial" w:cs="Arial"/>
          <w:i/>
          <w:iCs/>
          <w:noProof/>
          <w:color w:val="44546A" w:themeColor="text2"/>
          <w:sz w:val="24"/>
          <w:szCs w:val="24"/>
          <w:lang w:eastAsia="fr-FR"/>
        </w:rPr>
        <w:drawing>
          <wp:inline distT="0" distB="0" distL="0" distR="0" wp14:anchorId="401DECDB" wp14:editId="785B0D5E">
            <wp:extent cx="6146358" cy="5088045"/>
            <wp:effectExtent l="0" t="0" r="63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8">
                      <a:extLst>
                        <a:ext uri="{28A0092B-C50C-407E-A947-70E740481C1C}">
                          <a14:useLocalDpi xmlns:a14="http://schemas.microsoft.com/office/drawing/2010/main" val="0"/>
                        </a:ext>
                      </a:extLst>
                    </a:blip>
                    <a:stretch>
                      <a:fillRect/>
                    </a:stretch>
                  </pic:blipFill>
                  <pic:spPr>
                    <a:xfrm>
                      <a:off x="0" y="0"/>
                      <a:ext cx="6153350" cy="5093833"/>
                    </a:xfrm>
                    <a:prstGeom prst="rect">
                      <a:avLst/>
                    </a:prstGeom>
                  </pic:spPr>
                </pic:pic>
              </a:graphicData>
            </a:graphic>
          </wp:inline>
        </w:drawing>
      </w:r>
    </w:p>
    <w:p w14:paraId="56DD6151" w14:textId="30D35634" w:rsidR="0049293E" w:rsidRDefault="00A601EE" w:rsidP="0049293E">
      <w:bookmarkStart w:id="30" w:name="_Toc94941319"/>
      <w:r w:rsidRPr="00A601EE">
        <w:rPr>
          <w:rFonts w:ascii="Arial" w:hAnsi="Arial" w:cs="Arial"/>
          <w:sz w:val="24"/>
          <w:szCs w:val="24"/>
        </w:rPr>
        <w:t xml:space="preserve">Figure </w:t>
      </w:r>
      <w:r w:rsidRPr="00A601EE">
        <w:rPr>
          <w:rFonts w:ascii="Arial" w:hAnsi="Arial" w:cs="Arial"/>
          <w:sz w:val="24"/>
          <w:szCs w:val="24"/>
        </w:rPr>
        <w:fldChar w:fldCharType="begin"/>
      </w:r>
      <w:r w:rsidRPr="00A601EE">
        <w:rPr>
          <w:rFonts w:ascii="Arial" w:hAnsi="Arial" w:cs="Arial"/>
          <w:sz w:val="24"/>
          <w:szCs w:val="24"/>
        </w:rPr>
        <w:instrText xml:space="preserve"> SEQ Figure \* ARABIC </w:instrText>
      </w:r>
      <w:r w:rsidRPr="00A601EE">
        <w:rPr>
          <w:rFonts w:ascii="Arial" w:hAnsi="Arial" w:cs="Arial"/>
          <w:sz w:val="24"/>
          <w:szCs w:val="24"/>
        </w:rPr>
        <w:fldChar w:fldCharType="separate"/>
      </w:r>
      <w:r w:rsidR="00004163">
        <w:rPr>
          <w:rFonts w:ascii="Arial" w:hAnsi="Arial" w:cs="Arial"/>
          <w:noProof/>
          <w:sz w:val="24"/>
          <w:szCs w:val="24"/>
        </w:rPr>
        <w:t>6</w:t>
      </w:r>
      <w:r w:rsidRPr="00A601EE">
        <w:rPr>
          <w:rFonts w:ascii="Arial" w:hAnsi="Arial" w:cs="Arial"/>
          <w:sz w:val="24"/>
          <w:szCs w:val="24"/>
        </w:rPr>
        <w:fldChar w:fldCharType="end"/>
      </w:r>
      <w:r w:rsidRPr="00A601EE">
        <w:rPr>
          <w:rFonts w:ascii="Arial" w:hAnsi="Arial" w:cs="Arial"/>
          <w:sz w:val="24"/>
          <w:szCs w:val="24"/>
        </w:rPr>
        <w:t> : Architecture réseau d’interconnexion du site primaire au PAV</w:t>
      </w:r>
      <w:bookmarkEnd w:id="30"/>
      <w:r w:rsidRPr="00A601EE">
        <w:rPr>
          <w:rFonts w:ascii="Arial" w:hAnsi="Arial" w:cs="Arial"/>
          <w:sz w:val="24"/>
          <w:szCs w:val="24"/>
        </w:rPr>
        <w:t xml:space="preserve"> </w:t>
      </w:r>
    </w:p>
    <w:p w14:paraId="206B1FE8" w14:textId="77777777" w:rsidR="0049293E" w:rsidRDefault="0049293E" w:rsidP="00842C89">
      <w:pPr>
        <w:pStyle w:val="Caption"/>
        <w:keepNext/>
        <w:jc w:val="both"/>
        <w:rPr>
          <w:rFonts w:ascii="Arial" w:hAnsi="Arial" w:cs="Arial"/>
          <w:sz w:val="24"/>
          <w:szCs w:val="24"/>
        </w:rPr>
        <w:sectPr w:rsidR="0049293E">
          <w:pgSz w:w="11906" w:h="16838"/>
          <w:pgMar w:top="1417" w:right="1417" w:bottom="1417" w:left="1417" w:header="708" w:footer="708" w:gutter="0"/>
          <w:cols w:space="708"/>
          <w:docGrid w:linePitch="360"/>
        </w:sectPr>
      </w:pPr>
    </w:p>
    <w:p w14:paraId="060D9252" w14:textId="21D7FBF4" w:rsidR="00842C89" w:rsidRPr="008324FD" w:rsidRDefault="00842C89" w:rsidP="00842C89">
      <w:pPr>
        <w:pStyle w:val="Caption"/>
        <w:keepNext/>
        <w:jc w:val="both"/>
        <w:rPr>
          <w:rFonts w:ascii="Arial" w:hAnsi="Arial" w:cs="Arial"/>
          <w:sz w:val="24"/>
          <w:szCs w:val="24"/>
        </w:rPr>
      </w:pPr>
      <w:bookmarkStart w:id="31" w:name="_Toc99467011"/>
      <w:r w:rsidRPr="008324FD">
        <w:rPr>
          <w:rFonts w:ascii="Arial" w:hAnsi="Arial" w:cs="Arial"/>
          <w:sz w:val="24"/>
          <w:szCs w:val="24"/>
        </w:rPr>
        <w:lastRenderedPageBreak/>
        <w:t xml:space="preserve">Tableau </w:t>
      </w:r>
      <w:r w:rsidRPr="008324FD">
        <w:rPr>
          <w:rFonts w:ascii="Arial" w:hAnsi="Arial" w:cs="Arial"/>
          <w:sz w:val="24"/>
          <w:szCs w:val="24"/>
        </w:rPr>
        <w:fldChar w:fldCharType="begin"/>
      </w:r>
      <w:r w:rsidRPr="008324FD">
        <w:rPr>
          <w:rFonts w:ascii="Arial" w:hAnsi="Arial" w:cs="Arial"/>
          <w:sz w:val="24"/>
          <w:szCs w:val="24"/>
        </w:rPr>
        <w:instrText xml:space="preserve"> SEQ Tableau \* ARABIC </w:instrText>
      </w:r>
      <w:r w:rsidRPr="008324FD">
        <w:rPr>
          <w:rFonts w:ascii="Arial" w:hAnsi="Arial" w:cs="Arial"/>
          <w:sz w:val="24"/>
          <w:szCs w:val="24"/>
        </w:rPr>
        <w:fldChar w:fldCharType="separate"/>
      </w:r>
      <w:r w:rsidR="007F117B">
        <w:rPr>
          <w:rFonts w:ascii="Arial" w:hAnsi="Arial" w:cs="Arial"/>
          <w:noProof/>
          <w:sz w:val="24"/>
          <w:szCs w:val="24"/>
        </w:rPr>
        <w:t>8</w:t>
      </w:r>
      <w:r w:rsidRPr="008324FD">
        <w:rPr>
          <w:rFonts w:ascii="Arial" w:hAnsi="Arial" w:cs="Arial"/>
          <w:sz w:val="24"/>
          <w:szCs w:val="24"/>
        </w:rPr>
        <w:fldChar w:fldCharType="end"/>
      </w:r>
      <w:r w:rsidRPr="008324FD">
        <w:rPr>
          <w:rFonts w:ascii="Arial" w:hAnsi="Arial" w:cs="Arial"/>
          <w:sz w:val="24"/>
          <w:szCs w:val="24"/>
        </w:rPr>
        <w:t xml:space="preserve"> : Estimation financière pour l’interconnexion des sites de </w:t>
      </w:r>
      <w:r w:rsidR="008324FD" w:rsidRPr="008324FD">
        <w:rPr>
          <w:rFonts w:ascii="Arial" w:hAnsi="Arial" w:cs="Arial"/>
          <w:sz w:val="24"/>
          <w:szCs w:val="24"/>
        </w:rPr>
        <w:t xml:space="preserve">la </w:t>
      </w:r>
      <w:r w:rsidRPr="008324FD">
        <w:rPr>
          <w:rFonts w:ascii="Arial" w:hAnsi="Arial" w:cs="Arial"/>
          <w:sz w:val="24"/>
          <w:szCs w:val="24"/>
        </w:rPr>
        <w:t>première phase</w:t>
      </w:r>
      <w:bookmarkEnd w:id="31"/>
      <w:r w:rsidRPr="008324FD">
        <w:rPr>
          <w:rFonts w:ascii="Arial" w:hAnsi="Arial" w:cs="Arial"/>
          <w:sz w:val="24"/>
          <w:szCs w:val="24"/>
        </w:rPr>
        <w:t xml:space="preserve"> </w:t>
      </w:r>
    </w:p>
    <w:tbl>
      <w:tblPr>
        <w:tblStyle w:val="TableGrid"/>
        <w:tblW w:w="5319" w:type="pct"/>
        <w:tblInd w:w="-431" w:type="dxa"/>
        <w:tblLayout w:type="fixed"/>
        <w:tblLook w:val="04A0" w:firstRow="1" w:lastRow="0" w:firstColumn="1" w:lastColumn="0" w:noHBand="0" w:noVBand="1"/>
      </w:tblPr>
      <w:tblGrid>
        <w:gridCol w:w="1919"/>
        <w:gridCol w:w="2769"/>
        <w:gridCol w:w="1107"/>
        <w:gridCol w:w="1799"/>
        <w:gridCol w:w="2046"/>
      </w:tblGrid>
      <w:tr w:rsidR="00EB6444" w:rsidRPr="00807493" w14:paraId="4EEC8FB3" w14:textId="77777777" w:rsidTr="00481B4A">
        <w:trPr>
          <w:trHeight w:val="320"/>
        </w:trPr>
        <w:tc>
          <w:tcPr>
            <w:tcW w:w="996" w:type="pct"/>
            <w:shd w:val="clear" w:color="auto" w:fill="FBE4D5" w:themeFill="accent2" w:themeFillTint="33"/>
            <w:noWrap/>
            <w:hideMark/>
          </w:tcPr>
          <w:p w14:paraId="0FDE32C5" w14:textId="77777777" w:rsidR="00842C89" w:rsidRPr="00807493" w:rsidRDefault="00842C89" w:rsidP="00842C89">
            <w:pPr>
              <w:jc w:val="center"/>
              <w:rPr>
                <w:rFonts w:ascii="Calibri" w:hAnsi="Calibri" w:cs="Calibri"/>
                <w:b/>
                <w:bCs/>
                <w:color w:val="000000"/>
                <w:sz w:val="24"/>
                <w:szCs w:val="24"/>
              </w:rPr>
            </w:pPr>
            <w:r w:rsidRPr="00807493">
              <w:rPr>
                <w:rFonts w:ascii="Calibri" w:hAnsi="Calibri" w:cs="Calibri"/>
                <w:b/>
                <w:bCs/>
                <w:color w:val="000000"/>
                <w:sz w:val="24"/>
                <w:szCs w:val="24"/>
              </w:rPr>
              <w:t>Code</w:t>
            </w:r>
          </w:p>
        </w:tc>
        <w:tc>
          <w:tcPr>
            <w:tcW w:w="1436" w:type="pct"/>
            <w:shd w:val="clear" w:color="auto" w:fill="FBE4D5" w:themeFill="accent2" w:themeFillTint="33"/>
            <w:noWrap/>
            <w:hideMark/>
          </w:tcPr>
          <w:p w14:paraId="5A4E65E3" w14:textId="77777777" w:rsidR="00842C89" w:rsidRPr="00807493" w:rsidRDefault="00842C89" w:rsidP="00842C89">
            <w:pPr>
              <w:jc w:val="center"/>
              <w:rPr>
                <w:rFonts w:ascii="Calibri" w:hAnsi="Calibri" w:cs="Calibri"/>
                <w:b/>
                <w:bCs/>
                <w:color w:val="000000"/>
                <w:sz w:val="24"/>
                <w:szCs w:val="24"/>
              </w:rPr>
            </w:pPr>
            <w:r w:rsidRPr="00807493">
              <w:rPr>
                <w:rFonts w:ascii="Calibri" w:hAnsi="Calibri" w:cs="Calibri"/>
                <w:b/>
                <w:bCs/>
                <w:color w:val="000000"/>
                <w:sz w:val="24"/>
                <w:szCs w:val="24"/>
              </w:rPr>
              <w:t>Description</w:t>
            </w:r>
          </w:p>
        </w:tc>
        <w:tc>
          <w:tcPr>
            <w:tcW w:w="574" w:type="pct"/>
            <w:shd w:val="clear" w:color="auto" w:fill="FBE4D5" w:themeFill="accent2" w:themeFillTint="33"/>
            <w:noWrap/>
            <w:hideMark/>
          </w:tcPr>
          <w:p w14:paraId="0CA7A9C2" w14:textId="77777777" w:rsidR="00842C89" w:rsidRPr="00807493" w:rsidRDefault="00842C89" w:rsidP="00842C89">
            <w:pPr>
              <w:jc w:val="center"/>
              <w:rPr>
                <w:rFonts w:ascii="Calibri" w:hAnsi="Calibri" w:cs="Calibri"/>
                <w:b/>
                <w:bCs/>
                <w:color w:val="000000"/>
                <w:sz w:val="24"/>
                <w:szCs w:val="24"/>
              </w:rPr>
            </w:pPr>
            <w:r w:rsidRPr="00807493">
              <w:rPr>
                <w:rFonts w:ascii="Calibri" w:hAnsi="Calibri" w:cs="Calibri"/>
                <w:b/>
                <w:bCs/>
                <w:color w:val="000000"/>
                <w:sz w:val="24"/>
                <w:szCs w:val="24"/>
              </w:rPr>
              <w:t>Quantité</w:t>
            </w:r>
          </w:p>
        </w:tc>
        <w:tc>
          <w:tcPr>
            <w:tcW w:w="933" w:type="pct"/>
            <w:shd w:val="clear" w:color="auto" w:fill="FBE4D5" w:themeFill="accent2" w:themeFillTint="33"/>
            <w:noWrap/>
            <w:hideMark/>
          </w:tcPr>
          <w:p w14:paraId="1728275C" w14:textId="1A266954" w:rsidR="00842C89" w:rsidRPr="00807493" w:rsidRDefault="00842C89" w:rsidP="00842C89">
            <w:pPr>
              <w:jc w:val="center"/>
              <w:rPr>
                <w:rFonts w:ascii="Calibri" w:hAnsi="Calibri" w:cs="Calibri"/>
                <w:b/>
                <w:bCs/>
                <w:color w:val="000000"/>
                <w:sz w:val="24"/>
                <w:szCs w:val="24"/>
              </w:rPr>
            </w:pPr>
            <w:r w:rsidRPr="00807493">
              <w:rPr>
                <w:rFonts w:ascii="Calibri" w:hAnsi="Calibri" w:cs="Calibri"/>
                <w:b/>
                <w:bCs/>
                <w:color w:val="000000"/>
                <w:sz w:val="24"/>
                <w:szCs w:val="24"/>
              </w:rPr>
              <w:t>Coût unitaire HT</w:t>
            </w:r>
            <w:r w:rsidR="0049293E" w:rsidRPr="00807493">
              <w:rPr>
                <w:rFonts w:ascii="Calibri" w:hAnsi="Calibri" w:cs="Calibri"/>
                <w:b/>
                <w:bCs/>
                <w:color w:val="000000"/>
                <w:sz w:val="24"/>
                <w:szCs w:val="24"/>
              </w:rPr>
              <w:t xml:space="preserve"> (GNF) </w:t>
            </w:r>
          </w:p>
        </w:tc>
        <w:tc>
          <w:tcPr>
            <w:tcW w:w="1061" w:type="pct"/>
            <w:shd w:val="clear" w:color="auto" w:fill="FBE4D5" w:themeFill="accent2" w:themeFillTint="33"/>
            <w:noWrap/>
            <w:hideMark/>
          </w:tcPr>
          <w:p w14:paraId="7A7AAA84" w14:textId="7294AD86" w:rsidR="00842C89" w:rsidRPr="00807493" w:rsidRDefault="00842C89" w:rsidP="00842C89">
            <w:pPr>
              <w:jc w:val="center"/>
              <w:rPr>
                <w:rFonts w:ascii="Calibri" w:hAnsi="Calibri" w:cs="Calibri"/>
                <w:b/>
                <w:bCs/>
                <w:color w:val="000000"/>
                <w:sz w:val="24"/>
                <w:szCs w:val="24"/>
              </w:rPr>
            </w:pPr>
            <w:r w:rsidRPr="00807493">
              <w:rPr>
                <w:rFonts w:ascii="Calibri" w:hAnsi="Calibri" w:cs="Calibri"/>
                <w:b/>
                <w:bCs/>
                <w:color w:val="000000"/>
                <w:sz w:val="24"/>
                <w:szCs w:val="24"/>
              </w:rPr>
              <w:t xml:space="preserve"> Total HT</w:t>
            </w:r>
            <w:r w:rsidR="0049293E" w:rsidRPr="00807493">
              <w:rPr>
                <w:rFonts w:ascii="Calibri" w:hAnsi="Calibri" w:cs="Calibri"/>
                <w:b/>
                <w:bCs/>
                <w:color w:val="000000"/>
                <w:sz w:val="24"/>
                <w:szCs w:val="24"/>
              </w:rPr>
              <w:t xml:space="preserve"> (GNF) </w:t>
            </w:r>
          </w:p>
        </w:tc>
      </w:tr>
      <w:tr w:rsidR="00481B4A" w:rsidRPr="00842C89" w14:paraId="145AD47E" w14:textId="77777777" w:rsidTr="00481B4A">
        <w:trPr>
          <w:trHeight w:val="1760"/>
        </w:trPr>
        <w:tc>
          <w:tcPr>
            <w:tcW w:w="996" w:type="pct"/>
            <w:vMerge w:val="restart"/>
            <w:vAlign w:val="center"/>
            <w:hideMark/>
          </w:tcPr>
          <w:p w14:paraId="6451A8B5" w14:textId="37DC6E6E" w:rsidR="00481B4A" w:rsidRPr="00842C89" w:rsidRDefault="00481B4A" w:rsidP="00481B4A">
            <w:pPr>
              <w:jc w:val="center"/>
              <w:rPr>
                <w:rFonts w:ascii="Calibri" w:hAnsi="Calibri" w:cs="Calibri"/>
                <w:color w:val="000000"/>
                <w:sz w:val="24"/>
                <w:szCs w:val="24"/>
              </w:rPr>
            </w:pPr>
            <w:r w:rsidRPr="00842C89">
              <w:rPr>
                <w:rFonts w:ascii="Calibri" w:hAnsi="Calibri" w:cs="Calibri"/>
                <w:color w:val="000000"/>
                <w:sz w:val="24"/>
                <w:szCs w:val="24"/>
              </w:rPr>
              <w:t xml:space="preserve">Frais </w:t>
            </w:r>
            <w:r>
              <w:rPr>
                <w:rFonts w:ascii="Calibri" w:hAnsi="Calibri" w:cs="Calibri"/>
                <w:color w:val="000000"/>
                <w:sz w:val="24"/>
                <w:szCs w:val="24"/>
              </w:rPr>
              <w:t>interconnexion</w:t>
            </w:r>
          </w:p>
        </w:tc>
        <w:tc>
          <w:tcPr>
            <w:tcW w:w="1436" w:type="pct"/>
            <w:hideMark/>
          </w:tcPr>
          <w:p w14:paraId="2BC20A10" w14:textId="3608D305" w:rsidR="00481B4A" w:rsidRPr="00842C89" w:rsidRDefault="00481B4A" w:rsidP="00481B4A">
            <w:pPr>
              <w:rPr>
                <w:rFonts w:ascii="Calibri" w:hAnsi="Calibri" w:cs="Calibri"/>
                <w:color w:val="000000"/>
                <w:sz w:val="24"/>
                <w:szCs w:val="24"/>
              </w:rPr>
            </w:pPr>
            <w:r w:rsidRPr="00481B4A">
              <w:rPr>
                <w:rFonts w:ascii="Verdana" w:hAnsi="Verdana" w:cs="Verdana"/>
                <w:color w:val="000000"/>
              </w:rPr>
              <w:t xml:space="preserve">Redevance mensuelle Internet de 10M10M mutualisé </w:t>
            </w:r>
          </w:p>
        </w:tc>
        <w:tc>
          <w:tcPr>
            <w:tcW w:w="574" w:type="pct"/>
            <w:noWrap/>
            <w:hideMark/>
          </w:tcPr>
          <w:p w14:paraId="4E08C747" w14:textId="5F11CF16"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lang w:val="en-US"/>
              </w:rPr>
              <w:t xml:space="preserve">01 </w:t>
            </w:r>
          </w:p>
        </w:tc>
        <w:tc>
          <w:tcPr>
            <w:tcW w:w="933" w:type="pct"/>
            <w:noWrap/>
            <w:hideMark/>
          </w:tcPr>
          <w:p w14:paraId="41D1C2DD" w14:textId="1259696A"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lang w:val="en-US"/>
              </w:rPr>
              <w:t xml:space="preserve">60 000 000 GNF </w:t>
            </w:r>
          </w:p>
        </w:tc>
        <w:tc>
          <w:tcPr>
            <w:tcW w:w="1061" w:type="pct"/>
            <w:noWrap/>
            <w:hideMark/>
          </w:tcPr>
          <w:p w14:paraId="272D6A7C" w14:textId="76429202"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sz w:val="23"/>
                <w:szCs w:val="23"/>
                <w:lang w:val="en-US"/>
              </w:rPr>
              <w:t xml:space="preserve">60 000 000 GNF </w:t>
            </w:r>
          </w:p>
        </w:tc>
      </w:tr>
      <w:tr w:rsidR="00481B4A" w:rsidRPr="00842C89" w14:paraId="29EBFC7C" w14:textId="77777777" w:rsidTr="00481B4A">
        <w:trPr>
          <w:trHeight w:val="1760"/>
        </w:trPr>
        <w:tc>
          <w:tcPr>
            <w:tcW w:w="996" w:type="pct"/>
            <w:vMerge/>
            <w:vAlign w:val="center"/>
          </w:tcPr>
          <w:p w14:paraId="3817FE36" w14:textId="77777777" w:rsidR="00481B4A" w:rsidRPr="00842C89" w:rsidRDefault="00481B4A" w:rsidP="00481B4A">
            <w:pPr>
              <w:jc w:val="center"/>
              <w:rPr>
                <w:rFonts w:ascii="Calibri" w:hAnsi="Calibri" w:cs="Calibri"/>
                <w:color w:val="000000"/>
                <w:sz w:val="24"/>
                <w:szCs w:val="24"/>
              </w:rPr>
            </w:pPr>
          </w:p>
        </w:tc>
        <w:tc>
          <w:tcPr>
            <w:tcW w:w="1436" w:type="pct"/>
          </w:tcPr>
          <w:p w14:paraId="0B802301" w14:textId="5E6C5CCC" w:rsidR="00481B4A" w:rsidRPr="00842C89" w:rsidRDefault="00481B4A" w:rsidP="00481B4A">
            <w:pPr>
              <w:rPr>
                <w:rFonts w:ascii="Calibri" w:hAnsi="Calibri" w:cs="Calibri"/>
                <w:color w:val="000000"/>
                <w:sz w:val="24"/>
                <w:szCs w:val="24"/>
              </w:rPr>
            </w:pPr>
            <w:r w:rsidRPr="00481B4A">
              <w:rPr>
                <w:rFonts w:ascii="Verdana" w:hAnsi="Verdana" w:cs="Verdana"/>
                <w:color w:val="000000"/>
              </w:rPr>
              <w:t xml:space="preserve">Redevance mensuelle VPN des 95 sites distants avec un débit de 2M2M + 2 liens Backup </w:t>
            </w:r>
          </w:p>
        </w:tc>
        <w:tc>
          <w:tcPr>
            <w:tcW w:w="574" w:type="pct"/>
            <w:noWrap/>
          </w:tcPr>
          <w:p w14:paraId="4DCB987B" w14:textId="7B5CEAA5"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lang w:val="en-US"/>
              </w:rPr>
              <w:t xml:space="preserve">97 </w:t>
            </w:r>
          </w:p>
        </w:tc>
        <w:tc>
          <w:tcPr>
            <w:tcW w:w="933" w:type="pct"/>
            <w:noWrap/>
          </w:tcPr>
          <w:p w14:paraId="16A58C97" w14:textId="36A2C4D6"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lang w:val="en-US"/>
              </w:rPr>
              <w:t xml:space="preserve">2 900 000 GNF </w:t>
            </w:r>
          </w:p>
        </w:tc>
        <w:tc>
          <w:tcPr>
            <w:tcW w:w="1061" w:type="pct"/>
            <w:noWrap/>
          </w:tcPr>
          <w:p w14:paraId="680F3187" w14:textId="1D661A30"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sz w:val="23"/>
                <w:szCs w:val="23"/>
                <w:lang w:val="en-US"/>
              </w:rPr>
              <w:t xml:space="preserve">281 600 000 GNF </w:t>
            </w:r>
          </w:p>
        </w:tc>
      </w:tr>
      <w:tr w:rsidR="00481B4A" w:rsidRPr="00842C89" w14:paraId="4C83D894" w14:textId="77777777" w:rsidTr="00481B4A">
        <w:trPr>
          <w:trHeight w:val="1760"/>
        </w:trPr>
        <w:tc>
          <w:tcPr>
            <w:tcW w:w="996" w:type="pct"/>
            <w:vMerge/>
            <w:vAlign w:val="center"/>
          </w:tcPr>
          <w:p w14:paraId="0E5472E2" w14:textId="77777777" w:rsidR="00481B4A" w:rsidRPr="00842C89" w:rsidRDefault="00481B4A" w:rsidP="00481B4A">
            <w:pPr>
              <w:jc w:val="center"/>
              <w:rPr>
                <w:rFonts w:ascii="Calibri" w:hAnsi="Calibri" w:cs="Calibri"/>
                <w:color w:val="000000"/>
                <w:sz w:val="24"/>
                <w:szCs w:val="24"/>
              </w:rPr>
            </w:pPr>
          </w:p>
        </w:tc>
        <w:tc>
          <w:tcPr>
            <w:tcW w:w="1436" w:type="pct"/>
          </w:tcPr>
          <w:p w14:paraId="58C7F4AF" w14:textId="7FF34CE4" w:rsidR="00481B4A" w:rsidRPr="00481B4A" w:rsidRDefault="00481B4A" w:rsidP="00481B4A">
            <w:pPr>
              <w:rPr>
                <w:rFonts w:ascii="Verdana" w:hAnsi="Verdana" w:cs="Verdana"/>
                <w:color w:val="000000"/>
              </w:rPr>
            </w:pPr>
            <w:r w:rsidRPr="00481B4A">
              <w:rPr>
                <w:rFonts w:ascii="Times New Roman" w:hAnsi="Times New Roman"/>
                <w:color w:val="000000"/>
                <w:sz w:val="23"/>
                <w:szCs w:val="23"/>
              </w:rPr>
              <w:t>Redevance mensuelle pour une baie de 42 U</w:t>
            </w:r>
          </w:p>
        </w:tc>
        <w:tc>
          <w:tcPr>
            <w:tcW w:w="574" w:type="pct"/>
            <w:noWrap/>
          </w:tcPr>
          <w:p w14:paraId="0A02BA57" w14:textId="33D9BFC3" w:rsidR="00481B4A" w:rsidRPr="00481B4A" w:rsidRDefault="00481B4A" w:rsidP="00481B4A">
            <w:pPr>
              <w:jc w:val="center"/>
              <w:rPr>
                <w:rFonts w:ascii="Helvetica" w:hAnsi="Helvetica" w:cs="Helvetica"/>
                <w:color w:val="000000"/>
                <w:lang w:val="en-US"/>
              </w:rPr>
            </w:pPr>
            <w:r w:rsidRPr="00481B4A">
              <w:rPr>
                <w:rFonts w:ascii="Helvetica" w:hAnsi="Helvetica" w:cs="Helvetica"/>
                <w:color w:val="000000"/>
                <w:lang w:val="en-US"/>
              </w:rPr>
              <w:t xml:space="preserve">01 </w:t>
            </w:r>
          </w:p>
        </w:tc>
        <w:tc>
          <w:tcPr>
            <w:tcW w:w="933" w:type="pct"/>
            <w:noWrap/>
          </w:tcPr>
          <w:p w14:paraId="25B34A23" w14:textId="439E7C46" w:rsidR="00481B4A" w:rsidRPr="00481B4A" w:rsidRDefault="00481B4A" w:rsidP="00481B4A">
            <w:pPr>
              <w:jc w:val="center"/>
              <w:rPr>
                <w:rFonts w:ascii="Helvetica" w:hAnsi="Helvetica" w:cs="Helvetica"/>
                <w:color w:val="000000"/>
                <w:lang w:val="en-US"/>
              </w:rPr>
            </w:pPr>
            <w:r w:rsidRPr="00481B4A">
              <w:rPr>
                <w:rFonts w:ascii="Helvetica" w:hAnsi="Helvetica" w:cs="Helvetica"/>
                <w:color w:val="000000"/>
                <w:lang w:val="en-US"/>
              </w:rPr>
              <w:t xml:space="preserve">17 500 000 GNF </w:t>
            </w:r>
          </w:p>
        </w:tc>
        <w:tc>
          <w:tcPr>
            <w:tcW w:w="1061" w:type="pct"/>
            <w:noWrap/>
          </w:tcPr>
          <w:p w14:paraId="6A2FF2D6" w14:textId="32125A81" w:rsidR="00481B4A" w:rsidRPr="00481B4A" w:rsidRDefault="00481B4A" w:rsidP="00481B4A">
            <w:pPr>
              <w:jc w:val="center"/>
              <w:rPr>
                <w:rFonts w:ascii="Helvetica" w:hAnsi="Helvetica" w:cs="Helvetica"/>
                <w:color w:val="000000"/>
                <w:sz w:val="23"/>
                <w:szCs w:val="23"/>
                <w:lang w:val="en-US"/>
              </w:rPr>
            </w:pPr>
            <w:r w:rsidRPr="00481B4A">
              <w:rPr>
                <w:rFonts w:ascii="Helvetica" w:hAnsi="Helvetica" w:cs="Helvetica"/>
                <w:color w:val="000000"/>
                <w:sz w:val="23"/>
                <w:szCs w:val="23"/>
                <w:lang w:val="en-US"/>
              </w:rPr>
              <w:t xml:space="preserve">17 500 000 GNF </w:t>
            </w:r>
          </w:p>
        </w:tc>
      </w:tr>
      <w:tr w:rsidR="00481B4A" w:rsidRPr="00842C89" w14:paraId="12D37843" w14:textId="77777777" w:rsidTr="00481B4A">
        <w:trPr>
          <w:trHeight w:val="1760"/>
        </w:trPr>
        <w:tc>
          <w:tcPr>
            <w:tcW w:w="996" w:type="pct"/>
            <w:vMerge/>
            <w:vAlign w:val="center"/>
          </w:tcPr>
          <w:p w14:paraId="137FBB3B" w14:textId="77777777" w:rsidR="00481B4A" w:rsidRPr="00842C89" w:rsidRDefault="00481B4A" w:rsidP="00481B4A">
            <w:pPr>
              <w:jc w:val="center"/>
              <w:rPr>
                <w:rFonts w:ascii="Calibri" w:hAnsi="Calibri" w:cs="Calibri"/>
                <w:color w:val="000000"/>
                <w:sz w:val="24"/>
                <w:szCs w:val="24"/>
              </w:rPr>
            </w:pPr>
          </w:p>
        </w:tc>
        <w:tc>
          <w:tcPr>
            <w:tcW w:w="1436" w:type="pct"/>
          </w:tcPr>
          <w:p w14:paraId="263E75B7" w14:textId="2E34172F" w:rsidR="00481B4A" w:rsidRPr="00842C89" w:rsidRDefault="00481B4A" w:rsidP="00481B4A">
            <w:pPr>
              <w:rPr>
                <w:rFonts w:ascii="Calibri" w:hAnsi="Calibri" w:cs="Calibri"/>
                <w:color w:val="000000"/>
                <w:sz w:val="24"/>
                <w:szCs w:val="24"/>
              </w:rPr>
            </w:pPr>
            <w:r w:rsidRPr="00481B4A">
              <w:rPr>
                <w:rFonts w:ascii="Helvetica" w:hAnsi="Helvetica" w:cs="Helvetica"/>
                <w:color w:val="000000"/>
                <w:sz w:val="23"/>
                <w:szCs w:val="23"/>
              </w:rPr>
              <w:t>Redevance Mensuelle info gérance/ Support sécurité RX et admin système 24h/24h 7j/7j</w:t>
            </w:r>
          </w:p>
        </w:tc>
        <w:tc>
          <w:tcPr>
            <w:tcW w:w="574" w:type="pct"/>
            <w:noWrap/>
          </w:tcPr>
          <w:p w14:paraId="4536B88F" w14:textId="1F6A3D25"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lang w:val="en-US"/>
              </w:rPr>
              <w:t xml:space="preserve">01 </w:t>
            </w:r>
          </w:p>
        </w:tc>
        <w:tc>
          <w:tcPr>
            <w:tcW w:w="933" w:type="pct"/>
            <w:noWrap/>
          </w:tcPr>
          <w:p w14:paraId="5F531FF0" w14:textId="49B86A77"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lang w:val="en-US"/>
              </w:rPr>
              <w:t xml:space="preserve">35 000 000 GNF </w:t>
            </w:r>
          </w:p>
        </w:tc>
        <w:tc>
          <w:tcPr>
            <w:tcW w:w="1061" w:type="pct"/>
            <w:noWrap/>
          </w:tcPr>
          <w:p w14:paraId="12FD19CD" w14:textId="42D92FA5" w:rsidR="00481B4A" w:rsidRPr="00842C89" w:rsidRDefault="00481B4A" w:rsidP="00481B4A">
            <w:pPr>
              <w:jc w:val="center"/>
              <w:rPr>
                <w:rFonts w:ascii="Calibri" w:hAnsi="Calibri" w:cs="Calibri"/>
                <w:color w:val="000000"/>
                <w:sz w:val="24"/>
                <w:szCs w:val="24"/>
              </w:rPr>
            </w:pPr>
            <w:r w:rsidRPr="00481B4A">
              <w:rPr>
                <w:rFonts w:ascii="Helvetica" w:hAnsi="Helvetica" w:cs="Helvetica"/>
                <w:color w:val="000000"/>
                <w:sz w:val="23"/>
                <w:szCs w:val="23"/>
                <w:lang w:val="en-US"/>
              </w:rPr>
              <w:t xml:space="preserve">35 000 000 GNF </w:t>
            </w:r>
          </w:p>
        </w:tc>
      </w:tr>
      <w:tr w:rsidR="00481B4A" w:rsidRPr="00842C89" w14:paraId="1A73E1CE" w14:textId="77777777" w:rsidTr="00481B4A">
        <w:trPr>
          <w:trHeight w:val="320"/>
        </w:trPr>
        <w:tc>
          <w:tcPr>
            <w:tcW w:w="996" w:type="pct"/>
            <w:hideMark/>
          </w:tcPr>
          <w:p w14:paraId="4E066DAB" w14:textId="77777777" w:rsidR="00481B4A" w:rsidRPr="00842C89" w:rsidRDefault="00481B4A" w:rsidP="00481B4A">
            <w:pPr>
              <w:rPr>
                <w:rFonts w:ascii="Calibri" w:hAnsi="Calibri" w:cs="Calibri"/>
                <w:color w:val="000000"/>
                <w:sz w:val="24"/>
                <w:szCs w:val="24"/>
              </w:rPr>
            </w:pPr>
          </w:p>
        </w:tc>
        <w:tc>
          <w:tcPr>
            <w:tcW w:w="2942" w:type="pct"/>
            <w:gridSpan w:val="3"/>
            <w:shd w:val="clear" w:color="auto" w:fill="C5E0B3" w:themeFill="accent6" w:themeFillTint="66"/>
            <w:hideMark/>
          </w:tcPr>
          <w:p w14:paraId="67AA131C" w14:textId="56AD0B23" w:rsidR="00481B4A" w:rsidRPr="00807493" w:rsidRDefault="00481B4A" w:rsidP="00481B4A">
            <w:pPr>
              <w:jc w:val="center"/>
              <w:rPr>
                <w:rFonts w:ascii="Calibri" w:hAnsi="Calibri" w:cs="Calibri"/>
                <w:b/>
                <w:bCs/>
                <w:color w:val="000000"/>
                <w:sz w:val="24"/>
                <w:szCs w:val="24"/>
              </w:rPr>
            </w:pPr>
            <w:r w:rsidRPr="00807493">
              <w:rPr>
                <w:rFonts w:ascii="Calibri" w:hAnsi="Calibri" w:cs="Calibri"/>
                <w:b/>
                <w:bCs/>
                <w:color w:val="000000"/>
                <w:sz w:val="24"/>
                <w:szCs w:val="24"/>
              </w:rPr>
              <w:t xml:space="preserve">Total frais </w:t>
            </w:r>
            <w:proofErr w:type="spellStart"/>
            <w:r>
              <w:rPr>
                <w:rFonts w:ascii="Calibri" w:hAnsi="Calibri" w:cs="Calibri"/>
                <w:b/>
                <w:bCs/>
                <w:color w:val="000000"/>
                <w:sz w:val="24"/>
                <w:szCs w:val="24"/>
              </w:rPr>
              <w:t>interconexion</w:t>
            </w:r>
            <w:proofErr w:type="spellEnd"/>
          </w:p>
        </w:tc>
        <w:tc>
          <w:tcPr>
            <w:tcW w:w="1061" w:type="pct"/>
            <w:shd w:val="clear" w:color="auto" w:fill="C5E0B3" w:themeFill="accent6" w:themeFillTint="66"/>
            <w:noWrap/>
            <w:hideMark/>
          </w:tcPr>
          <w:p w14:paraId="02ABF8C9" w14:textId="0A616C58" w:rsidR="00481B4A" w:rsidRPr="00481B4A" w:rsidRDefault="00481B4A" w:rsidP="00481B4A">
            <w:pPr>
              <w:rPr>
                <w:rFonts w:ascii="Calibri" w:hAnsi="Calibri" w:cs="Calibri"/>
                <w:b/>
                <w:bCs/>
                <w:color w:val="000000"/>
                <w:sz w:val="24"/>
                <w:szCs w:val="24"/>
              </w:rPr>
            </w:pPr>
            <w:r w:rsidRPr="00481B4A">
              <w:rPr>
                <w:rFonts w:ascii="Helvetica" w:hAnsi="Helvetica" w:cs="Helvetica"/>
                <w:b/>
                <w:bCs/>
                <w:color w:val="000000" w:themeColor="text1"/>
                <w:sz w:val="23"/>
                <w:szCs w:val="23"/>
                <w:lang w:val="en-US"/>
              </w:rPr>
              <w:t xml:space="preserve">412 600 000 GNF </w:t>
            </w:r>
          </w:p>
        </w:tc>
      </w:tr>
    </w:tbl>
    <w:p w14:paraId="615C3139" w14:textId="77777777" w:rsidR="008324FD" w:rsidRPr="00842C89" w:rsidRDefault="008324FD" w:rsidP="00842C89">
      <w:pPr>
        <w:tabs>
          <w:tab w:val="left" w:pos="1389"/>
          <w:tab w:val="left" w:pos="7476"/>
        </w:tabs>
        <w:spacing w:after="0" w:line="240" w:lineRule="auto"/>
        <w:ind w:left="108"/>
        <w:rPr>
          <w:rFonts w:ascii="Calibri" w:eastAsia="Times New Roman" w:hAnsi="Calibri" w:cs="Calibri"/>
          <w:color w:val="000000"/>
          <w:sz w:val="24"/>
          <w:szCs w:val="24"/>
        </w:rPr>
      </w:pPr>
      <w:r w:rsidRPr="00842C89">
        <w:rPr>
          <w:rFonts w:ascii="Calibri" w:eastAsia="Times New Roman" w:hAnsi="Calibri" w:cs="Calibri"/>
          <w:color w:val="000000"/>
          <w:sz w:val="24"/>
          <w:szCs w:val="24"/>
        </w:rPr>
        <w:tab/>
      </w:r>
      <w:r w:rsidRPr="00842C89">
        <w:rPr>
          <w:rFonts w:ascii="Calibri" w:eastAsia="Times New Roman" w:hAnsi="Calibri" w:cs="Calibri"/>
          <w:color w:val="000000"/>
          <w:sz w:val="24"/>
          <w:szCs w:val="24"/>
        </w:rPr>
        <w:tab/>
      </w:r>
    </w:p>
    <w:p w14:paraId="4E92ED16" w14:textId="759E47F8" w:rsidR="00842C89" w:rsidRDefault="00842C89" w:rsidP="00842C89"/>
    <w:p w14:paraId="1CB329C3" w14:textId="77777777" w:rsidR="00481B4A" w:rsidRDefault="002A1E77" w:rsidP="000C68B4">
      <w:pPr>
        <w:pStyle w:val="Heading1"/>
        <w:rPr>
          <w:rFonts w:ascii="Arial" w:hAnsi="Arial" w:cs="Arial"/>
          <w:b/>
          <w:bCs/>
          <w:color w:val="000000" w:themeColor="text1"/>
          <w:sz w:val="26"/>
          <w:szCs w:val="26"/>
        </w:rPr>
      </w:pPr>
      <w:r w:rsidRPr="000C68B4">
        <w:rPr>
          <w:rFonts w:ascii="Arial" w:hAnsi="Arial" w:cs="Arial"/>
          <w:b/>
          <w:bCs/>
          <w:color w:val="000000" w:themeColor="text1"/>
          <w:sz w:val="26"/>
          <w:szCs w:val="26"/>
        </w:rPr>
        <w:t xml:space="preserve"> </w:t>
      </w:r>
      <w:bookmarkStart w:id="32" w:name="_Toc86071260"/>
      <w:bookmarkStart w:id="33" w:name="_Toc86327583"/>
      <w:bookmarkStart w:id="34" w:name="_Toc88819209"/>
    </w:p>
    <w:p w14:paraId="55366D17" w14:textId="5D1C2B3A" w:rsidR="000C68B4" w:rsidRDefault="000C68B4" w:rsidP="000C68B4">
      <w:pPr>
        <w:pStyle w:val="Heading1"/>
        <w:rPr>
          <w:rFonts w:ascii="Arial" w:hAnsi="Arial" w:cs="Arial"/>
          <w:b/>
          <w:bCs/>
          <w:color w:val="000000" w:themeColor="text1"/>
          <w:sz w:val="26"/>
          <w:szCs w:val="26"/>
        </w:rPr>
        <w:sectPr w:rsidR="000C68B4">
          <w:pgSz w:w="11906" w:h="16838"/>
          <w:pgMar w:top="1417" w:right="1417" w:bottom="1417" w:left="1417" w:header="708" w:footer="708" w:gutter="0"/>
          <w:cols w:space="708"/>
          <w:docGrid w:linePitch="360"/>
        </w:sectPr>
      </w:pPr>
    </w:p>
    <w:p w14:paraId="50FE26BC" w14:textId="7BE9AA1A" w:rsidR="006F09A5" w:rsidRPr="000C68B4" w:rsidRDefault="00A601EE" w:rsidP="000C68B4">
      <w:pPr>
        <w:pStyle w:val="Heading1"/>
        <w:rPr>
          <w:rFonts w:ascii="Arial" w:hAnsi="Arial" w:cs="Arial"/>
          <w:b/>
          <w:bCs/>
          <w:color w:val="000000" w:themeColor="text1"/>
          <w:sz w:val="26"/>
          <w:szCs w:val="26"/>
        </w:rPr>
      </w:pPr>
      <w:bookmarkStart w:id="35" w:name="_Toc95082860"/>
      <w:r w:rsidRPr="000C68B4">
        <w:rPr>
          <w:rFonts w:ascii="Arial" w:hAnsi="Arial" w:cs="Arial"/>
          <w:b/>
          <w:bCs/>
          <w:color w:val="000000" w:themeColor="text1"/>
          <w:sz w:val="26"/>
          <w:szCs w:val="26"/>
        </w:rPr>
        <w:lastRenderedPageBreak/>
        <w:t>3</w:t>
      </w:r>
      <w:r w:rsidR="00CB197B">
        <w:rPr>
          <w:rFonts w:ascii="Arial" w:hAnsi="Arial" w:cs="Arial"/>
          <w:b/>
          <w:bCs/>
          <w:color w:val="000000" w:themeColor="text1"/>
          <w:sz w:val="26"/>
          <w:szCs w:val="26"/>
        </w:rPr>
        <w:t>.</w:t>
      </w:r>
      <w:r w:rsidR="00D20842" w:rsidRPr="000C68B4">
        <w:rPr>
          <w:rFonts w:ascii="Arial" w:hAnsi="Arial" w:cs="Arial"/>
          <w:b/>
          <w:bCs/>
          <w:color w:val="000000" w:themeColor="text1"/>
          <w:sz w:val="26"/>
          <w:szCs w:val="26"/>
        </w:rPr>
        <w:t xml:space="preserve"> </w:t>
      </w:r>
      <w:r w:rsidR="00080922" w:rsidRPr="000C68B4">
        <w:rPr>
          <w:rFonts w:ascii="Arial" w:hAnsi="Arial" w:cs="Arial"/>
          <w:b/>
          <w:bCs/>
          <w:color w:val="000000" w:themeColor="text1"/>
          <w:sz w:val="26"/>
          <w:szCs w:val="26"/>
        </w:rPr>
        <w:t>R</w:t>
      </w:r>
      <w:r w:rsidR="00EB10A6">
        <w:rPr>
          <w:rFonts w:ascii="Arial" w:hAnsi="Arial" w:cs="Arial"/>
          <w:b/>
          <w:bCs/>
          <w:color w:val="000000" w:themeColor="text1"/>
          <w:sz w:val="26"/>
          <w:szCs w:val="26"/>
        </w:rPr>
        <w:t>ESSOURCES HUMAINES</w:t>
      </w:r>
      <w:bookmarkEnd w:id="35"/>
      <w:r w:rsidR="00080922" w:rsidRPr="000C68B4">
        <w:rPr>
          <w:rFonts w:ascii="Arial" w:hAnsi="Arial" w:cs="Arial"/>
          <w:b/>
          <w:bCs/>
          <w:color w:val="000000" w:themeColor="text1"/>
          <w:sz w:val="26"/>
          <w:szCs w:val="26"/>
        </w:rPr>
        <w:t xml:space="preserve"> </w:t>
      </w:r>
      <w:bookmarkEnd w:id="32"/>
      <w:bookmarkEnd w:id="33"/>
      <w:bookmarkEnd w:id="34"/>
    </w:p>
    <w:p w14:paraId="1933CBE0" w14:textId="06EFC8EC" w:rsidR="00F67700" w:rsidRDefault="00F67700" w:rsidP="00080922">
      <w:pPr>
        <w:spacing w:line="360" w:lineRule="auto"/>
        <w:jc w:val="both"/>
        <w:rPr>
          <w:rFonts w:ascii="Arial" w:hAnsi="Arial" w:cs="Arial"/>
          <w:sz w:val="24"/>
          <w:szCs w:val="24"/>
        </w:rPr>
      </w:pPr>
      <w:r>
        <w:rPr>
          <w:rFonts w:ascii="Arial" w:hAnsi="Arial" w:cs="Arial"/>
          <w:sz w:val="24"/>
          <w:szCs w:val="24"/>
        </w:rPr>
        <w:t xml:space="preserve">  </w:t>
      </w:r>
      <w:r w:rsidR="00080922">
        <w:rPr>
          <w:rFonts w:ascii="Arial" w:hAnsi="Arial" w:cs="Arial"/>
          <w:sz w:val="24"/>
          <w:szCs w:val="24"/>
        </w:rPr>
        <w:t xml:space="preserve">Le renforcement du système d’information nécessite des ressources humaines en qualité et en quantité. </w:t>
      </w:r>
      <w:r w:rsidR="00080922" w:rsidRPr="00080922">
        <w:rPr>
          <w:rFonts w:ascii="Arial" w:hAnsi="Arial" w:cs="Arial"/>
          <w:sz w:val="24"/>
          <w:szCs w:val="24"/>
        </w:rPr>
        <w:t>Il s'agi</w:t>
      </w:r>
      <w:r w:rsidR="00080922">
        <w:rPr>
          <w:rFonts w:ascii="Arial" w:hAnsi="Arial" w:cs="Arial"/>
          <w:sz w:val="24"/>
          <w:szCs w:val="24"/>
        </w:rPr>
        <w:t>ra de couvrir tous les postes stratégiques qui v</w:t>
      </w:r>
      <w:r w:rsidR="00C51600">
        <w:rPr>
          <w:rFonts w:ascii="Arial" w:hAnsi="Arial" w:cs="Arial"/>
          <w:sz w:val="24"/>
          <w:szCs w:val="24"/>
        </w:rPr>
        <w:t>ont</w:t>
      </w:r>
      <w:r w:rsidR="00080922">
        <w:rPr>
          <w:rFonts w:ascii="Arial" w:hAnsi="Arial" w:cs="Arial"/>
          <w:sz w:val="24"/>
          <w:szCs w:val="24"/>
        </w:rPr>
        <w:t xml:space="preserve"> permettre une meilleure utilisation des donné</w:t>
      </w:r>
      <w:r w:rsidR="00C51600">
        <w:rPr>
          <w:rFonts w:ascii="Arial" w:hAnsi="Arial" w:cs="Arial"/>
          <w:sz w:val="24"/>
          <w:szCs w:val="24"/>
        </w:rPr>
        <w:t>e</w:t>
      </w:r>
      <w:r w:rsidR="00080922">
        <w:rPr>
          <w:rFonts w:ascii="Arial" w:hAnsi="Arial" w:cs="Arial"/>
          <w:sz w:val="24"/>
          <w:szCs w:val="24"/>
        </w:rPr>
        <w:t xml:space="preserve">s d’une part, et d’autre </w:t>
      </w:r>
      <w:r w:rsidR="00321A30">
        <w:rPr>
          <w:rFonts w:ascii="Arial" w:hAnsi="Arial" w:cs="Arial"/>
          <w:sz w:val="24"/>
          <w:szCs w:val="24"/>
        </w:rPr>
        <w:t xml:space="preserve">part </w:t>
      </w:r>
      <w:r w:rsidR="00080922">
        <w:rPr>
          <w:rFonts w:ascii="Arial" w:hAnsi="Arial" w:cs="Arial"/>
          <w:sz w:val="24"/>
          <w:szCs w:val="24"/>
        </w:rPr>
        <w:t>assurer la maintenance et la sécurité des infrastructure</w:t>
      </w:r>
      <w:r w:rsidR="00321A30">
        <w:rPr>
          <w:rFonts w:ascii="Arial" w:hAnsi="Arial" w:cs="Arial"/>
          <w:sz w:val="24"/>
          <w:szCs w:val="24"/>
        </w:rPr>
        <w:t>s</w:t>
      </w:r>
      <w:r w:rsidR="00080922">
        <w:rPr>
          <w:rFonts w:ascii="Arial" w:hAnsi="Arial" w:cs="Arial"/>
          <w:sz w:val="24"/>
          <w:szCs w:val="24"/>
        </w:rPr>
        <w:t xml:space="preserve">. </w:t>
      </w:r>
    </w:p>
    <w:p w14:paraId="01B30AA0" w14:textId="2E92D1EA" w:rsidR="00080922" w:rsidRDefault="00080922" w:rsidP="00080922">
      <w:pPr>
        <w:spacing w:line="360" w:lineRule="auto"/>
        <w:jc w:val="both"/>
        <w:rPr>
          <w:rFonts w:ascii="Arial" w:hAnsi="Arial" w:cs="Arial"/>
          <w:sz w:val="24"/>
          <w:szCs w:val="24"/>
        </w:rPr>
      </w:pPr>
      <w:r>
        <w:rPr>
          <w:rFonts w:ascii="Arial" w:hAnsi="Arial" w:cs="Arial"/>
          <w:sz w:val="24"/>
          <w:szCs w:val="24"/>
        </w:rPr>
        <w:t>Les professions sont</w:t>
      </w:r>
      <w:r w:rsidRPr="00080922">
        <w:rPr>
          <w:rFonts w:ascii="Arial" w:hAnsi="Arial" w:cs="Arial"/>
          <w:sz w:val="24"/>
          <w:szCs w:val="24"/>
        </w:rPr>
        <w:t xml:space="preserve"> d</w:t>
      </w:r>
      <w:r>
        <w:rPr>
          <w:rFonts w:ascii="Arial" w:hAnsi="Arial" w:cs="Arial"/>
          <w:sz w:val="24"/>
          <w:szCs w:val="24"/>
        </w:rPr>
        <w:t>iverses</w:t>
      </w:r>
      <w:r w:rsidRPr="00080922">
        <w:rPr>
          <w:rFonts w:ascii="Arial" w:hAnsi="Arial" w:cs="Arial"/>
          <w:sz w:val="24"/>
          <w:szCs w:val="24"/>
        </w:rPr>
        <w:t xml:space="preserve"> et occup</w:t>
      </w:r>
      <w:r>
        <w:rPr>
          <w:rFonts w:ascii="Arial" w:hAnsi="Arial" w:cs="Arial"/>
          <w:sz w:val="24"/>
          <w:szCs w:val="24"/>
        </w:rPr>
        <w:t>ent</w:t>
      </w:r>
      <w:r w:rsidRPr="00080922">
        <w:rPr>
          <w:rFonts w:ascii="Arial" w:hAnsi="Arial" w:cs="Arial"/>
          <w:sz w:val="24"/>
          <w:szCs w:val="24"/>
        </w:rPr>
        <w:t xml:space="preserve"> différentes fonctions qui sont dotées d'une formation et travaillent pour améliorer la santé de la population.</w:t>
      </w:r>
      <w:r>
        <w:rPr>
          <w:rFonts w:ascii="Arial" w:hAnsi="Arial" w:cs="Arial"/>
          <w:sz w:val="24"/>
          <w:szCs w:val="24"/>
        </w:rPr>
        <w:t xml:space="preserve"> </w:t>
      </w:r>
      <w:r w:rsidRPr="00080922">
        <w:rPr>
          <w:rFonts w:ascii="Arial" w:hAnsi="Arial" w:cs="Arial"/>
          <w:sz w:val="24"/>
          <w:szCs w:val="24"/>
        </w:rPr>
        <w:t>Les ressources humaines constituent un des piliers du système de santé. Sans</w:t>
      </w:r>
      <w:r>
        <w:rPr>
          <w:rFonts w:ascii="Arial" w:hAnsi="Arial" w:cs="Arial"/>
          <w:sz w:val="24"/>
          <w:szCs w:val="24"/>
        </w:rPr>
        <w:t xml:space="preserve"> </w:t>
      </w:r>
      <w:r w:rsidRPr="00080922">
        <w:rPr>
          <w:rFonts w:ascii="Arial" w:hAnsi="Arial" w:cs="Arial"/>
          <w:sz w:val="24"/>
          <w:szCs w:val="24"/>
        </w:rPr>
        <w:t>un personnel formé et suffisant en nombre, c’est toute la chaîne d</w:t>
      </w:r>
      <w:r>
        <w:rPr>
          <w:rFonts w:ascii="Arial" w:hAnsi="Arial" w:cs="Arial"/>
          <w:sz w:val="24"/>
          <w:szCs w:val="24"/>
        </w:rPr>
        <w:t xml:space="preserve">u système d’information </w:t>
      </w:r>
      <w:r w:rsidRPr="00080922">
        <w:rPr>
          <w:rFonts w:ascii="Arial" w:hAnsi="Arial" w:cs="Arial"/>
          <w:sz w:val="24"/>
          <w:szCs w:val="24"/>
        </w:rPr>
        <w:t>qui est remise en question, jusqu’aux services les plus basiques et vitaux</w:t>
      </w:r>
      <w:r>
        <w:rPr>
          <w:rFonts w:ascii="Arial" w:hAnsi="Arial" w:cs="Arial"/>
          <w:sz w:val="24"/>
          <w:szCs w:val="24"/>
        </w:rPr>
        <w:t xml:space="preserve"> </w:t>
      </w:r>
      <w:r w:rsidRPr="00080922">
        <w:rPr>
          <w:rFonts w:ascii="Arial" w:hAnsi="Arial" w:cs="Arial"/>
          <w:sz w:val="24"/>
          <w:szCs w:val="24"/>
        </w:rPr>
        <w:t xml:space="preserve">des systèmes de santé, avec un impact immense sur la </w:t>
      </w:r>
      <w:r>
        <w:rPr>
          <w:rFonts w:ascii="Arial" w:hAnsi="Arial" w:cs="Arial"/>
          <w:sz w:val="24"/>
          <w:szCs w:val="24"/>
        </w:rPr>
        <w:t xml:space="preserve">prise de décision. L’évaluation de l’état des lieux </w:t>
      </w:r>
      <w:r w:rsidR="00277FBD">
        <w:rPr>
          <w:rFonts w:ascii="Arial" w:hAnsi="Arial" w:cs="Arial"/>
          <w:sz w:val="24"/>
          <w:szCs w:val="24"/>
        </w:rPr>
        <w:t>a</w:t>
      </w:r>
      <w:r>
        <w:rPr>
          <w:rFonts w:ascii="Arial" w:hAnsi="Arial" w:cs="Arial"/>
          <w:sz w:val="24"/>
          <w:szCs w:val="24"/>
        </w:rPr>
        <w:t xml:space="preserve"> identifi</w:t>
      </w:r>
      <w:r w:rsidR="00277FBD">
        <w:rPr>
          <w:rFonts w:ascii="Arial" w:hAnsi="Arial" w:cs="Arial"/>
          <w:sz w:val="24"/>
          <w:szCs w:val="24"/>
        </w:rPr>
        <w:t>é</w:t>
      </w:r>
      <w:r>
        <w:rPr>
          <w:rFonts w:ascii="Arial" w:hAnsi="Arial" w:cs="Arial"/>
          <w:sz w:val="24"/>
          <w:szCs w:val="24"/>
        </w:rPr>
        <w:t xml:space="preserve"> un gap important en personnel IT et gestionnaire de données pour l’utilisation des banques de données.</w:t>
      </w:r>
    </w:p>
    <w:p w14:paraId="3A24DB9F" w14:textId="1C4F1064" w:rsidR="00277FBD" w:rsidRDefault="00080922" w:rsidP="00080922">
      <w:pPr>
        <w:spacing w:line="360" w:lineRule="auto"/>
        <w:jc w:val="both"/>
        <w:rPr>
          <w:rFonts w:ascii="Arial" w:hAnsi="Arial" w:cs="Arial"/>
          <w:sz w:val="24"/>
          <w:szCs w:val="24"/>
        </w:rPr>
      </w:pPr>
      <w:r>
        <w:rPr>
          <w:rFonts w:ascii="Arial" w:hAnsi="Arial" w:cs="Arial"/>
          <w:sz w:val="24"/>
          <w:szCs w:val="24"/>
        </w:rPr>
        <w:t xml:space="preserve"> Le</w:t>
      </w:r>
      <w:r w:rsidR="00277FBD">
        <w:rPr>
          <w:rFonts w:ascii="Arial" w:hAnsi="Arial" w:cs="Arial"/>
          <w:sz w:val="24"/>
          <w:szCs w:val="24"/>
        </w:rPr>
        <w:t>s</w:t>
      </w:r>
      <w:r>
        <w:rPr>
          <w:rFonts w:ascii="Arial" w:hAnsi="Arial" w:cs="Arial"/>
          <w:sz w:val="24"/>
          <w:szCs w:val="24"/>
        </w:rPr>
        <w:t xml:space="preserve"> tableau</w:t>
      </w:r>
      <w:r w:rsidR="00277FBD">
        <w:rPr>
          <w:rFonts w:ascii="Arial" w:hAnsi="Arial" w:cs="Arial"/>
          <w:sz w:val="24"/>
          <w:szCs w:val="24"/>
        </w:rPr>
        <w:t xml:space="preserve">x </w:t>
      </w:r>
      <w:r w:rsidR="00CB197B">
        <w:rPr>
          <w:rFonts w:ascii="Arial" w:hAnsi="Arial" w:cs="Arial"/>
          <w:sz w:val="24"/>
          <w:szCs w:val="24"/>
        </w:rPr>
        <w:t>8</w:t>
      </w:r>
      <w:r w:rsidR="00277FBD">
        <w:rPr>
          <w:rFonts w:ascii="Arial" w:hAnsi="Arial" w:cs="Arial"/>
          <w:sz w:val="24"/>
          <w:szCs w:val="24"/>
        </w:rPr>
        <w:t>,</w:t>
      </w:r>
      <w:r w:rsidR="00CB197B">
        <w:rPr>
          <w:rFonts w:ascii="Arial" w:hAnsi="Arial" w:cs="Arial"/>
          <w:sz w:val="24"/>
          <w:szCs w:val="24"/>
        </w:rPr>
        <w:t xml:space="preserve"> 9</w:t>
      </w:r>
      <w:r w:rsidR="00277FBD">
        <w:rPr>
          <w:rFonts w:ascii="Arial" w:hAnsi="Arial" w:cs="Arial"/>
          <w:sz w:val="24"/>
          <w:szCs w:val="24"/>
        </w:rPr>
        <w:t xml:space="preserve"> et </w:t>
      </w:r>
      <w:r w:rsidR="008324FD">
        <w:rPr>
          <w:rFonts w:ascii="Arial" w:hAnsi="Arial" w:cs="Arial"/>
          <w:sz w:val="24"/>
          <w:szCs w:val="24"/>
        </w:rPr>
        <w:t>1</w:t>
      </w:r>
      <w:r w:rsidR="00CB197B">
        <w:rPr>
          <w:rFonts w:ascii="Arial" w:hAnsi="Arial" w:cs="Arial"/>
          <w:sz w:val="24"/>
          <w:szCs w:val="24"/>
        </w:rPr>
        <w:t>0</w:t>
      </w:r>
      <w:r w:rsidR="00277FBD">
        <w:rPr>
          <w:rFonts w:ascii="Arial" w:hAnsi="Arial" w:cs="Arial"/>
          <w:sz w:val="24"/>
          <w:szCs w:val="24"/>
        </w:rPr>
        <w:t xml:space="preserve"> </w:t>
      </w:r>
      <w:r w:rsidR="00EA57FE">
        <w:rPr>
          <w:rFonts w:ascii="Arial" w:hAnsi="Arial" w:cs="Arial"/>
          <w:sz w:val="24"/>
          <w:szCs w:val="24"/>
        </w:rPr>
        <w:t xml:space="preserve">présentent </w:t>
      </w:r>
      <w:r w:rsidR="00277FBD">
        <w:rPr>
          <w:rFonts w:ascii="Arial" w:hAnsi="Arial" w:cs="Arial"/>
          <w:sz w:val="24"/>
          <w:szCs w:val="24"/>
        </w:rPr>
        <w:t xml:space="preserve">respectivement la synthèse des besoins en compétences pour l’utilisation des données, en personnel IT, et pour la gestion data. </w:t>
      </w:r>
    </w:p>
    <w:p w14:paraId="3A47758E" w14:textId="77777777" w:rsidR="0049293E" w:rsidRDefault="0049293E" w:rsidP="00277FBD">
      <w:pPr>
        <w:pStyle w:val="Caption"/>
        <w:jc w:val="center"/>
        <w:rPr>
          <w:rFonts w:ascii="Arial" w:hAnsi="Arial" w:cs="Arial"/>
          <w:sz w:val="24"/>
          <w:szCs w:val="24"/>
        </w:rPr>
        <w:sectPr w:rsidR="0049293E">
          <w:pgSz w:w="11906" w:h="16838"/>
          <w:pgMar w:top="1417" w:right="1417" w:bottom="1417" w:left="1417" w:header="708" w:footer="708" w:gutter="0"/>
          <w:cols w:space="708"/>
          <w:docGrid w:linePitch="360"/>
        </w:sectPr>
      </w:pPr>
    </w:p>
    <w:p w14:paraId="2D13140E" w14:textId="0C09BE66" w:rsidR="0049293E" w:rsidRPr="00277FBD" w:rsidRDefault="0049293E" w:rsidP="0049293E">
      <w:pPr>
        <w:pStyle w:val="Caption"/>
        <w:jc w:val="center"/>
        <w:rPr>
          <w:rFonts w:ascii="Arial" w:hAnsi="Arial" w:cs="Arial"/>
          <w:sz w:val="24"/>
          <w:szCs w:val="24"/>
        </w:rPr>
      </w:pPr>
      <w:bookmarkStart w:id="36" w:name="_Toc99467012"/>
      <w:r w:rsidRPr="00277FBD">
        <w:rPr>
          <w:rFonts w:ascii="Arial" w:hAnsi="Arial" w:cs="Arial"/>
          <w:sz w:val="24"/>
          <w:szCs w:val="24"/>
        </w:rPr>
        <w:lastRenderedPageBreak/>
        <w:t xml:space="preserve">Tableau </w:t>
      </w:r>
      <w:r w:rsidRPr="00277FBD">
        <w:rPr>
          <w:rFonts w:ascii="Arial" w:hAnsi="Arial" w:cs="Arial"/>
          <w:sz w:val="24"/>
          <w:szCs w:val="24"/>
        </w:rPr>
        <w:fldChar w:fldCharType="begin"/>
      </w:r>
      <w:r w:rsidRPr="00277FBD">
        <w:rPr>
          <w:rFonts w:ascii="Arial" w:hAnsi="Arial" w:cs="Arial"/>
          <w:sz w:val="24"/>
          <w:szCs w:val="24"/>
        </w:rPr>
        <w:instrText xml:space="preserve"> SEQ Tableau \* ARABIC </w:instrText>
      </w:r>
      <w:r w:rsidRPr="00277FBD">
        <w:rPr>
          <w:rFonts w:ascii="Arial" w:hAnsi="Arial" w:cs="Arial"/>
          <w:sz w:val="24"/>
          <w:szCs w:val="24"/>
        </w:rPr>
        <w:fldChar w:fldCharType="separate"/>
      </w:r>
      <w:r w:rsidR="007F117B">
        <w:rPr>
          <w:rFonts w:ascii="Arial" w:hAnsi="Arial" w:cs="Arial"/>
          <w:noProof/>
          <w:sz w:val="24"/>
          <w:szCs w:val="24"/>
        </w:rPr>
        <w:t>9</w:t>
      </w:r>
      <w:r w:rsidRPr="00277FBD">
        <w:rPr>
          <w:rFonts w:ascii="Arial" w:hAnsi="Arial" w:cs="Arial"/>
          <w:sz w:val="24"/>
          <w:szCs w:val="24"/>
        </w:rPr>
        <w:fldChar w:fldCharType="end"/>
      </w:r>
      <w:r w:rsidRPr="00277FBD">
        <w:rPr>
          <w:rFonts w:ascii="Arial" w:hAnsi="Arial" w:cs="Arial"/>
          <w:sz w:val="24"/>
          <w:szCs w:val="24"/>
        </w:rPr>
        <w:t xml:space="preserve"> : </w:t>
      </w:r>
      <w:r>
        <w:rPr>
          <w:rFonts w:ascii="Arial" w:hAnsi="Arial" w:cs="Arial"/>
          <w:sz w:val="24"/>
          <w:szCs w:val="24"/>
        </w:rPr>
        <w:t xml:space="preserve"> </w:t>
      </w:r>
      <w:r w:rsidRPr="00277FBD">
        <w:rPr>
          <w:rFonts w:ascii="Arial" w:hAnsi="Arial" w:cs="Arial"/>
          <w:sz w:val="24"/>
          <w:szCs w:val="24"/>
        </w:rPr>
        <w:t>Besoins en compétences pour l’utilisation avancée des bases de données</w:t>
      </w:r>
      <w:r w:rsidR="00807493">
        <w:rPr>
          <w:rFonts w:ascii="Arial" w:hAnsi="Arial" w:cs="Arial"/>
          <w:sz w:val="24"/>
          <w:szCs w:val="24"/>
        </w:rPr>
        <w:t xml:space="preserve"> </w:t>
      </w:r>
      <w:r w:rsidR="00807493" w:rsidRPr="00807493">
        <w:rPr>
          <w:rFonts w:ascii="Arial" w:hAnsi="Arial" w:cs="Arial"/>
          <w:color w:val="C00000"/>
          <w:sz w:val="24"/>
          <w:szCs w:val="24"/>
        </w:rPr>
        <w:t>(formation diplomate de niveau master pour une durée de deux ans dans les universités et/ou institutions publiques ou privées)</w:t>
      </w:r>
      <w:bookmarkEnd w:id="36"/>
    </w:p>
    <w:tbl>
      <w:tblPr>
        <w:tblStyle w:val="TableGrid"/>
        <w:tblW w:w="5053" w:type="pct"/>
        <w:tblInd w:w="-147" w:type="dxa"/>
        <w:tblLook w:val="04A0" w:firstRow="1" w:lastRow="0" w:firstColumn="1" w:lastColumn="0" w:noHBand="0" w:noVBand="1"/>
      </w:tblPr>
      <w:tblGrid>
        <w:gridCol w:w="636"/>
        <w:gridCol w:w="3759"/>
        <w:gridCol w:w="1700"/>
        <w:gridCol w:w="1703"/>
        <w:gridCol w:w="1700"/>
        <w:gridCol w:w="4644"/>
      </w:tblGrid>
      <w:tr w:rsidR="00807493" w:rsidRPr="00277FBD" w14:paraId="427B3FF3" w14:textId="77777777" w:rsidTr="00807493">
        <w:tc>
          <w:tcPr>
            <w:tcW w:w="225" w:type="pct"/>
            <w:shd w:val="clear" w:color="auto" w:fill="FBE4D5" w:themeFill="accent2" w:themeFillTint="33"/>
          </w:tcPr>
          <w:p w14:paraId="4FF51D00"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N°</w:t>
            </w:r>
          </w:p>
        </w:tc>
        <w:tc>
          <w:tcPr>
            <w:tcW w:w="1329" w:type="pct"/>
            <w:shd w:val="clear" w:color="auto" w:fill="FBE4D5" w:themeFill="accent2" w:themeFillTint="33"/>
          </w:tcPr>
          <w:p w14:paraId="09666085"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INTITUL</w:t>
            </w:r>
            <w:r>
              <w:rPr>
                <w:rFonts w:ascii="Arial" w:hAnsi="Arial" w:cs="Arial"/>
                <w:b/>
                <w:bCs/>
                <w:color w:val="000000" w:themeColor="text1"/>
                <w:sz w:val="24"/>
                <w:szCs w:val="24"/>
              </w:rPr>
              <w:t>É</w:t>
            </w:r>
            <w:r w:rsidRPr="00277FBD">
              <w:rPr>
                <w:rFonts w:ascii="Arial" w:hAnsi="Arial" w:cs="Arial"/>
                <w:b/>
                <w:bCs/>
                <w:color w:val="000000" w:themeColor="text1"/>
                <w:sz w:val="24"/>
                <w:szCs w:val="24"/>
              </w:rPr>
              <w:t>S</w:t>
            </w:r>
          </w:p>
        </w:tc>
        <w:tc>
          <w:tcPr>
            <w:tcW w:w="601" w:type="pct"/>
            <w:shd w:val="clear" w:color="auto" w:fill="FBE4D5" w:themeFill="accent2" w:themeFillTint="33"/>
          </w:tcPr>
          <w:p w14:paraId="379187CA"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Nombres de participants</w:t>
            </w:r>
          </w:p>
        </w:tc>
        <w:tc>
          <w:tcPr>
            <w:tcW w:w="602" w:type="pct"/>
            <w:shd w:val="clear" w:color="auto" w:fill="FBE4D5" w:themeFill="accent2" w:themeFillTint="33"/>
          </w:tcPr>
          <w:p w14:paraId="65131012" w14:textId="5CD14D89" w:rsidR="00EB6444" w:rsidRPr="00277FBD" w:rsidRDefault="00EB6444" w:rsidP="00EB6444">
            <w:pPr>
              <w:jc w:val="center"/>
              <w:rPr>
                <w:rFonts w:ascii="Arial" w:hAnsi="Arial" w:cs="Arial"/>
                <w:b/>
                <w:bCs/>
                <w:color w:val="000000" w:themeColor="text1"/>
                <w:sz w:val="24"/>
                <w:szCs w:val="24"/>
              </w:rPr>
            </w:pPr>
            <w:r>
              <w:rPr>
                <w:rFonts w:ascii="Arial" w:hAnsi="Arial" w:cs="Arial"/>
                <w:b/>
                <w:bCs/>
                <w:color w:val="000000" w:themeColor="text1"/>
                <w:sz w:val="24"/>
                <w:szCs w:val="24"/>
              </w:rPr>
              <w:t>Coût unitaire HT (GNF)</w:t>
            </w:r>
          </w:p>
        </w:tc>
        <w:tc>
          <w:tcPr>
            <w:tcW w:w="601" w:type="pct"/>
            <w:shd w:val="clear" w:color="auto" w:fill="FBE4D5" w:themeFill="accent2" w:themeFillTint="33"/>
          </w:tcPr>
          <w:p w14:paraId="275C6B84" w14:textId="517FDB0D" w:rsidR="00EB6444" w:rsidRPr="00277FBD" w:rsidRDefault="00EB6444" w:rsidP="00EB6444">
            <w:pPr>
              <w:jc w:val="center"/>
              <w:rPr>
                <w:rFonts w:ascii="Arial" w:hAnsi="Arial" w:cs="Arial"/>
                <w:b/>
                <w:bCs/>
                <w:color w:val="000000" w:themeColor="text1"/>
                <w:sz w:val="24"/>
                <w:szCs w:val="24"/>
              </w:rPr>
            </w:pPr>
            <w:r>
              <w:rPr>
                <w:rFonts w:ascii="Arial" w:hAnsi="Arial" w:cs="Arial"/>
                <w:b/>
                <w:bCs/>
                <w:color w:val="000000" w:themeColor="text1"/>
                <w:sz w:val="24"/>
                <w:szCs w:val="24"/>
              </w:rPr>
              <w:t>Coût total HT (GNF)</w:t>
            </w:r>
          </w:p>
        </w:tc>
        <w:tc>
          <w:tcPr>
            <w:tcW w:w="1642" w:type="pct"/>
            <w:shd w:val="clear" w:color="auto" w:fill="FBE4D5" w:themeFill="accent2" w:themeFillTint="33"/>
          </w:tcPr>
          <w:p w14:paraId="1F956CCA"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Observations</w:t>
            </w:r>
          </w:p>
        </w:tc>
      </w:tr>
      <w:tr w:rsidR="00807493" w:rsidRPr="00277FBD" w14:paraId="73C89ADC" w14:textId="77777777" w:rsidTr="00807493">
        <w:trPr>
          <w:trHeight w:val="795"/>
        </w:trPr>
        <w:tc>
          <w:tcPr>
            <w:tcW w:w="225" w:type="pct"/>
          </w:tcPr>
          <w:p w14:paraId="0D511A75" w14:textId="29EF9CD7"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1</w:t>
            </w:r>
          </w:p>
        </w:tc>
        <w:tc>
          <w:tcPr>
            <w:tcW w:w="1329" w:type="pct"/>
          </w:tcPr>
          <w:p w14:paraId="7B70B16C"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en épidémiologie et </w:t>
            </w:r>
            <w:proofErr w:type="spellStart"/>
            <w:r w:rsidRPr="00277FBD">
              <w:rPr>
                <w:rFonts w:ascii="Arial" w:hAnsi="Arial" w:cs="Arial"/>
                <w:color w:val="000000" w:themeColor="text1"/>
                <w:sz w:val="24"/>
                <w:szCs w:val="24"/>
              </w:rPr>
              <w:t>biostatis</w:t>
            </w:r>
            <w:r>
              <w:rPr>
                <w:rFonts w:ascii="Arial" w:hAnsi="Arial" w:cs="Arial"/>
                <w:color w:val="000000" w:themeColor="text1"/>
                <w:sz w:val="24"/>
                <w:szCs w:val="24"/>
              </w:rPr>
              <w:t>ti</w:t>
            </w:r>
            <w:r w:rsidRPr="00277FBD">
              <w:rPr>
                <w:rFonts w:ascii="Arial" w:hAnsi="Arial" w:cs="Arial"/>
                <w:color w:val="000000" w:themeColor="text1"/>
                <w:sz w:val="24"/>
                <w:szCs w:val="24"/>
              </w:rPr>
              <w:t>que</w:t>
            </w:r>
            <w:proofErr w:type="spellEnd"/>
          </w:p>
        </w:tc>
        <w:tc>
          <w:tcPr>
            <w:tcW w:w="601" w:type="pct"/>
            <w:vAlign w:val="center"/>
          </w:tcPr>
          <w:p w14:paraId="2D5381E8"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04</w:t>
            </w:r>
          </w:p>
        </w:tc>
        <w:tc>
          <w:tcPr>
            <w:tcW w:w="602" w:type="pct"/>
            <w:vAlign w:val="center"/>
          </w:tcPr>
          <w:p w14:paraId="77AB7CEA"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sz w:val="24"/>
                <w:szCs w:val="24"/>
              </w:rPr>
              <w:t>15842793</w:t>
            </w:r>
          </w:p>
        </w:tc>
        <w:tc>
          <w:tcPr>
            <w:tcW w:w="601" w:type="pct"/>
            <w:vAlign w:val="center"/>
          </w:tcPr>
          <w:p w14:paraId="08E422D5"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sz w:val="24"/>
                <w:szCs w:val="24"/>
              </w:rPr>
              <w:t>31685586</w:t>
            </w:r>
          </w:p>
        </w:tc>
        <w:tc>
          <w:tcPr>
            <w:tcW w:w="1642" w:type="pct"/>
          </w:tcPr>
          <w:p w14:paraId="331908BE"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Connaissance avancée </w:t>
            </w:r>
            <w:r>
              <w:rPr>
                <w:rFonts w:ascii="Arial" w:hAnsi="Arial" w:cs="Arial"/>
                <w:color w:val="000000" w:themeColor="text1"/>
                <w:sz w:val="24"/>
                <w:szCs w:val="24"/>
              </w:rPr>
              <w:t xml:space="preserve">en </w:t>
            </w:r>
            <w:r w:rsidRPr="00277FBD">
              <w:rPr>
                <w:rFonts w:ascii="Arial" w:hAnsi="Arial" w:cs="Arial"/>
                <w:color w:val="000000" w:themeColor="text1"/>
                <w:sz w:val="24"/>
                <w:szCs w:val="24"/>
              </w:rPr>
              <w:t>analyse de données multiples</w:t>
            </w:r>
          </w:p>
          <w:p w14:paraId="28DE50A5" w14:textId="6516BEDA"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Connaissance avancée des logiciels d’analyse statistique (STATA, R, SAS, Python…).</w:t>
            </w:r>
          </w:p>
        </w:tc>
      </w:tr>
      <w:tr w:rsidR="00807493" w:rsidRPr="00277FBD" w14:paraId="1AAE0D3E" w14:textId="77777777" w:rsidTr="00807493">
        <w:trPr>
          <w:trHeight w:val="795"/>
        </w:trPr>
        <w:tc>
          <w:tcPr>
            <w:tcW w:w="225" w:type="pct"/>
          </w:tcPr>
          <w:p w14:paraId="71E9F0B7" w14:textId="76A08619"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2</w:t>
            </w:r>
          </w:p>
        </w:tc>
        <w:tc>
          <w:tcPr>
            <w:tcW w:w="1329" w:type="pct"/>
          </w:tcPr>
          <w:p w14:paraId="36C493FE"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en Science des données </w:t>
            </w:r>
          </w:p>
        </w:tc>
        <w:tc>
          <w:tcPr>
            <w:tcW w:w="601" w:type="pct"/>
            <w:vAlign w:val="center"/>
          </w:tcPr>
          <w:p w14:paraId="2E6E4653"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3</w:t>
            </w:r>
          </w:p>
        </w:tc>
        <w:tc>
          <w:tcPr>
            <w:tcW w:w="602" w:type="pct"/>
            <w:vAlign w:val="center"/>
          </w:tcPr>
          <w:p w14:paraId="578CA9D4"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sz w:val="24"/>
                <w:szCs w:val="24"/>
              </w:rPr>
              <w:t>15842793</w:t>
            </w:r>
          </w:p>
        </w:tc>
        <w:tc>
          <w:tcPr>
            <w:tcW w:w="601" w:type="pct"/>
            <w:vAlign w:val="center"/>
          </w:tcPr>
          <w:p w14:paraId="4A5C1563"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sz w:val="24"/>
                <w:szCs w:val="24"/>
              </w:rPr>
              <w:t>31685586</w:t>
            </w:r>
          </w:p>
        </w:tc>
        <w:tc>
          <w:tcPr>
            <w:tcW w:w="1642" w:type="pct"/>
          </w:tcPr>
          <w:p w14:paraId="49AD5BF8"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Compétence en </w:t>
            </w:r>
            <w:proofErr w:type="spellStart"/>
            <w:r w:rsidRPr="00277FBD">
              <w:rPr>
                <w:rFonts w:ascii="Arial" w:hAnsi="Arial" w:cs="Arial"/>
                <w:color w:val="000000" w:themeColor="text1"/>
                <w:sz w:val="24"/>
                <w:szCs w:val="24"/>
              </w:rPr>
              <w:t>Big</w:t>
            </w:r>
            <w:proofErr w:type="spellEnd"/>
            <w:r w:rsidRPr="00277FBD">
              <w:rPr>
                <w:rFonts w:ascii="Arial" w:hAnsi="Arial" w:cs="Arial"/>
                <w:color w:val="000000" w:themeColor="text1"/>
                <w:sz w:val="24"/>
                <w:szCs w:val="24"/>
              </w:rPr>
              <w:t xml:space="preserve"> data et intelligence artificielle</w:t>
            </w:r>
          </w:p>
        </w:tc>
      </w:tr>
      <w:tr w:rsidR="00807493" w:rsidRPr="00277FBD" w14:paraId="37E825EE" w14:textId="77777777" w:rsidTr="00807493">
        <w:trPr>
          <w:trHeight w:val="623"/>
        </w:trPr>
        <w:tc>
          <w:tcPr>
            <w:tcW w:w="225" w:type="pct"/>
          </w:tcPr>
          <w:p w14:paraId="223EB654" w14:textId="0CA348D4"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3</w:t>
            </w:r>
          </w:p>
        </w:tc>
        <w:tc>
          <w:tcPr>
            <w:tcW w:w="1329" w:type="pct"/>
          </w:tcPr>
          <w:p w14:paraId="5AE56DD6"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en cartographie </w:t>
            </w:r>
          </w:p>
        </w:tc>
        <w:tc>
          <w:tcPr>
            <w:tcW w:w="601" w:type="pct"/>
            <w:vAlign w:val="center"/>
          </w:tcPr>
          <w:p w14:paraId="2EB382DC"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4</w:t>
            </w:r>
          </w:p>
        </w:tc>
        <w:tc>
          <w:tcPr>
            <w:tcW w:w="602" w:type="pct"/>
            <w:vAlign w:val="center"/>
          </w:tcPr>
          <w:p w14:paraId="37AFFCC7"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sz w:val="24"/>
                <w:szCs w:val="24"/>
              </w:rPr>
              <w:t>15842793</w:t>
            </w:r>
          </w:p>
        </w:tc>
        <w:tc>
          <w:tcPr>
            <w:tcW w:w="601" w:type="pct"/>
            <w:vAlign w:val="center"/>
          </w:tcPr>
          <w:p w14:paraId="75812360"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sz w:val="24"/>
                <w:szCs w:val="24"/>
              </w:rPr>
              <w:t>31685586</w:t>
            </w:r>
          </w:p>
        </w:tc>
        <w:tc>
          <w:tcPr>
            <w:tcW w:w="1642" w:type="pct"/>
          </w:tcPr>
          <w:p w14:paraId="763705D8"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Connaissance avancée en analyse géo-spatiale. </w:t>
            </w:r>
            <w:r>
              <w:rPr>
                <w:rFonts w:ascii="Arial" w:hAnsi="Arial" w:cs="Arial"/>
                <w:color w:val="000000" w:themeColor="text1"/>
                <w:sz w:val="24"/>
                <w:szCs w:val="24"/>
              </w:rPr>
              <w:t>Il s’agira de prévoir la formation en système d’information géographique</w:t>
            </w:r>
          </w:p>
        </w:tc>
      </w:tr>
    </w:tbl>
    <w:p w14:paraId="13E91102" w14:textId="0596A4F2" w:rsidR="0049293E" w:rsidRPr="00807493" w:rsidRDefault="0049293E" w:rsidP="00807493">
      <w:pPr>
        <w:tabs>
          <w:tab w:val="left" w:pos="828"/>
          <w:tab w:val="left" w:pos="3937"/>
          <w:tab w:val="left" w:pos="6555"/>
        </w:tabs>
        <w:ind w:left="113"/>
        <w:rPr>
          <w:color w:val="000000" w:themeColor="text1"/>
          <w:sz w:val="24"/>
        </w:rPr>
      </w:pPr>
      <w:r w:rsidRPr="00C74354">
        <w:rPr>
          <w:rFonts w:ascii="Arial" w:hAnsi="Arial" w:cs="Times New Roman"/>
          <w:color w:val="000000" w:themeColor="text1"/>
          <w:sz w:val="20"/>
          <w:szCs w:val="20"/>
          <w:lang w:eastAsia="ja-JP"/>
        </w:rPr>
        <w:tab/>
      </w:r>
      <w:r w:rsidRPr="00C74354">
        <w:rPr>
          <w:color w:val="000000" w:themeColor="text1"/>
        </w:rPr>
        <w:tab/>
      </w:r>
    </w:p>
    <w:p w14:paraId="6F3E397D" w14:textId="244A3F4D" w:rsidR="0049293E" w:rsidRPr="00807493" w:rsidRDefault="0049293E" w:rsidP="0049293E">
      <w:pPr>
        <w:pStyle w:val="Caption"/>
        <w:jc w:val="center"/>
        <w:rPr>
          <w:rFonts w:ascii="Arial" w:hAnsi="Arial" w:cs="Arial"/>
          <w:color w:val="C00000"/>
          <w:sz w:val="24"/>
          <w:szCs w:val="24"/>
        </w:rPr>
      </w:pPr>
      <w:bookmarkStart w:id="37" w:name="_Toc99467013"/>
      <w:r w:rsidRPr="00277FBD">
        <w:rPr>
          <w:rFonts w:ascii="Arial" w:hAnsi="Arial" w:cs="Arial"/>
          <w:sz w:val="24"/>
          <w:szCs w:val="24"/>
        </w:rPr>
        <w:t xml:space="preserve">Tableau </w:t>
      </w:r>
      <w:r w:rsidRPr="00277FBD">
        <w:rPr>
          <w:rFonts w:ascii="Arial" w:hAnsi="Arial" w:cs="Arial"/>
          <w:sz w:val="24"/>
          <w:szCs w:val="24"/>
        </w:rPr>
        <w:fldChar w:fldCharType="begin"/>
      </w:r>
      <w:r w:rsidRPr="00277FBD">
        <w:rPr>
          <w:rFonts w:ascii="Arial" w:hAnsi="Arial" w:cs="Arial"/>
          <w:sz w:val="24"/>
          <w:szCs w:val="24"/>
        </w:rPr>
        <w:instrText xml:space="preserve"> SEQ Tableau \* ARABIC </w:instrText>
      </w:r>
      <w:r w:rsidRPr="00277FBD">
        <w:rPr>
          <w:rFonts w:ascii="Arial" w:hAnsi="Arial" w:cs="Arial"/>
          <w:sz w:val="24"/>
          <w:szCs w:val="24"/>
        </w:rPr>
        <w:fldChar w:fldCharType="separate"/>
      </w:r>
      <w:r w:rsidR="007F117B">
        <w:rPr>
          <w:rFonts w:ascii="Arial" w:hAnsi="Arial" w:cs="Arial"/>
          <w:noProof/>
          <w:sz w:val="24"/>
          <w:szCs w:val="24"/>
        </w:rPr>
        <w:t>10</w:t>
      </w:r>
      <w:r w:rsidRPr="00277FBD">
        <w:rPr>
          <w:rFonts w:ascii="Arial" w:hAnsi="Arial" w:cs="Arial"/>
          <w:sz w:val="24"/>
          <w:szCs w:val="24"/>
        </w:rPr>
        <w:fldChar w:fldCharType="end"/>
      </w:r>
      <w:r w:rsidRPr="00277FBD">
        <w:rPr>
          <w:rFonts w:ascii="Arial" w:hAnsi="Arial" w:cs="Arial"/>
          <w:sz w:val="24"/>
          <w:szCs w:val="24"/>
        </w:rPr>
        <w:t> : Besoins de renforcement en compétence du personnel IT du ministère de la santé</w:t>
      </w:r>
      <w:r w:rsidR="00807493">
        <w:rPr>
          <w:rFonts w:ascii="Arial" w:hAnsi="Arial" w:cs="Arial"/>
          <w:sz w:val="24"/>
          <w:szCs w:val="24"/>
        </w:rPr>
        <w:t xml:space="preserve"> </w:t>
      </w:r>
      <w:r w:rsidR="00807493" w:rsidRPr="00807493">
        <w:rPr>
          <w:rFonts w:ascii="Arial" w:hAnsi="Arial" w:cs="Arial"/>
          <w:color w:val="C00000"/>
          <w:sz w:val="24"/>
          <w:szCs w:val="24"/>
        </w:rPr>
        <w:t>(formation de six (6) mois à un (1) an les institutions privées spécialisées)</w:t>
      </w:r>
      <w:bookmarkEnd w:id="37"/>
    </w:p>
    <w:tbl>
      <w:tblPr>
        <w:tblStyle w:val="TableGrid"/>
        <w:tblW w:w="5104" w:type="pct"/>
        <w:tblInd w:w="-289" w:type="dxa"/>
        <w:tblLook w:val="04A0" w:firstRow="1" w:lastRow="0" w:firstColumn="1" w:lastColumn="0" w:noHBand="0" w:noVBand="1"/>
      </w:tblPr>
      <w:tblGrid>
        <w:gridCol w:w="568"/>
        <w:gridCol w:w="2834"/>
        <w:gridCol w:w="1703"/>
        <w:gridCol w:w="1700"/>
        <w:gridCol w:w="1560"/>
        <w:gridCol w:w="5920"/>
      </w:tblGrid>
      <w:tr w:rsidR="00807493" w:rsidRPr="00277FBD" w14:paraId="456CDC47" w14:textId="77777777" w:rsidTr="00807493">
        <w:tc>
          <w:tcPr>
            <w:tcW w:w="199" w:type="pct"/>
            <w:shd w:val="clear" w:color="auto" w:fill="FBE4D5" w:themeFill="accent2" w:themeFillTint="33"/>
          </w:tcPr>
          <w:p w14:paraId="4130605A" w14:textId="77777777" w:rsidR="0049293E" w:rsidRPr="00277FBD" w:rsidRDefault="0049293E"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N°</w:t>
            </w:r>
          </w:p>
        </w:tc>
        <w:tc>
          <w:tcPr>
            <w:tcW w:w="992" w:type="pct"/>
            <w:shd w:val="clear" w:color="auto" w:fill="FBE4D5" w:themeFill="accent2" w:themeFillTint="33"/>
          </w:tcPr>
          <w:p w14:paraId="77ED44EB" w14:textId="77777777" w:rsidR="0049293E" w:rsidRPr="00277FBD" w:rsidRDefault="0049293E"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INTITUL</w:t>
            </w:r>
            <w:r>
              <w:rPr>
                <w:rFonts w:ascii="Arial" w:hAnsi="Arial" w:cs="Arial"/>
                <w:b/>
                <w:bCs/>
                <w:color w:val="000000" w:themeColor="text1"/>
                <w:sz w:val="24"/>
                <w:szCs w:val="24"/>
              </w:rPr>
              <w:t>É</w:t>
            </w:r>
            <w:r w:rsidRPr="00277FBD">
              <w:rPr>
                <w:rFonts w:ascii="Arial" w:hAnsi="Arial" w:cs="Arial"/>
                <w:b/>
                <w:bCs/>
                <w:color w:val="000000" w:themeColor="text1"/>
                <w:sz w:val="24"/>
                <w:szCs w:val="24"/>
              </w:rPr>
              <w:t>S</w:t>
            </w:r>
          </w:p>
        </w:tc>
        <w:tc>
          <w:tcPr>
            <w:tcW w:w="596" w:type="pct"/>
            <w:shd w:val="clear" w:color="auto" w:fill="FBE4D5" w:themeFill="accent2" w:themeFillTint="33"/>
          </w:tcPr>
          <w:p w14:paraId="6479DE9C" w14:textId="77777777" w:rsidR="0049293E" w:rsidRPr="00277FBD" w:rsidRDefault="0049293E"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Nombres de participants</w:t>
            </w:r>
          </w:p>
        </w:tc>
        <w:tc>
          <w:tcPr>
            <w:tcW w:w="595" w:type="pct"/>
            <w:shd w:val="clear" w:color="auto" w:fill="FBE4D5" w:themeFill="accent2" w:themeFillTint="33"/>
          </w:tcPr>
          <w:p w14:paraId="325DEE99" w14:textId="59035590" w:rsidR="0049293E" w:rsidRPr="00277FBD" w:rsidRDefault="0049293E" w:rsidP="00EB6444">
            <w:pPr>
              <w:jc w:val="center"/>
              <w:rPr>
                <w:rFonts w:ascii="Arial" w:hAnsi="Arial" w:cs="Arial"/>
                <w:b/>
                <w:bCs/>
                <w:color w:val="000000" w:themeColor="text1"/>
                <w:sz w:val="24"/>
                <w:szCs w:val="24"/>
              </w:rPr>
            </w:pPr>
            <w:r>
              <w:rPr>
                <w:rFonts w:ascii="Arial" w:hAnsi="Arial" w:cs="Arial"/>
                <w:b/>
                <w:bCs/>
                <w:color w:val="000000" w:themeColor="text1"/>
                <w:sz w:val="24"/>
                <w:szCs w:val="24"/>
              </w:rPr>
              <w:t>Coût unitaire</w:t>
            </w:r>
            <w:r w:rsidR="00EB6444">
              <w:rPr>
                <w:rFonts w:ascii="Arial" w:hAnsi="Arial" w:cs="Arial"/>
                <w:b/>
                <w:bCs/>
                <w:color w:val="000000" w:themeColor="text1"/>
                <w:sz w:val="24"/>
                <w:szCs w:val="24"/>
              </w:rPr>
              <w:t xml:space="preserve"> HT</w:t>
            </w:r>
            <w:r>
              <w:rPr>
                <w:rFonts w:ascii="Arial" w:hAnsi="Arial" w:cs="Arial"/>
                <w:b/>
                <w:bCs/>
                <w:color w:val="000000" w:themeColor="text1"/>
                <w:sz w:val="24"/>
                <w:szCs w:val="24"/>
              </w:rPr>
              <w:t xml:space="preserve"> (GNF)</w:t>
            </w:r>
          </w:p>
        </w:tc>
        <w:tc>
          <w:tcPr>
            <w:tcW w:w="546" w:type="pct"/>
            <w:shd w:val="clear" w:color="auto" w:fill="FBE4D5" w:themeFill="accent2" w:themeFillTint="33"/>
          </w:tcPr>
          <w:p w14:paraId="58973AF2" w14:textId="79046122" w:rsidR="0049293E" w:rsidRPr="00277FBD" w:rsidRDefault="0049293E" w:rsidP="00EB6444">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Coût total </w:t>
            </w:r>
            <w:r w:rsidR="00EB6444">
              <w:rPr>
                <w:rFonts w:ascii="Arial" w:hAnsi="Arial" w:cs="Arial"/>
                <w:b/>
                <w:bCs/>
                <w:color w:val="000000" w:themeColor="text1"/>
                <w:sz w:val="24"/>
                <w:szCs w:val="24"/>
              </w:rPr>
              <w:t xml:space="preserve">HT </w:t>
            </w:r>
            <w:r>
              <w:rPr>
                <w:rFonts w:ascii="Arial" w:hAnsi="Arial" w:cs="Arial"/>
                <w:b/>
                <w:bCs/>
                <w:color w:val="000000" w:themeColor="text1"/>
                <w:sz w:val="24"/>
                <w:szCs w:val="24"/>
              </w:rPr>
              <w:t>(GNF)</w:t>
            </w:r>
          </w:p>
        </w:tc>
        <w:tc>
          <w:tcPr>
            <w:tcW w:w="2072" w:type="pct"/>
            <w:shd w:val="clear" w:color="auto" w:fill="FBE4D5" w:themeFill="accent2" w:themeFillTint="33"/>
          </w:tcPr>
          <w:p w14:paraId="3CBD4E2D" w14:textId="77777777" w:rsidR="0049293E" w:rsidRPr="00277FBD" w:rsidRDefault="0049293E"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Observations</w:t>
            </w:r>
          </w:p>
        </w:tc>
      </w:tr>
      <w:tr w:rsidR="00807493" w:rsidRPr="00277FBD" w14:paraId="6E4C15BC" w14:textId="77777777" w:rsidTr="00807493">
        <w:trPr>
          <w:trHeight w:val="795"/>
        </w:trPr>
        <w:tc>
          <w:tcPr>
            <w:tcW w:w="199" w:type="pct"/>
          </w:tcPr>
          <w:p w14:paraId="7C4B7804" w14:textId="3BE32E59"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1</w:t>
            </w:r>
          </w:p>
        </w:tc>
        <w:tc>
          <w:tcPr>
            <w:tcW w:w="992" w:type="pct"/>
          </w:tcPr>
          <w:p w14:paraId="764824B1"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en administration de </w:t>
            </w:r>
            <w:r>
              <w:rPr>
                <w:rFonts w:ascii="Arial" w:hAnsi="Arial" w:cs="Arial"/>
                <w:color w:val="000000" w:themeColor="text1"/>
                <w:sz w:val="24"/>
                <w:szCs w:val="24"/>
              </w:rPr>
              <w:t>D</w:t>
            </w:r>
            <w:r w:rsidRPr="00277FBD">
              <w:rPr>
                <w:rFonts w:ascii="Arial" w:hAnsi="Arial" w:cs="Arial"/>
                <w:color w:val="000000" w:themeColor="text1"/>
                <w:sz w:val="24"/>
                <w:szCs w:val="24"/>
              </w:rPr>
              <w:t xml:space="preserve">ata </w:t>
            </w:r>
            <w:r>
              <w:rPr>
                <w:rFonts w:ascii="Arial" w:hAnsi="Arial" w:cs="Arial"/>
                <w:color w:val="000000" w:themeColor="text1"/>
                <w:sz w:val="24"/>
                <w:szCs w:val="24"/>
              </w:rPr>
              <w:t>C</w:t>
            </w:r>
            <w:r w:rsidRPr="00277FBD">
              <w:rPr>
                <w:rFonts w:ascii="Arial" w:hAnsi="Arial" w:cs="Arial"/>
                <w:color w:val="000000" w:themeColor="text1"/>
                <w:sz w:val="24"/>
                <w:szCs w:val="24"/>
              </w:rPr>
              <w:t>enter</w:t>
            </w:r>
          </w:p>
        </w:tc>
        <w:tc>
          <w:tcPr>
            <w:tcW w:w="596" w:type="pct"/>
            <w:vAlign w:val="center"/>
          </w:tcPr>
          <w:p w14:paraId="48B4823A"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2</w:t>
            </w:r>
          </w:p>
        </w:tc>
        <w:tc>
          <w:tcPr>
            <w:tcW w:w="595" w:type="pct"/>
            <w:vAlign w:val="center"/>
          </w:tcPr>
          <w:p w14:paraId="4FF4C283"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46" w:type="pct"/>
            <w:vAlign w:val="center"/>
          </w:tcPr>
          <w:p w14:paraId="7BD6F474"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2072" w:type="pct"/>
          </w:tcPr>
          <w:p w14:paraId="006CF051"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Les administrateurs/administratrices </w:t>
            </w:r>
            <w:r>
              <w:rPr>
                <w:rFonts w:ascii="Arial" w:hAnsi="Arial" w:cs="Arial"/>
                <w:color w:val="000000" w:themeColor="text1"/>
                <w:sz w:val="24"/>
                <w:szCs w:val="24"/>
              </w:rPr>
              <w:t>D</w:t>
            </w:r>
            <w:r w:rsidRPr="00277FBD">
              <w:rPr>
                <w:rFonts w:ascii="Arial" w:hAnsi="Arial" w:cs="Arial"/>
                <w:color w:val="000000" w:themeColor="text1"/>
                <w:sz w:val="24"/>
                <w:szCs w:val="24"/>
              </w:rPr>
              <w:t xml:space="preserve">ata </w:t>
            </w:r>
            <w:r>
              <w:rPr>
                <w:rFonts w:ascii="Arial" w:hAnsi="Arial" w:cs="Arial"/>
                <w:color w:val="000000" w:themeColor="text1"/>
                <w:sz w:val="24"/>
                <w:szCs w:val="24"/>
              </w:rPr>
              <w:t>C</w:t>
            </w:r>
            <w:r w:rsidRPr="00277FBD">
              <w:rPr>
                <w:rFonts w:ascii="Arial" w:hAnsi="Arial" w:cs="Arial"/>
                <w:color w:val="000000" w:themeColor="text1"/>
                <w:sz w:val="24"/>
                <w:szCs w:val="24"/>
              </w:rPr>
              <w:t xml:space="preserve">enter seront responsable de l’infrastructure qui gère des données et les applications variées qui sont déployées (Créer, gérer et suivre les comptes utilisateurs ; dialoguer en continu avec les utilisateurs pour s’assurer du bon fonctionnement du </w:t>
            </w:r>
            <w:r>
              <w:rPr>
                <w:rFonts w:ascii="Arial" w:hAnsi="Arial" w:cs="Arial"/>
                <w:color w:val="000000" w:themeColor="text1"/>
                <w:sz w:val="24"/>
                <w:szCs w:val="24"/>
              </w:rPr>
              <w:t>D</w:t>
            </w:r>
            <w:r w:rsidRPr="00277FBD">
              <w:rPr>
                <w:rFonts w:ascii="Arial" w:hAnsi="Arial" w:cs="Arial"/>
                <w:color w:val="000000" w:themeColor="text1"/>
                <w:sz w:val="24"/>
                <w:szCs w:val="24"/>
              </w:rPr>
              <w:t xml:space="preserve">ata </w:t>
            </w:r>
            <w:r>
              <w:rPr>
                <w:rFonts w:ascii="Arial" w:hAnsi="Arial" w:cs="Arial"/>
                <w:color w:val="000000" w:themeColor="text1"/>
                <w:sz w:val="24"/>
                <w:szCs w:val="24"/>
              </w:rPr>
              <w:t>C</w:t>
            </w:r>
            <w:r w:rsidRPr="00277FBD">
              <w:rPr>
                <w:rFonts w:ascii="Arial" w:hAnsi="Arial" w:cs="Arial"/>
                <w:color w:val="000000" w:themeColor="text1"/>
                <w:sz w:val="24"/>
                <w:szCs w:val="24"/>
              </w:rPr>
              <w:t xml:space="preserve">enter ; </w:t>
            </w:r>
            <w:r>
              <w:rPr>
                <w:rFonts w:ascii="Arial" w:hAnsi="Arial" w:cs="Arial"/>
                <w:color w:val="000000" w:themeColor="text1"/>
                <w:sz w:val="24"/>
                <w:szCs w:val="24"/>
              </w:rPr>
              <w:t>s</w:t>
            </w:r>
            <w:r w:rsidRPr="00277FBD">
              <w:rPr>
                <w:rFonts w:ascii="Arial" w:hAnsi="Arial" w:cs="Arial"/>
                <w:color w:val="000000" w:themeColor="text1"/>
                <w:sz w:val="24"/>
                <w:szCs w:val="24"/>
              </w:rPr>
              <w:t xml:space="preserve">uivre les capacités du </w:t>
            </w:r>
            <w:r>
              <w:rPr>
                <w:rFonts w:ascii="Arial" w:hAnsi="Arial" w:cs="Arial"/>
                <w:color w:val="000000" w:themeColor="text1"/>
                <w:sz w:val="24"/>
                <w:szCs w:val="24"/>
              </w:rPr>
              <w:t>D</w:t>
            </w:r>
            <w:r w:rsidRPr="00277FBD">
              <w:rPr>
                <w:rFonts w:ascii="Arial" w:hAnsi="Arial" w:cs="Arial"/>
                <w:color w:val="000000" w:themeColor="text1"/>
                <w:sz w:val="24"/>
                <w:szCs w:val="24"/>
              </w:rPr>
              <w:t xml:space="preserve">ata </w:t>
            </w:r>
            <w:r>
              <w:rPr>
                <w:rFonts w:ascii="Arial" w:hAnsi="Arial" w:cs="Arial"/>
                <w:color w:val="000000" w:themeColor="text1"/>
                <w:sz w:val="24"/>
                <w:szCs w:val="24"/>
              </w:rPr>
              <w:t>C</w:t>
            </w:r>
            <w:r w:rsidRPr="00277FBD">
              <w:rPr>
                <w:rFonts w:ascii="Arial" w:hAnsi="Arial" w:cs="Arial"/>
                <w:color w:val="000000" w:themeColor="text1"/>
                <w:sz w:val="24"/>
                <w:szCs w:val="24"/>
              </w:rPr>
              <w:t xml:space="preserve">enter ; </w:t>
            </w:r>
            <w:r>
              <w:rPr>
                <w:rFonts w:ascii="Arial" w:hAnsi="Arial" w:cs="Arial"/>
                <w:color w:val="000000" w:themeColor="text1"/>
                <w:sz w:val="24"/>
                <w:szCs w:val="24"/>
              </w:rPr>
              <w:t>g</w:t>
            </w:r>
            <w:r w:rsidRPr="00277FBD">
              <w:rPr>
                <w:rFonts w:ascii="Arial" w:hAnsi="Arial" w:cs="Arial"/>
                <w:color w:val="000000" w:themeColor="text1"/>
                <w:sz w:val="24"/>
                <w:szCs w:val="24"/>
              </w:rPr>
              <w:t xml:space="preserve">érer les travaux spécifiques sur le serveur ; </w:t>
            </w:r>
            <w:r>
              <w:rPr>
                <w:rFonts w:ascii="Arial" w:hAnsi="Arial" w:cs="Arial"/>
                <w:color w:val="000000" w:themeColor="text1"/>
                <w:sz w:val="24"/>
                <w:szCs w:val="24"/>
              </w:rPr>
              <w:t>c</w:t>
            </w:r>
            <w:r w:rsidRPr="00277FBD">
              <w:rPr>
                <w:rFonts w:ascii="Arial" w:hAnsi="Arial" w:cs="Arial"/>
                <w:color w:val="000000" w:themeColor="text1"/>
                <w:sz w:val="24"/>
                <w:szCs w:val="24"/>
              </w:rPr>
              <w:t xml:space="preserve">oordination </w:t>
            </w:r>
            <w:r w:rsidRPr="00277FBD">
              <w:rPr>
                <w:rFonts w:ascii="Arial" w:hAnsi="Arial" w:cs="Arial"/>
                <w:color w:val="000000" w:themeColor="text1"/>
                <w:sz w:val="24"/>
                <w:szCs w:val="24"/>
              </w:rPr>
              <w:lastRenderedPageBreak/>
              <w:t>de projets transverses </w:t>
            </w:r>
            <w:r>
              <w:rPr>
                <w:rFonts w:ascii="Arial" w:hAnsi="Arial" w:cs="Arial"/>
                <w:color w:val="000000" w:themeColor="text1"/>
                <w:sz w:val="24"/>
                <w:szCs w:val="24"/>
              </w:rPr>
              <w:t>;</w:t>
            </w:r>
            <w:r w:rsidRPr="00277FBD">
              <w:rPr>
                <w:rFonts w:ascii="Arial" w:hAnsi="Arial" w:cs="Arial"/>
                <w:color w:val="000000" w:themeColor="text1"/>
                <w:sz w:val="24"/>
                <w:szCs w:val="24"/>
              </w:rPr>
              <w:t xml:space="preserve"> des normes réglementaires ; Prévention et la gestion des incidents …)</w:t>
            </w:r>
          </w:p>
        </w:tc>
      </w:tr>
      <w:tr w:rsidR="00807493" w:rsidRPr="00277FBD" w14:paraId="433025AA" w14:textId="77777777" w:rsidTr="00807493">
        <w:trPr>
          <w:trHeight w:val="795"/>
        </w:trPr>
        <w:tc>
          <w:tcPr>
            <w:tcW w:w="199" w:type="pct"/>
          </w:tcPr>
          <w:p w14:paraId="77EAC3FB" w14:textId="41F1A3FF"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lastRenderedPageBreak/>
              <w:t>2</w:t>
            </w:r>
          </w:p>
        </w:tc>
        <w:tc>
          <w:tcPr>
            <w:tcW w:w="992" w:type="pct"/>
          </w:tcPr>
          <w:p w14:paraId="046D7524"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avancée en langage de programmation et systèmes d’information en santé : </w:t>
            </w:r>
          </w:p>
          <w:p w14:paraId="76338A6A"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 certification avancée en DHIS2, </w:t>
            </w:r>
            <w:proofErr w:type="spellStart"/>
            <w:r w:rsidRPr="00277FBD">
              <w:rPr>
                <w:rFonts w:ascii="Arial" w:hAnsi="Arial" w:cs="Arial"/>
                <w:color w:val="000000" w:themeColor="text1"/>
                <w:sz w:val="24"/>
                <w:szCs w:val="24"/>
              </w:rPr>
              <w:t>CommCare</w:t>
            </w:r>
            <w:proofErr w:type="spellEnd"/>
            <w:r w:rsidRPr="00277FBD">
              <w:rPr>
                <w:rFonts w:ascii="Arial" w:hAnsi="Arial" w:cs="Arial"/>
                <w:color w:val="000000" w:themeColor="text1"/>
                <w:sz w:val="24"/>
                <w:szCs w:val="24"/>
              </w:rPr>
              <w:t>…</w:t>
            </w:r>
          </w:p>
          <w:p w14:paraId="32520862"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langages de programmation (syntaxique) : XML, HL7, Java</w:t>
            </w:r>
          </w:p>
          <w:p w14:paraId="10186575"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 langage de programmation Python, </w:t>
            </w:r>
          </w:p>
        </w:tc>
        <w:tc>
          <w:tcPr>
            <w:tcW w:w="596" w:type="pct"/>
            <w:vAlign w:val="center"/>
          </w:tcPr>
          <w:p w14:paraId="12F8E26B" w14:textId="77777777" w:rsidR="0049293E" w:rsidRPr="00D1599F" w:rsidRDefault="0049293E" w:rsidP="00EB6444">
            <w:pPr>
              <w:jc w:val="center"/>
              <w:rPr>
                <w:rFonts w:ascii="Arial" w:hAnsi="Arial" w:cs="Arial"/>
                <w:color w:val="000000" w:themeColor="text1"/>
                <w:sz w:val="24"/>
                <w:szCs w:val="24"/>
              </w:rPr>
            </w:pPr>
            <w:r>
              <w:rPr>
                <w:rFonts w:ascii="Arial" w:hAnsi="Arial" w:cs="Arial"/>
                <w:color w:val="000000" w:themeColor="text1"/>
              </w:rPr>
              <w:t>2</w:t>
            </w:r>
          </w:p>
        </w:tc>
        <w:tc>
          <w:tcPr>
            <w:tcW w:w="595" w:type="pct"/>
            <w:vAlign w:val="center"/>
          </w:tcPr>
          <w:p w14:paraId="7112DD16"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46" w:type="pct"/>
            <w:vAlign w:val="center"/>
          </w:tcPr>
          <w:p w14:paraId="7BB89A5C"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2072" w:type="pct"/>
          </w:tcPr>
          <w:p w14:paraId="7406C7E9" w14:textId="77777777" w:rsidR="0049293E" w:rsidRPr="00277FBD" w:rsidRDefault="0049293E" w:rsidP="00AB21A5">
            <w:pPr>
              <w:rPr>
                <w:rFonts w:ascii="Arial" w:hAnsi="Arial" w:cs="Arial"/>
                <w:color w:val="000000" w:themeColor="text1"/>
                <w:sz w:val="24"/>
                <w:szCs w:val="24"/>
              </w:rPr>
            </w:pPr>
          </w:p>
        </w:tc>
      </w:tr>
      <w:tr w:rsidR="00807493" w:rsidRPr="00277FBD" w14:paraId="6CB0D775" w14:textId="77777777" w:rsidTr="00807493">
        <w:trPr>
          <w:trHeight w:val="795"/>
        </w:trPr>
        <w:tc>
          <w:tcPr>
            <w:tcW w:w="199" w:type="pct"/>
          </w:tcPr>
          <w:p w14:paraId="2921B384" w14:textId="33FB3680"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3</w:t>
            </w:r>
          </w:p>
        </w:tc>
        <w:tc>
          <w:tcPr>
            <w:tcW w:w="992" w:type="pct"/>
          </w:tcPr>
          <w:p w14:paraId="0CF090BE"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Formations spécifiques : </w:t>
            </w:r>
          </w:p>
          <w:p w14:paraId="03ED8EEF"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NSE 4 administration</w:t>
            </w:r>
            <w:r>
              <w:rPr>
                <w:rFonts w:ascii="Arial" w:hAnsi="Arial" w:cs="Arial"/>
                <w:color w:val="000000" w:themeColor="text1"/>
                <w:sz w:val="24"/>
                <w:szCs w:val="24"/>
              </w:rPr>
              <w:t>s</w:t>
            </w:r>
            <w:r w:rsidRPr="00277FBD">
              <w:rPr>
                <w:rFonts w:ascii="Arial" w:hAnsi="Arial" w:cs="Arial"/>
                <w:color w:val="000000" w:themeColor="text1"/>
                <w:sz w:val="24"/>
                <w:szCs w:val="24"/>
              </w:rPr>
              <w:t xml:space="preserve"> des pare-feu </w:t>
            </w:r>
            <w:proofErr w:type="spellStart"/>
            <w:r w:rsidRPr="00277FBD">
              <w:rPr>
                <w:rFonts w:ascii="Arial" w:hAnsi="Arial" w:cs="Arial"/>
                <w:color w:val="000000" w:themeColor="text1"/>
                <w:sz w:val="24"/>
                <w:szCs w:val="24"/>
              </w:rPr>
              <w:t>FortiGate</w:t>
            </w:r>
            <w:proofErr w:type="spellEnd"/>
          </w:p>
          <w:p w14:paraId="4B912C5B"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CCNP ENCOR Administration des routeurs Cisco (CCNP ENCOR)</w:t>
            </w:r>
          </w:p>
          <w:p w14:paraId="1B5F8E7B"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Gestion de la cyber sécurité (ISO 27032)</w:t>
            </w:r>
          </w:p>
          <w:p w14:paraId="3BE9BBFB"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Administration des serveurs (RED HAT Enterprise)</w:t>
            </w:r>
          </w:p>
          <w:p w14:paraId="10DD67F9"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Management de la Sécurité des SI (ISO 27001)</w:t>
            </w:r>
          </w:p>
          <w:p w14:paraId="18EA827E"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lastRenderedPageBreak/>
              <w:t xml:space="preserve">- Gestion du Cloud Privé (OCA, </w:t>
            </w:r>
            <w:proofErr w:type="spellStart"/>
            <w:r w:rsidRPr="00277FBD">
              <w:rPr>
                <w:rFonts w:ascii="Arial" w:hAnsi="Arial" w:cs="Arial"/>
                <w:color w:val="000000" w:themeColor="text1"/>
                <w:sz w:val="24"/>
                <w:szCs w:val="24"/>
              </w:rPr>
              <w:t>openstack</w:t>
            </w:r>
            <w:proofErr w:type="spellEnd"/>
            <w:r w:rsidRPr="00277FBD">
              <w:rPr>
                <w:rFonts w:ascii="Arial" w:hAnsi="Arial" w:cs="Arial"/>
                <w:color w:val="000000" w:themeColor="text1"/>
                <w:sz w:val="24"/>
                <w:szCs w:val="24"/>
              </w:rPr>
              <w:t xml:space="preserve"> </w:t>
            </w:r>
            <w:proofErr w:type="spellStart"/>
            <w:r w:rsidRPr="00277FBD">
              <w:rPr>
                <w:rFonts w:ascii="Arial" w:hAnsi="Arial" w:cs="Arial"/>
                <w:color w:val="000000" w:themeColor="text1"/>
                <w:sz w:val="24"/>
                <w:szCs w:val="24"/>
              </w:rPr>
              <w:t>administrator</w:t>
            </w:r>
            <w:proofErr w:type="spellEnd"/>
            <w:r w:rsidRPr="00277FBD">
              <w:rPr>
                <w:rFonts w:ascii="Arial" w:hAnsi="Arial" w:cs="Arial"/>
                <w:color w:val="000000" w:themeColor="text1"/>
                <w:sz w:val="24"/>
                <w:szCs w:val="24"/>
              </w:rPr>
              <w:t>)</w:t>
            </w:r>
          </w:p>
          <w:p w14:paraId="779CD6BD"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Certification TIER III DESIGN DOCUMENTS</w:t>
            </w:r>
          </w:p>
          <w:p w14:paraId="56E70EFD"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Certification TIER III CONSTRUCTED FACILITY</w:t>
            </w:r>
          </w:p>
        </w:tc>
        <w:tc>
          <w:tcPr>
            <w:tcW w:w="596" w:type="pct"/>
            <w:vAlign w:val="center"/>
          </w:tcPr>
          <w:p w14:paraId="7936E356"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lastRenderedPageBreak/>
              <w:t>04</w:t>
            </w:r>
          </w:p>
        </w:tc>
        <w:tc>
          <w:tcPr>
            <w:tcW w:w="595" w:type="pct"/>
            <w:vAlign w:val="center"/>
          </w:tcPr>
          <w:p w14:paraId="49BC5BDE"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46" w:type="pct"/>
            <w:vAlign w:val="center"/>
          </w:tcPr>
          <w:p w14:paraId="5A1D36C7"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87262108</w:t>
            </w:r>
          </w:p>
        </w:tc>
        <w:tc>
          <w:tcPr>
            <w:tcW w:w="2072" w:type="pct"/>
          </w:tcPr>
          <w:p w14:paraId="2DCB560C"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Le gestionnaire du </w:t>
            </w:r>
            <w:r>
              <w:rPr>
                <w:rFonts w:ascii="Arial" w:hAnsi="Arial" w:cs="Arial"/>
                <w:color w:val="000000" w:themeColor="text1"/>
                <w:sz w:val="24"/>
                <w:szCs w:val="24"/>
              </w:rPr>
              <w:t>D</w:t>
            </w:r>
            <w:r w:rsidRPr="00277FBD">
              <w:rPr>
                <w:rFonts w:ascii="Arial" w:hAnsi="Arial" w:cs="Arial"/>
                <w:color w:val="000000" w:themeColor="text1"/>
                <w:sz w:val="24"/>
                <w:szCs w:val="24"/>
              </w:rPr>
              <w:t xml:space="preserve">ata </w:t>
            </w:r>
            <w:r>
              <w:rPr>
                <w:rFonts w:ascii="Arial" w:hAnsi="Arial" w:cs="Arial"/>
                <w:color w:val="000000" w:themeColor="text1"/>
                <w:sz w:val="24"/>
                <w:szCs w:val="24"/>
              </w:rPr>
              <w:t>C</w:t>
            </w:r>
            <w:r w:rsidRPr="00277FBD">
              <w:rPr>
                <w:rFonts w:ascii="Arial" w:hAnsi="Arial" w:cs="Arial"/>
                <w:color w:val="000000" w:themeColor="text1"/>
                <w:sz w:val="24"/>
                <w:szCs w:val="24"/>
              </w:rPr>
              <w:t>enter veillera à la formation du personnel IT du ministère de la santé (sur tous les équipements déployés dans la salle pour une prise en main complète par les ingénieurs du Ministère</w:t>
            </w:r>
          </w:p>
        </w:tc>
      </w:tr>
      <w:tr w:rsidR="00807493" w:rsidRPr="00277FBD" w14:paraId="353C378E" w14:textId="77777777" w:rsidTr="00807493">
        <w:tc>
          <w:tcPr>
            <w:tcW w:w="199" w:type="pct"/>
          </w:tcPr>
          <w:p w14:paraId="5746A02F" w14:textId="30C93C4B"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4</w:t>
            </w:r>
          </w:p>
        </w:tc>
        <w:tc>
          <w:tcPr>
            <w:tcW w:w="992" w:type="pct"/>
          </w:tcPr>
          <w:p w14:paraId="4B7C0E81"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Automatisation des déploiements avec </w:t>
            </w:r>
            <w:proofErr w:type="spellStart"/>
            <w:r w:rsidRPr="00277FBD">
              <w:rPr>
                <w:rFonts w:ascii="Arial" w:hAnsi="Arial" w:cs="Arial"/>
                <w:color w:val="000000" w:themeColor="text1"/>
                <w:sz w:val="24"/>
                <w:szCs w:val="24"/>
              </w:rPr>
              <w:t>Ansible</w:t>
            </w:r>
            <w:proofErr w:type="spellEnd"/>
            <w:r w:rsidRPr="00277FBD">
              <w:rPr>
                <w:rFonts w:ascii="Arial" w:hAnsi="Arial" w:cs="Arial"/>
                <w:color w:val="000000" w:themeColor="text1"/>
                <w:sz w:val="24"/>
                <w:szCs w:val="24"/>
              </w:rPr>
              <w:t xml:space="preserve"> et </w:t>
            </w:r>
            <w:proofErr w:type="spellStart"/>
            <w:r w:rsidRPr="00277FBD">
              <w:rPr>
                <w:rFonts w:ascii="Arial" w:hAnsi="Arial" w:cs="Arial"/>
                <w:color w:val="000000" w:themeColor="text1"/>
                <w:sz w:val="24"/>
                <w:szCs w:val="24"/>
              </w:rPr>
              <w:t>Puppet</w:t>
            </w:r>
            <w:proofErr w:type="spellEnd"/>
            <w:r w:rsidRPr="00277FBD">
              <w:rPr>
                <w:rFonts w:ascii="Arial" w:hAnsi="Arial" w:cs="Arial"/>
                <w:sz w:val="24"/>
                <w:szCs w:val="24"/>
              </w:rPr>
              <w:t xml:space="preserve">  </w:t>
            </w:r>
          </w:p>
        </w:tc>
        <w:tc>
          <w:tcPr>
            <w:tcW w:w="596" w:type="pct"/>
            <w:vAlign w:val="center"/>
          </w:tcPr>
          <w:p w14:paraId="71454620"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02</w:t>
            </w:r>
          </w:p>
        </w:tc>
        <w:tc>
          <w:tcPr>
            <w:tcW w:w="595" w:type="pct"/>
            <w:vAlign w:val="center"/>
          </w:tcPr>
          <w:p w14:paraId="09A01C9C"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46" w:type="pct"/>
            <w:vAlign w:val="center"/>
          </w:tcPr>
          <w:p w14:paraId="5E763E33"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2072" w:type="pct"/>
          </w:tcPr>
          <w:p w14:paraId="793D06D6" w14:textId="77777777" w:rsidR="0049293E" w:rsidRPr="00277FBD" w:rsidRDefault="0049293E" w:rsidP="00AB21A5">
            <w:pPr>
              <w:rPr>
                <w:rFonts w:ascii="Arial" w:hAnsi="Arial" w:cs="Arial"/>
                <w:color w:val="000000" w:themeColor="text1"/>
                <w:sz w:val="24"/>
                <w:szCs w:val="24"/>
              </w:rPr>
            </w:pPr>
          </w:p>
        </w:tc>
      </w:tr>
      <w:tr w:rsidR="00807493" w:rsidRPr="00277FBD" w14:paraId="2ED63307" w14:textId="77777777" w:rsidTr="00807493">
        <w:tc>
          <w:tcPr>
            <w:tcW w:w="199" w:type="pct"/>
          </w:tcPr>
          <w:p w14:paraId="622C0725" w14:textId="7085945B"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5</w:t>
            </w:r>
          </w:p>
        </w:tc>
        <w:tc>
          <w:tcPr>
            <w:tcW w:w="992" w:type="pct"/>
          </w:tcPr>
          <w:p w14:paraId="4E1AF7FF"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ISO 22301 </w:t>
            </w:r>
            <w:r>
              <w:rPr>
                <w:rFonts w:ascii="Arial" w:hAnsi="Arial" w:cs="Arial"/>
                <w:color w:val="000000" w:themeColor="text1"/>
                <w:sz w:val="24"/>
                <w:szCs w:val="24"/>
              </w:rPr>
              <w:t>É</w:t>
            </w:r>
            <w:r w:rsidRPr="00277FBD">
              <w:rPr>
                <w:rFonts w:ascii="Arial" w:hAnsi="Arial" w:cs="Arial"/>
                <w:color w:val="000000" w:themeColor="text1"/>
                <w:sz w:val="24"/>
                <w:szCs w:val="24"/>
              </w:rPr>
              <w:t>laboration et mise en place d’un plan de continuité d’activité</w:t>
            </w:r>
          </w:p>
        </w:tc>
        <w:tc>
          <w:tcPr>
            <w:tcW w:w="596" w:type="pct"/>
            <w:vAlign w:val="center"/>
          </w:tcPr>
          <w:p w14:paraId="7BA8DE81"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03</w:t>
            </w:r>
          </w:p>
        </w:tc>
        <w:tc>
          <w:tcPr>
            <w:tcW w:w="595" w:type="pct"/>
            <w:vAlign w:val="center"/>
          </w:tcPr>
          <w:p w14:paraId="186CF825"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46" w:type="pct"/>
            <w:vAlign w:val="center"/>
          </w:tcPr>
          <w:p w14:paraId="277871E5"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65446581</w:t>
            </w:r>
          </w:p>
        </w:tc>
        <w:tc>
          <w:tcPr>
            <w:tcW w:w="2072" w:type="pct"/>
          </w:tcPr>
          <w:p w14:paraId="52B6187C"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avec Certification</w:t>
            </w:r>
          </w:p>
        </w:tc>
      </w:tr>
    </w:tbl>
    <w:p w14:paraId="6A704F2F" w14:textId="77777777" w:rsidR="0049293E" w:rsidRDefault="0049293E" w:rsidP="0049293E">
      <w:pPr>
        <w:tabs>
          <w:tab w:val="left" w:pos="1215"/>
          <w:tab w:val="left" w:pos="6017"/>
          <w:tab w:val="left" w:pos="10061"/>
        </w:tabs>
        <w:ind w:left="113"/>
        <w:rPr>
          <w:rFonts w:ascii="Arial" w:hAnsi="Arial" w:cs="Times New Roman"/>
          <w:color w:val="000000" w:themeColor="text1"/>
          <w:sz w:val="20"/>
          <w:szCs w:val="20"/>
          <w:lang w:eastAsia="ja-JP"/>
        </w:rPr>
      </w:pPr>
      <w:r w:rsidRPr="00C74354">
        <w:rPr>
          <w:rFonts w:ascii="Arial" w:hAnsi="Arial" w:cs="Times New Roman"/>
          <w:color w:val="000000" w:themeColor="text1"/>
          <w:sz w:val="20"/>
          <w:szCs w:val="20"/>
          <w:lang w:eastAsia="ja-JP"/>
        </w:rPr>
        <w:tab/>
      </w:r>
    </w:p>
    <w:p w14:paraId="562116E2" w14:textId="59780F06" w:rsidR="0049293E" w:rsidRPr="00807493" w:rsidRDefault="0049293E" w:rsidP="00807493">
      <w:pPr>
        <w:pStyle w:val="Caption"/>
        <w:jc w:val="center"/>
        <w:rPr>
          <w:rFonts w:ascii="Arial" w:hAnsi="Arial" w:cs="Arial"/>
          <w:color w:val="C00000"/>
          <w:sz w:val="24"/>
          <w:szCs w:val="24"/>
        </w:rPr>
      </w:pPr>
      <w:bookmarkStart w:id="38" w:name="_Toc99467014"/>
      <w:r w:rsidRPr="00277FBD">
        <w:rPr>
          <w:rFonts w:ascii="Arial" w:hAnsi="Arial" w:cs="Arial"/>
          <w:sz w:val="24"/>
          <w:szCs w:val="24"/>
        </w:rPr>
        <w:t xml:space="preserve">Tableau </w:t>
      </w:r>
      <w:r w:rsidRPr="00277FBD">
        <w:rPr>
          <w:rFonts w:ascii="Arial" w:hAnsi="Arial" w:cs="Arial"/>
          <w:sz w:val="24"/>
          <w:szCs w:val="24"/>
        </w:rPr>
        <w:fldChar w:fldCharType="begin"/>
      </w:r>
      <w:r w:rsidRPr="00277FBD">
        <w:rPr>
          <w:rFonts w:ascii="Arial" w:hAnsi="Arial" w:cs="Arial"/>
          <w:sz w:val="24"/>
          <w:szCs w:val="24"/>
        </w:rPr>
        <w:instrText xml:space="preserve"> SEQ Tableau \* ARABIC </w:instrText>
      </w:r>
      <w:r w:rsidRPr="00277FBD">
        <w:rPr>
          <w:rFonts w:ascii="Arial" w:hAnsi="Arial" w:cs="Arial"/>
          <w:sz w:val="24"/>
          <w:szCs w:val="24"/>
        </w:rPr>
        <w:fldChar w:fldCharType="separate"/>
      </w:r>
      <w:r w:rsidR="007F117B">
        <w:rPr>
          <w:rFonts w:ascii="Arial" w:hAnsi="Arial" w:cs="Arial"/>
          <w:noProof/>
          <w:sz w:val="24"/>
          <w:szCs w:val="24"/>
        </w:rPr>
        <w:t>11</w:t>
      </w:r>
      <w:r w:rsidRPr="00277FBD">
        <w:rPr>
          <w:rFonts w:ascii="Arial" w:hAnsi="Arial" w:cs="Arial"/>
          <w:sz w:val="24"/>
          <w:szCs w:val="24"/>
        </w:rPr>
        <w:fldChar w:fldCharType="end"/>
      </w:r>
      <w:r w:rsidRPr="00277FBD">
        <w:rPr>
          <w:rFonts w:ascii="Arial" w:hAnsi="Arial" w:cs="Arial"/>
          <w:sz w:val="24"/>
          <w:szCs w:val="24"/>
        </w:rPr>
        <w:t xml:space="preserve"> : Besoins en personnel IT pour la gestion des bases de données des </w:t>
      </w:r>
      <w:r>
        <w:rPr>
          <w:rFonts w:ascii="Arial" w:hAnsi="Arial" w:cs="Arial"/>
          <w:sz w:val="24"/>
          <w:szCs w:val="24"/>
        </w:rPr>
        <w:t>D</w:t>
      </w:r>
      <w:r w:rsidRPr="00277FBD">
        <w:rPr>
          <w:rFonts w:ascii="Arial" w:hAnsi="Arial" w:cs="Arial"/>
          <w:sz w:val="24"/>
          <w:szCs w:val="24"/>
        </w:rPr>
        <w:t xml:space="preserve">ata </w:t>
      </w:r>
      <w:r>
        <w:rPr>
          <w:rFonts w:ascii="Arial" w:hAnsi="Arial" w:cs="Arial"/>
          <w:sz w:val="24"/>
          <w:szCs w:val="24"/>
        </w:rPr>
        <w:t>C</w:t>
      </w:r>
      <w:r w:rsidRPr="00277FBD">
        <w:rPr>
          <w:rFonts w:ascii="Arial" w:hAnsi="Arial" w:cs="Arial"/>
          <w:sz w:val="24"/>
          <w:szCs w:val="24"/>
        </w:rPr>
        <w:t>enter de test et de sauvegarde</w:t>
      </w:r>
      <w:r w:rsidR="00807493">
        <w:rPr>
          <w:rFonts w:ascii="Arial" w:hAnsi="Arial" w:cs="Arial"/>
          <w:sz w:val="24"/>
          <w:szCs w:val="24"/>
        </w:rPr>
        <w:t xml:space="preserve"> </w:t>
      </w:r>
      <w:r w:rsidR="00807493" w:rsidRPr="00AB21A5">
        <w:rPr>
          <w:rFonts w:ascii="Arial" w:hAnsi="Arial" w:cs="Arial"/>
          <w:color w:val="C00000"/>
          <w:sz w:val="24"/>
          <w:szCs w:val="24"/>
        </w:rPr>
        <w:t>(formation de six (6) mois à un (1) an les institutions privées spécialisées)</w:t>
      </w:r>
      <w:bookmarkEnd w:id="38"/>
    </w:p>
    <w:tbl>
      <w:tblPr>
        <w:tblStyle w:val="TableGrid"/>
        <w:tblW w:w="5103" w:type="pct"/>
        <w:tblInd w:w="-289" w:type="dxa"/>
        <w:tblLook w:val="04A0" w:firstRow="1" w:lastRow="0" w:firstColumn="1" w:lastColumn="0" w:noHBand="0" w:noVBand="1"/>
      </w:tblPr>
      <w:tblGrid>
        <w:gridCol w:w="486"/>
        <w:gridCol w:w="4476"/>
        <w:gridCol w:w="1702"/>
        <w:gridCol w:w="1842"/>
        <w:gridCol w:w="1700"/>
        <w:gridCol w:w="4076"/>
      </w:tblGrid>
      <w:tr w:rsidR="00807493" w:rsidRPr="00277FBD" w14:paraId="264D87A9" w14:textId="77777777" w:rsidTr="00807493">
        <w:tc>
          <w:tcPr>
            <w:tcW w:w="170" w:type="pct"/>
            <w:shd w:val="clear" w:color="auto" w:fill="FBE4D5" w:themeFill="accent2" w:themeFillTint="33"/>
          </w:tcPr>
          <w:p w14:paraId="4E77ACF3"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N°</w:t>
            </w:r>
          </w:p>
        </w:tc>
        <w:tc>
          <w:tcPr>
            <w:tcW w:w="1567" w:type="pct"/>
            <w:shd w:val="clear" w:color="auto" w:fill="FBE4D5" w:themeFill="accent2" w:themeFillTint="33"/>
          </w:tcPr>
          <w:p w14:paraId="6032BFBD"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INTITUL</w:t>
            </w:r>
            <w:r>
              <w:rPr>
                <w:rFonts w:ascii="Arial" w:hAnsi="Arial" w:cs="Arial"/>
                <w:b/>
                <w:bCs/>
                <w:color w:val="000000" w:themeColor="text1"/>
                <w:sz w:val="24"/>
                <w:szCs w:val="24"/>
              </w:rPr>
              <w:t>É</w:t>
            </w:r>
            <w:r w:rsidRPr="00277FBD">
              <w:rPr>
                <w:rFonts w:ascii="Arial" w:hAnsi="Arial" w:cs="Arial"/>
                <w:b/>
                <w:bCs/>
                <w:color w:val="000000" w:themeColor="text1"/>
                <w:sz w:val="24"/>
                <w:szCs w:val="24"/>
              </w:rPr>
              <w:t>S</w:t>
            </w:r>
          </w:p>
        </w:tc>
        <w:tc>
          <w:tcPr>
            <w:tcW w:w="596" w:type="pct"/>
            <w:shd w:val="clear" w:color="auto" w:fill="FBE4D5" w:themeFill="accent2" w:themeFillTint="33"/>
          </w:tcPr>
          <w:p w14:paraId="15F2B138"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Nombres de participants</w:t>
            </w:r>
          </w:p>
        </w:tc>
        <w:tc>
          <w:tcPr>
            <w:tcW w:w="645" w:type="pct"/>
            <w:shd w:val="clear" w:color="auto" w:fill="FBE4D5" w:themeFill="accent2" w:themeFillTint="33"/>
          </w:tcPr>
          <w:p w14:paraId="1A8578FA" w14:textId="514717DE" w:rsidR="00EB6444" w:rsidRPr="00277FBD" w:rsidRDefault="00EB6444" w:rsidP="00EB6444">
            <w:pPr>
              <w:jc w:val="center"/>
              <w:rPr>
                <w:rFonts w:ascii="Arial" w:hAnsi="Arial" w:cs="Arial"/>
                <w:b/>
                <w:bCs/>
                <w:color w:val="000000" w:themeColor="text1"/>
                <w:sz w:val="24"/>
                <w:szCs w:val="24"/>
              </w:rPr>
            </w:pPr>
            <w:r>
              <w:rPr>
                <w:rFonts w:ascii="Arial" w:hAnsi="Arial" w:cs="Arial"/>
                <w:b/>
                <w:bCs/>
                <w:color w:val="000000" w:themeColor="text1"/>
                <w:sz w:val="24"/>
                <w:szCs w:val="24"/>
              </w:rPr>
              <w:t>Coût unitaire HT (GNF)</w:t>
            </w:r>
          </w:p>
        </w:tc>
        <w:tc>
          <w:tcPr>
            <w:tcW w:w="595" w:type="pct"/>
            <w:shd w:val="clear" w:color="auto" w:fill="FBE4D5" w:themeFill="accent2" w:themeFillTint="33"/>
          </w:tcPr>
          <w:p w14:paraId="0D7EDB2D" w14:textId="54E865E7" w:rsidR="00EB6444" w:rsidRPr="00277FBD" w:rsidRDefault="00EB6444" w:rsidP="00EB6444">
            <w:pPr>
              <w:jc w:val="center"/>
              <w:rPr>
                <w:rFonts w:ascii="Arial" w:hAnsi="Arial" w:cs="Arial"/>
                <w:b/>
                <w:bCs/>
                <w:color w:val="000000" w:themeColor="text1"/>
                <w:sz w:val="24"/>
                <w:szCs w:val="24"/>
              </w:rPr>
            </w:pPr>
            <w:r>
              <w:rPr>
                <w:rFonts w:ascii="Arial" w:hAnsi="Arial" w:cs="Arial"/>
                <w:b/>
                <w:bCs/>
                <w:color w:val="000000" w:themeColor="text1"/>
                <w:sz w:val="24"/>
                <w:szCs w:val="24"/>
              </w:rPr>
              <w:t>Coût total HT (GNF)</w:t>
            </w:r>
          </w:p>
        </w:tc>
        <w:tc>
          <w:tcPr>
            <w:tcW w:w="1427" w:type="pct"/>
            <w:shd w:val="clear" w:color="auto" w:fill="FBE4D5" w:themeFill="accent2" w:themeFillTint="33"/>
          </w:tcPr>
          <w:p w14:paraId="56AB0458" w14:textId="77777777" w:rsidR="00EB6444" w:rsidRPr="00277FBD" w:rsidRDefault="00EB6444" w:rsidP="00EB6444">
            <w:pPr>
              <w:jc w:val="center"/>
              <w:rPr>
                <w:rFonts w:ascii="Arial" w:hAnsi="Arial" w:cs="Arial"/>
                <w:b/>
                <w:bCs/>
                <w:color w:val="000000" w:themeColor="text1"/>
                <w:sz w:val="24"/>
                <w:szCs w:val="24"/>
              </w:rPr>
            </w:pPr>
            <w:r w:rsidRPr="00277FBD">
              <w:rPr>
                <w:rFonts w:ascii="Arial" w:hAnsi="Arial" w:cs="Arial"/>
                <w:b/>
                <w:bCs/>
                <w:color w:val="000000" w:themeColor="text1"/>
                <w:sz w:val="24"/>
                <w:szCs w:val="24"/>
              </w:rPr>
              <w:t>Observations</w:t>
            </w:r>
          </w:p>
        </w:tc>
      </w:tr>
      <w:tr w:rsidR="00807493" w:rsidRPr="00277FBD" w14:paraId="07B181A0" w14:textId="77777777" w:rsidTr="00807493">
        <w:trPr>
          <w:trHeight w:val="795"/>
        </w:trPr>
        <w:tc>
          <w:tcPr>
            <w:tcW w:w="170" w:type="pct"/>
          </w:tcPr>
          <w:p w14:paraId="1D0E6A68" w14:textId="4DEBCD99" w:rsidR="0049293E" w:rsidRPr="00807493" w:rsidRDefault="00807493" w:rsidP="00807493">
            <w:pPr>
              <w:rPr>
                <w:rFonts w:ascii="Arial" w:hAnsi="Arial" w:cs="Arial"/>
                <w:color w:val="000000" w:themeColor="text1"/>
                <w:sz w:val="24"/>
                <w:szCs w:val="24"/>
              </w:rPr>
            </w:pPr>
            <w:r w:rsidRPr="00807493">
              <w:rPr>
                <w:rFonts w:ascii="Arial" w:hAnsi="Arial" w:cs="Arial"/>
                <w:color w:val="000000" w:themeColor="text1"/>
                <w:sz w:val="24"/>
                <w:szCs w:val="24"/>
              </w:rPr>
              <w:t>1</w:t>
            </w:r>
          </w:p>
        </w:tc>
        <w:tc>
          <w:tcPr>
            <w:tcW w:w="1567" w:type="pct"/>
          </w:tcPr>
          <w:p w14:paraId="4D14D140"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à la prise en main de tous les systèmes déployés dans la salle (système de supervision, de détection/extinction d’incendie, de vidéo surveillance…)</w:t>
            </w:r>
          </w:p>
        </w:tc>
        <w:tc>
          <w:tcPr>
            <w:tcW w:w="596" w:type="pct"/>
            <w:vAlign w:val="center"/>
          </w:tcPr>
          <w:p w14:paraId="32AC6A4E"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03</w:t>
            </w:r>
          </w:p>
        </w:tc>
        <w:tc>
          <w:tcPr>
            <w:tcW w:w="645" w:type="pct"/>
            <w:vAlign w:val="center"/>
          </w:tcPr>
          <w:p w14:paraId="1B76F4F3"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3D9FD41C"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65446581</w:t>
            </w:r>
          </w:p>
        </w:tc>
        <w:tc>
          <w:tcPr>
            <w:tcW w:w="1427" w:type="pct"/>
          </w:tcPr>
          <w:p w14:paraId="37991B1A"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Le prestataire veillera à la formation sur tous les équipements déployés dans la salle pour une prise en main complète par les ingénieurs du Ministère</w:t>
            </w:r>
          </w:p>
        </w:tc>
      </w:tr>
      <w:tr w:rsidR="00807493" w:rsidRPr="00277FBD" w14:paraId="0E903865" w14:textId="77777777" w:rsidTr="00807493">
        <w:tc>
          <w:tcPr>
            <w:tcW w:w="170" w:type="pct"/>
          </w:tcPr>
          <w:p w14:paraId="3FC68E0C" w14:textId="1927ED8C"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2</w:t>
            </w:r>
          </w:p>
        </w:tc>
        <w:tc>
          <w:tcPr>
            <w:tcW w:w="1567" w:type="pct"/>
          </w:tcPr>
          <w:p w14:paraId="3F4441AB"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OCA (</w:t>
            </w:r>
            <w:proofErr w:type="spellStart"/>
            <w:r w:rsidRPr="00277FBD">
              <w:rPr>
                <w:rFonts w:ascii="Arial" w:hAnsi="Arial" w:cs="Arial"/>
                <w:color w:val="000000" w:themeColor="text1"/>
                <w:sz w:val="24"/>
                <w:szCs w:val="24"/>
              </w:rPr>
              <w:t>openstack</w:t>
            </w:r>
            <w:proofErr w:type="spellEnd"/>
            <w:r w:rsidRPr="00277FBD">
              <w:rPr>
                <w:rFonts w:ascii="Arial" w:hAnsi="Arial" w:cs="Arial"/>
                <w:color w:val="000000" w:themeColor="text1"/>
                <w:sz w:val="24"/>
                <w:szCs w:val="24"/>
              </w:rPr>
              <w:t xml:space="preserve"> </w:t>
            </w:r>
            <w:proofErr w:type="spellStart"/>
            <w:r w:rsidRPr="00277FBD">
              <w:rPr>
                <w:rFonts w:ascii="Arial" w:hAnsi="Arial" w:cs="Arial"/>
                <w:color w:val="000000" w:themeColor="text1"/>
                <w:sz w:val="24"/>
                <w:szCs w:val="24"/>
              </w:rPr>
              <w:t>administrator</w:t>
            </w:r>
            <w:proofErr w:type="spellEnd"/>
            <w:r w:rsidRPr="00277FBD">
              <w:rPr>
                <w:rFonts w:ascii="Arial" w:hAnsi="Arial" w:cs="Arial"/>
                <w:color w:val="000000" w:themeColor="text1"/>
                <w:sz w:val="24"/>
                <w:szCs w:val="24"/>
              </w:rPr>
              <w:t>) pour la gestion du Cloud Privé</w:t>
            </w:r>
          </w:p>
        </w:tc>
        <w:tc>
          <w:tcPr>
            <w:tcW w:w="596" w:type="pct"/>
            <w:vAlign w:val="center"/>
          </w:tcPr>
          <w:p w14:paraId="389818C2"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02</w:t>
            </w:r>
          </w:p>
        </w:tc>
        <w:tc>
          <w:tcPr>
            <w:tcW w:w="645" w:type="pct"/>
            <w:vAlign w:val="center"/>
          </w:tcPr>
          <w:p w14:paraId="3DFAA9F0"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54561F66"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1427" w:type="pct"/>
          </w:tcPr>
          <w:p w14:paraId="06FF6346"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 Formation avec </w:t>
            </w:r>
            <w:r>
              <w:rPr>
                <w:rFonts w:ascii="Arial" w:hAnsi="Arial" w:cs="Arial"/>
                <w:color w:val="000000" w:themeColor="text1"/>
                <w:sz w:val="24"/>
                <w:szCs w:val="24"/>
              </w:rPr>
              <w:t>certification</w:t>
            </w:r>
          </w:p>
        </w:tc>
      </w:tr>
      <w:tr w:rsidR="00807493" w:rsidRPr="00277FBD" w14:paraId="258CA699" w14:textId="77777777" w:rsidTr="00807493">
        <w:tc>
          <w:tcPr>
            <w:tcW w:w="170" w:type="pct"/>
          </w:tcPr>
          <w:p w14:paraId="4DD02480" w14:textId="605E259D"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3</w:t>
            </w:r>
          </w:p>
        </w:tc>
        <w:tc>
          <w:tcPr>
            <w:tcW w:w="1567" w:type="pct"/>
          </w:tcPr>
          <w:p w14:paraId="451529FA"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NSE 4 administration des pare-feu </w:t>
            </w:r>
            <w:proofErr w:type="spellStart"/>
            <w:r w:rsidRPr="00277FBD">
              <w:rPr>
                <w:rFonts w:ascii="Arial" w:hAnsi="Arial" w:cs="Arial"/>
                <w:color w:val="000000" w:themeColor="text1"/>
                <w:sz w:val="24"/>
                <w:szCs w:val="24"/>
              </w:rPr>
              <w:t>FortiGate</w:t>
            </w:r>
            <w:proofErr w:type="spellEnd"/>
          </w:p>
        </w:tc>
        <w:tc>
          <w:tcPr>
            <w:tcW w:w="596" w:type="pct"/>
            <w:vAlign w:val="center"/>
          </w:tcPr>
          <w:p w14:paraId="57F82FBD"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02</w:t>
            </w:r>
          </w:p>
        </w:tc>
        <w:tc>
          <w:tcPr>
            <w:tcW w:w="645" w:type="pct"/>
            <w:vAlign w:val="center"/>
          </w:tcPr>
          <w:p w14:paraId="674C5048"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75B0C633"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1427" w:type="pct"/>
          </w:tcPr>
          <w:p w14:paraId="19B08FE3"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avec </w:t>
            </w:r>
            <w:r>
              <w:rPr>
                <w:rFonts w:ascii="Arial" w:hAnsi="Arial" w:cs="Arial"/>
                <w:color w:val="000000" w:themeColor="text1"/>
                <w:sz w:val="24"/>
                <w:szCs w:val="24"/>
              </w:rPr>
              <w:t>certification</w:t>
            </w:r>
          </w:p>
        </w:tc>
      </w:tr>
      <w:tr w:rsidR="00807493" w:rsidRPr="00277FBD" w14:paraId="6DC6050A" w14:textId="77777777" w:rsidTr="00807493">
        <w:tc>
          <w:tcPr>
            <w:tcW w:w="170" w:type="pct"/>
          </w:tcPr>
          <w:p w14:paraId="1FDFF8BA" w14:textId="1E1F59DB"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lastRenderedPageBreak/>
              <w:t>4</w:t>
            </w:r>
          </w:p>
        </w:tc>
        <w:tc>
          <w:tcPr>
            <w:tcW w:w="1567" w:type="pct"/>
          </w:tcPr>
          <w:p w14:paraId="6E55B36F"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CCNP ENCOR pour l’administration des routeurs Cisco</w:t>
            </w:r>
          </w:p>
        </w:tc>
        <w:tc>
          <w:tcPr>
            <w:tcW w:w="596" w:type="pct"/>
            <w:vAlign w:val="center"/>
          </w:tcPr>
          <w:p w14:paraId="68D1AE8B"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02</w:t>
            </w:r>
          </w:p>
        </w:tc>
        <w:tc>
          <w:tcPr>
            <w:tcW w:w="645" w:type="pct"/>
            <w:vAlign w:val="center"/>
          </w:tcPr>
          <w:p w14:paraId="4F220933"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67C7C949"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1427" w:type="pct"/>
          </w:tcPr>
          <w:p w14:paraId="7681D49A" w14:textId="6A56C814"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avec </w:t>
            </w:r>
            <w:r>
              <w:rPr>
                <w:rFonts w:ascii="Arial" w:hAnsi="Arial" w:cs="Arial"/>
                <w:color w:val="000000" w:themeColor="text1"/>
                <w:sz w:val="24"/>
                <w:szCs w:val="24"/>
              </w:rPr>
              <w:t>certification</w:t>
            </w:r>
          </w:p>
        </w:tc>
      </w:tr>
      <w:tr w:rsidR="00807493" w:rsidRPr="00277FBD" w14:paraId="296CE61D" w14:textId="77777777" w:rsidTr="00807493">
        <w:tc>
          <w:tcPr>
            <w:tcW w:w="170" w:type="pct"/>
          </w:tcPr>
          <w:p w14:paraId="60BC3C74" w14:textId="7DF0FE64"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5</w:t>
            </w:r>
          </w:p>
        </w:tc>
        <w:tc>
          <w:tcPr>
            <w:tcW w:w="1567" w:type="pct"/>
          </w:tcPr>
          <w:p w14:paraId="306816AB"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RHCA pour l’administration des serveurs RED HAT Enterprise</w:t>
            </w:r>
          </w:p>
        </w:tc>
        <w:tc>
          <w:tcPr>
            <w:tcW w:w="596" w:type="pct"/>
            <w:vAlign w:val="center"/>
          </w:tcPr>
          <w:p w14:paraId="243A6082" w14:textId="77777777" w:rsidR="0049293E" w:rsidRPr="00277FBD" w:rsidRDefault="0049293E" w:rsidP="00EB6444">
            <w:pPr>
              <w:jc w:val="center"/>
              <w:rPr>
                <w:rFonts w:ascii="Arial" w:hAnsi="Arial" w:cs="Arial"/>
                <w:color w:val="000000" w:themeColor="text1"/>
                <w:sz w:val="24"/>
                <w:szCs w:val="24"/>
              </w:rPr>
            </w:pPr>
            <w:r w:rsidRPr="00277FBD">
              <w:rPr>
                <w:rFonts w:ascii="Arial" w:hAnsi="Arial" w:cs="Arial"/>
                <w:color w:val="000000" w:themeColor="text1"/>
                <w:sz w:val="24"/>
                <w:szCs w:val="24"/>
              </w:rPr>
              <w:t>02</w:t>
            </w:r>
          </w:p>
        </w:tc>
        <w:tc>
          <w:tcPr>
            <w:tcW w:w="645" w:type="pct"/>
            <w:vAlign w:val="center"/>
          </w:tcPr>
          <w:p w14:paraId="6E953284"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6CBFE33E"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1427" w:type="pct"/>
          </w:tcPr>
          <w:p w14:paraId="187DB3F1"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avec </w:t>
            </w:r>
            <w:r>
              <w:rPr>
                <w:rFonts w:ascii="Arial" w:hAnsi="Arial" w:cs="Arial"/>
                <w:color w:val="000000" w:themeColor="text1"/>
                <w:sz w:val="24"/>
                <w:szCs w:val="24"/>
              </w:rPr>
              <w:t>certification</w:t>
            </w:r>
          </w:p>
        </w:tc>
      </w:tr>
      <w:tr w:rsidR="00807493" w:rsidRPr="00277FBD" w14:paraId="06D17691" w14:textId="77777777" w:rsidTr="00807493">
        <w:tc>
          <w:tcPr>
            <w:tcW w:w="170" w:type="pct"/>
          </w:tcPr>
          <w:p w14:paraId="51C4BDE7" w14:textId="20F05A03"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6</w:t>
            </w:r>
          </w:p>
        </w:tc>
        <w:tc>
          <w:tcPr>
            <w:tcW w:w="1567" w:type="pct"/>
          </w:tcPr>
          <w:p w14:paraId="03B618D2"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MCSA Windows Server 2016</w:t>
            </w:r>
          </w:p>
        </w:tc>
        <w:tc>
          <w:tcPr>
            <w:tcW w:w="596" w:type="pct"/>
          </w:tcPr>
          <w:p w14:paraId="7BE2D1DB" w14:textId="77777777" w:rsidR="0049293E" w:rsidRPr="00277FBD" w:rsidRDefault="0049293E" w:rsidP="00AB21A5">
            <w:pPr>
              <w:jc w:val="center"/>
              <w:rPr>
                <w:rFonts w:ascii="Arial" w:hAnsi="Arial" w:cs="Arial"/>
                <w:color w:val="000000" w:themeColor="text1"/>
                <w:sz w:val="24"/>
                <w:szCs w:val="24"/>
              </w:rPr>
            </w:pPr>
            <w:r w:rsidRPr="00277FBD">
              <w:rPr>
                <w:rFonts w:ascii="Arial" w:hAnsi="Arial" w:cs="Arial"/>
                <w:color w:val="000000" w:themeColor="text1"/>
                <w:sz w:val="24"/>
                <w:szCs w:val="24"/>
              </w:rPr>
              <w:t>02</w:t>
            </w:r>
          </w:p>
        </w:tc>
        <w:tc>
          <w:tcPr>
            <w:tcW w:w="645" w:type="pct"/>
            <w:vAlign w:val="center"/>
          </w:tcPr>
          <w:p w14:paraId="4799A6C9"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6CA039F8"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43631054</w:t>
            </w:r>
          </w:p>
        </w:tc>
        <w:tc>
          <w:tcPr>
            <w:tcW w:w="1427" w:type="pct"/>
          </w:tcPr>
          <w:p w14:paraId="59DCCDD6"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avec </w:t>
            </w:r>
            <w:r>
              <w:rPr>
                <w:rFonts w:ascii="Arial" w:hAnsi="Arial" w:cs="Arial"/>
                <w:color w:val="000000" w:themeColor="text1"/>
                <w:sz w:val="24"/>
                <w:szCs w:val="24"/>
              </w:rPr>
              <w:t>certification</w:t>
            </w:r>
          </w:p>
        </w:tc>
      </w:tr>
      <w:tr w:rsidR="00807493" w:rsidRPr="00277FBD" w14:paraId="20B64FA6" w14:textId="77777777" w:rsidTr="00807493">
        <w:tc>
          <w:tcPr>
            <w:tcW w:w="170" w:type="pct"/>
          </w:tcPr>
          <w:p w14:paraId="1B0A0165" w14:textId="2AADCE10"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7</w:t>
            </w:r>
          </w:p>
        </w:tc>
        <w:tc>
          <w:tcPr>
            <w:tcW w:w="1567" w:type="pct"/>
          </w:tcPr>
          <w:p w14:paraId="69E43BEE"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ISO 27001 Mise en place d’un système de management de la Sécurité des SI</w:t>
            </w:r>
          </w:p>
        </w:tc>
        <w:tc>
          <w:tcPr>
            <w:tcW w:w="596" w:type="pct"/>
          </w:tcPr>
          <w:p w14:paraId="73DC1B29" w14:textId="77777777" w:rsidR="0049293E" w:rsidRPr="00277FBD" w:rsidRDefault="0049293E" w:rsidP="00AB21A5">
            <w:pPr>
              <w:jc w:val="center"/>
              <w:rPr>
                <w:rFonts w:ascii="Arial" w:hAnsi="Arial" w:cs="Arial"/>
                <w:color w:val="000000" w:themeColor="text1"/>
                <w:sz w:val="24"/>
                <w:szCs w:val="24"/>
              </w:rPr>
            </w:pPr>
            <w:r w:rsidRPr="00277FBD">
              <w:rPr>
                <w:rFonts w:ascii="Arial" w:hAnsi="Arial" w:cs="Arial"/>
                <w:color w:val="000000" w:themeColor="text1"/>
                <w:sz w:val="24"/>
                <w:szCs w:val="24"/>
              </w:rPr>
              <w:t>03</w:t>
            </w:r>
          </w:p>
        </w:tc>
        <w:tc>
          <w:tcPr>
            <w:tcW w:w="645" w:type="pct"/>
            <w:vAlign w:val="center"/>
          </w:tcPr>
          <w:p w14:paraId="5E0ADDD7"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61ED7B50"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65446581</w:t>
            </w:r>
          </w:p>
        </w:tc>
        <w:tc>
          <w:tcPr>
            <w:tcW w:w="1427" w:type="pct"/>
          </w:tcPr>
          <w:p w14:paraId="6EA08FB7"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avec Certification</w:t>
            </w:r>
          </w:p>
        </w:tc>
      </w:tr>
      <w:tr w:rsidR="00807493" w:rsidRPr="00277FBD" w14:paraId="6AE73A5F" w14:textId="77777777" w:rsidTr="00807493">
        <w:tc>
          <w:tcPr>
            <w:tcW w:w="170" w:type="pct"/>
          </w:tcPr>
          <w:p w14:paraId="0D1A6A00" w14:textId="1C37DABC"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8</w:t>
            </w:r>
          </w:p>
        </w:tc>
        <w:tc>
          <w:tcPr>
            <w:tcW w:w="1567" w:type="pct"/>
          </w:tcPr>
          <w:p w14:paraId="49613B8B"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ISO 27032 Formation à la gestion de la cyber sécurité</w:t>
            </w:r>
          </w:p>
        </w:tc>
        <w:tc>
          <w:tcPr>
            <w:tcW w:w="596" w:type="pct"/>
          </w:tcPr>
          <w:p w14:paraId="32363085" w14:textId="77777777" w:rsidR="0049293E" w:rsidRPr="00277FBD" w:rsidRDefault="0049293E" w:rsidP="00AB21A5">
            <w:pPr>
              <w:jc w:val="center"/>
              <w:rPr>
                <w:rFonts w:ascii="Arial" w:hAnsi="Arial" w:cs="Arial"/>
                <w:color w:val="000000" w:themeColor="text1"/>
                <w:sz w:val="24"/>
                <w:szCs w:val="24"/>
              </w:rPr>
            </w:pPr>
            <w:r w:rsidRPr="00277FBD">
              <w:rPr>
                <w:rFonts w:ascii="Arial" w:hAnsi="Arial" w:cs="Arial"/>
                <w:color w:val="000000" w:themeColor="text1"/>
                <w:sz w:val="24"/>
                <w:szCs w:val="24"/>
              </w:rPr>
              <w:t>03</w:t>
            </w:r>
          </w:p>
        </w:tc>
        <w:tc>
          <w:tcPr>
            <w:tcW w:w="645" w:type="pct"/>
            <w:vAlign w:val="center"/>
          </w:tcPr>
          <w:p w14:paraId="63F01CCE"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0D8DF769"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65446581</w:t>
            </w:r>
          </w:p>
        </w:tc>
        <w:tc>
          <w:tcPr>
            <w:tcW w:w="1427" w:type="pct"/>
          </w:tcPr>
          <w:p w14:paraId="1A593231"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avec Certification</w:t>
            </w:r>
          </w:p>
        </w:tc>
      </w:tr>
      <w:tr w:rsidR="00807493" w:rsidRPr="00277FBD" w14:paraId="7BCEF550" w14:textId="77777777" w:rsidTr="00807493">
        <w:tc>
          <w:tcPr>
            <w:tcW w:w="170" w:type="pct"/>
          </w:tcPr>
          <w:p w14:paraId="43B72DAC" w14:textId="77B2E6BB" w:rsidR="0049293E" w:rsidRPr="00807493" w:rsidRDefault="00807493" w:rsidP="00807493">
            <w:pPr>
              <w:rPr>
                <w:rFonts w:ascii="Arial" w:hAnsi="Arial" w:cs="Arial"/>
                <w:color w:val="000000" w:themeColor="text1"/>
                <w:sz w:val="24"/>
                <w:szCs w:val="24"/>
              </w:rPr>
            </w:pPr>
            <w:r>
              <w:rPr>
                <w:rFonts w:ascii="Arial" w:hAnsi="Arial" w:cs="Arial"/>
                <w:color w:val="000000" w:themeColor="text1"/>
                <w:sz w:val="24"/>
                <w:szCs w:val="24"/>
              </w:rPr>
              <w:t>9</w:t>
            </w:r>
          </w:p>
        </w:tc>
        <w:tc>
          <w:tcPr>
            <w:tcW w:w="1567" w:type="pct"/>
          </w:tcPr>
          <w:p w14:paraId="655FED55"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 xml:space="preserve">Formation ISO 22301 </w:t>
            </w:r>
            <w:r>
              <w:rPr>
                <w:rFonts w:ascii="Arial" w:hAnsi="Arial" w:cs="Arial"/>
                <w:color w:val="000000" w:themeColor="text1"/>
                <w:sz w:val="24"/>
                <w:szCs w:val="24"/>
              </w:rPr>
              <w:t>É</w:t>
            </w:r>
            <w:r w:rsidRPr="00277FBD">
              <w:rPr>
                <w:rFonts w:ascii="Arial" w:hAnsi="Arial" w:cs="Arial"/>
                <w:color w:val="000000" w:themeColor="text1"/>
                <w:sz w:val="24"/>
                <w:szCs w:val="24"/>
              </w:rPr>
              <w:t>laboration et mise en place d’un plan de continuité d’activité</w:t>
            </w:r>
          </w:p>
        </w:tc>
        <w:tc>
          <w:tcPr>
            <w:tcW w:w="596" w:type="pct"/>
          </w:tcPr>
          <w:p w14:paraId="2C20CB85" w14:textId="77777777" w:rsidR="0049293E" w:rsidRPr="00277FBD" w:rsidRDefault="0049293E" w:rsidP="00AB21A5">
            <w:pPr>
              <w:jc w:val="center"/>
              <w:rPr>
                <w:rFonts w:ascii="Arial" w:hAnsi="Arial" w:cs="Arial"/>
                <w:color w:val="000000" w:themeColor="text1"/>
                <w:sz w:val="24"/>
                <w:szCs w:val="24"/>
              </w:rPr>
            </w:pPr>
            <w:r w:rsidRPr="00277FBD">
              <w:rPr>
                <w:rFonts w:ascii="Arial" w:hAnsi="Arial" w:cs="Arial"/>
                <w:color w:val="000000" w:themeColor="text1"/>
                <w:sz w:val="24"/>
                <w:szCs w:val="24"/>
              </w:rPr>
              <w:t>03</w:t>
            </w:r>
          </w:p>
        </w:tc>
        <w:tc>
          <w:tcPr>
            <w:tcW w:w="645" w:type="pct"/>
            <w:vAlign w:val="center"/>
          </w:tcPr>
          <w:p w14:paraId="012C678A" w14:textId="77777777" w:rsidR="0049293E" w:rsidRPr="00277FBD" w:rsidRDefault="0049293E" w:rsidP="00807493">
            <w:pPr>
              <w:jc w:val="center"/>
              <w:rPr>
                <w:rFonts w:ascii="Arial" w:hAnsi="Arial" w:cs="Arial"/>
                <w:color w:val="000000" w:themeColor="text1"/>
                <w:sz w:val="24"/>
                <w:szCs w:val="24"/>
              </w:rPr>
            </w:pPr>
            <w:r w:rsidRPr="00D8769B">
              <w:rPr>
                <w:rFonts w:ascii="Arial" w:hAnsi="Arial" w:cs="Arial"/>
                <w:color w:val="000000" w:themeColor="text1"/>
              </w:rPr>
              <w:t>21815527</w:t>
            </w:r>
          </w:p>
        </w:tc>
        <w:tc>
          <w:tcPr>
            <w:tcW w:w="595" w:type="pct"/>
            <w:vAlign w:val="center"/>
          </w:tcPr>
          <w:p w14:paraId="1F8CD1C8" w14:textId="77777777" w:rsidR="0049293E" w:rsidRPr="00277FBD" w:rsidRDefault="0049293E" w:rsidP="00807493">
            <w:pPr>
              <w:jc w:val="center"/>
              <w:rPr>
                <w:rFonts w:ascii="Arial" w:hAnsi="Arial" w:cs="Arial"/>
                <w:color w:val="000000" w:themeColor="text1"/>
                <w:sz w:val="24"/>
                <w:szCs w:val="24"/>
              </w:rPr>
            </w:pPr>
            <w:r w:rsidRPr="00D1599F">
              <w:rPr>
                <w:rFonts w:ascii="Arial" w:hAnsi="Arial" w:cs="Arial"/>
                <w:color w:val="000000" w:themeColor="text1"/>
              </w:rPr>
              <w:t>65446581</w:t>
            </w:r>
          </w:p>
        </w:tc>
        <w:tc>
          <w:tcPr>
            <w:tcW w:w="1427" w:type="pct"/>
          </w:tcPr>
          <w:p w14:paraId="7858A56B" w14:textId="77777777" w:rsidR="0049293E" w:rsidRPr="00277FBD" w:rsidRDefault="0049293E" w:rsidP="00AB21A5">
            <w:pPr>
              <w:rPr>
                <w:rFonts w:ascii="Arial" w:hAnsi="Arial" w:cs="Arial"/>
                <w:color w:val="000000" w:themeColor="text1"/>
                <w:sz w:val="24"/>
                <w:szCs w:val="24"/>
              </w:rPr>
            </w:pPr>
            <w:r w:rsidRPr="00277FBD">
              <w:rPr>
                <w:rFonts w:ascii="Arial" w:hAnsi="Arial" w:cs="Arial"/>
                <w:color w:val="000000" w:themeColor="text1"/>
                <w:sz w:val="24"/>
                <w:szCs w:val="24"/>
              </w:rPr>
              <w:t>Formation avec Certification</w:t>
            </w:r>
          </w:p>
        </w:tc>
      </w:tr>
    </w:tbl>
    <w:p w14:paraId="4DA5F4D3" w14:textId="77777777" w:rsidR="0049293E" w:rsidRDefault="0049293E" w:rsidP="0049293E">
      <w:pPr>
        <w:tabs>
          <w:tab w:val="left" w:pos="828"/>
          <w:tab w:val="left" w:pos="3937"/>
          <w:tab w:val="left" w:pos="6555"/>
        </w:tabs>
        <w:ind w:left="113"/>
        <w:rPr>
          <w:color w:val="000000" w:themeColor="text1"/>
          <w:sz w:val="24"/>
        </w:rPr>
      </w:pPr>
      <w:r w:rsidRPr="00C74354">
        <w:rPr>
          <w:rFonts w:ascii="Arial" w:hAnsi="Arial" w:cs="Times New Roman"/>
          <w:color w:val="000000" w:themeColor="text1"/>
          <w:sz w:val="20"/>
          <w:szCs w:val="20"/>
          <w:lang w:eastAsia="ja-JP"/>
        </w:rPr>
        <w:tab/>
      </w:r>
      <w:r w:rsidRPr="00C74354">
        <w:rPr>
          <w:color w:val="000000" w:themeColor="text1"/>
        </w:rPr>
        <w:tab/>
      </w:r>
    </w:p>
    <w:p w14:paraId="76984933" w14:textId="77777777" w:rsidR="0049293E" w:rsidRDefault="0049293E" w:rsidP="00277FBD">
      <w:pPr>
        <w:tabs>
          <w:tab w:val="left" w:pos="828"/>
          <w:tab w:val="left" w:pos="3937"/>
          <w:tab w:val="left" w:pos="6555"/>
        </w:tabs>
        <w:ind w:left="113"/>
        <w:rPr>
          <w:color w:val="000000" w:themeColor="text1"/>
          <w:sz w:val="24"/>
        </w:rPr>
        <w:sectPr w:rsidR="0049293E" w:rsidSect="00807493">
          <w:pgSz w:w="16838" w:h="11906" w:orient="landscape"/>
          <w:pgMar w:top="1417" w:right="1417" w:bottom="1417" w:left="1417" w:header="708" w:footer="708" w:gutter="0"/>
          <w:cols w:space="708"/>
          <w:docGrid w:linePitch="360"/>
        </w:sectPr>
      </w:pPr>
    </w:p>
    <w:p w14:paraId="1C7F8871" w14:textId="148F2EC9" w:rsidR="00080922" w:rsidRPr="000C68B4" w:rsidRDefault="00080922" w:rsidP="000C68B4">
      <w:pPr>
        <w:pStyle w:val="Heading1"/>
        <w:rPr>
          <w:rFonts w:ascii="Arial" w:hAnsi="Arial" w:cs="Arial"/>
          <w:b/>
          <w:bCs/>
          <w:color w:val="000000" w:themeColor="text1"/>
          <w:sz w:val="26"/>
          <w:szCs w:val="26"/>
        </w:rPr>
      </w:pPr>
      <w:r w:rsidRPr="000C68B4">
        <w:rPr>
          <w:rFonts w:ascii="Arial" w:hAnsi="Arial" w:cs="Arial"/>
          <w:b/>
          <w:bCs/>
          <w:color w:val="000000" w:themeColor="text1"/>
          <w:sz w:val="26"/>
          <w:szCs w:val="26"/>
        </w:rPr>
        <w:lastRenderedPageBreak/>
        <w:t xml:space="preserve"> </w:t>
      </w:r>
      <w:bookmarkStart w:id="39" w:name="_Toc95082861"/>
      <w:r w:rsidR="00277FBD" w:rsidRPr="000C68B4">
        <w:rPr>
          <w:rFonts w:ascii="Arial" w:hAnsi="Arial" w:cs="Arial"/>
          <w:b/>
          <w:bCs/>
          <w:color w:val="000000" w:themeColor="text1"/>
          <w:sz w:val="26"/>
          <w:szCs w:val="26"/>
        </w:rPr>
        <w:t>4</w:t>
      </w:r>
      <w:r w:rsidR="00CB197B">
        <w:rPr>
          <w:rFonts w:ascii="Arial" w:hAnsi="Arial" w:cs="Arial"/>
          <w:b/>
          <w:bCs/>
          <w:color w:val="000000" w:themeColor="text1"/>
          <w:sz w:val="26"/>
          <w:szCs w:val="26"/>
        </w:rPr>
        <w:t>.</w:t>
      </w:r>
      <w:r w:rsidRPr="000C68B4">
        <w:rPr>
          <w:rFonts w:ascii="Arial" w:hAnsi="Arial" w:cs="Arial"/>
          <w:b/>
          <w:bCs/>
          <w:color w:val="000000" w:themeColor="text1"/>
          <w:sz w:val="26"/>
          <w:szCs w:val="26"/>
        </w:rPr>
        <w:t xml:space="preserve"> P</w:t>
      </w:r>
      <w:r w:rsidR="00EB10A6">
        <w:rPr>
          <w:rFonts w:ascii="Arial" w:hAnsi="Arial" w:cs="Arial"/>
          <w:b/>
          <w:bCs/>
          <w:color w:val="000000" w:themeColor="text1"/>
          <w:sz w:val="26"/>
          <w:szCs w:val="26"/>
        </w:rPr>
        <w:t>LANNING DES ACTIVIT</w:t>
      </w:r>
      <w:r w:rsidR="00C51600">
        <w:rPr>
          <w:rFonts w:ascii="Arial" w:hAnsi="Arial" w:cs="Arial"/>
          <w:b/>
          <w:bCs/>
          <w:color w:val="000000" w:themeColor="text1"/>
          <w:sz w:val="26"/>
          <w:szCs w:val="26"/>
        </w:rPr>
        <w:t>É</w:t>
      </w:r>
      <w:r w:rsidR="00EB10A6">
        <w:rPr>
          <w:rFonts w:ascii="Arial" w:hAnsi="Arial" w:cs="Arial"/>
          <w:b/>
          <w:bCs/>
          <w:color w:val="000000" w:themeColor="text1"/>
          <w:sz w:val="26"/>
          <w:szCs w:val="26"/>
        </w:rPr>
        <w:t>S</w:t>
      </w:r>
      <w:bookmarkEnd w:id="39"/>
      <w:r w:rsidRPr="000C68B4">
        <w:rPr>
          <w:rFonts w:ascii="Arial" w:hAnsi="Arial" w:cs="Arial"/>
          <w:b/>
          <w:bCs/>
          <w:color w:val="000000" w:themeColor="text1"/>
          <w:sz w:val="26"/>
          <w:szCs w:val="26"/>
        </w:rPr>
        <w:t xml:space="preserve"> </w:t>
      </w:r>
    </w:p>
    <w:p w14:paraId="56DA0B32" w14:textId="7FBCC77F" w:rsidR="00A65DB6" w:rsidRDefault="002A53AA" w:rsidP="00DF5F06">
      <w:pPr>
        <w:spacing w:line="360" w:lineRule="auto"/>
        <w:jc w:val="both"/>
        <w:rPr>
          <w:rFonts w:ascii="Arial" w:hAnsi="Arial" w:cs="Arial"/>
          <w:sz w:val="24"/>
          <w:szCs w:val="24"/>
        </w:rPr>
      </w:pPr>
      <w:r>
        <w:rPr>
          <w:rFonts w:ascii="Arial" w:hAnsi="Arial" w:cs="Arial"/>
          <w:sz w:val="24"/>
          <w:szCs w:val="24"/>
        </w:rPr>
        <w:t xml:space="preserve">    </w:t>
      </w:r>
      <w:r w:rsidR="00DF5F06">
        <w:rPr>
          <w:rFonts w:ascii="Arial" w:hAnsi="Arial" w:cs="Arial"/>
          <w:sz w:val="24"/>
          <w:szCs w:val="24"/>
        </w:rPr>
        <w:t>L’amélioration du processus de gestion des données (enregistrement, compilation, analyse, correction, interprétation, utilisation et  transmission)</w:t>
      </w:r>
      <w:r w:rsidR="00A65DB6">
        <w:rPr>
          <w:rFonts w:ascii="Arial" w:hAnsi="Arial" w:cs="Arial"/>
          <w:sz w:val="24"/>
          <w:szCs w:val="24"/>
        </w:rPr>
        <w:t xml:space="preserve"> par la mise en réseau des structures et centres de santé et la constitution d’un entrepôt de données </w:t>
      </w:r>
      <w:r w:rsidR="00DF5F06">
        <w:rPr>
          <w:rFonts w:ascii="Arial" w:hAnsi="Arial" w:cs="Arial"/>
          <w:sz w:val="24"/>
          <w:szCs w:val="24"/>
        </w:rPr>
        <w:t>contribue</w:t>
      </w:r>
      <w:r w:rsidR="00F67700">
        <w:rPr>
          <w:rFonts w:ascii="Arial" w:hAnsi="Arial" w:cs="Arial"/>
          <w:sz w:val="24"/>
          <w:szCs w:val="24"/>
        </w:rPr>
        <w:t>ra</w:t>
      </w:r>
      <w:r w:rsidR="00DF5F06">
        <w:rPr>
          <w:rFonts w:ascii="Arial" w:hAnsi="Arial" w:cs="Arial"/>
          <w:sz w:val="24"/>
          <w:szCs w:val="24"/>
        </w:rPr>
        <w:t xml:space="preserve"> au renforcement du système d’information. </w:t>
      </w:r>
    </w:p>
    <w:p w14:paraId="3AF29228" w14:textId="4DCEA229" w:rsidR="00A65DB6" w:rsidRDefault="00F67700" w:rsidP="00A65DB6">
      <w:pPr>
        <w:spacing w:after="0" w:line="360" w:lineRule="auto"/>
        <w:jc w:val="both"/>
        <w:rPr>
          <w:rFonts w:ascii="Arial" w:hAnsi="Arial" w:cs="Arial"/>
          <w:sz w:val="24"/>
          <w:szCs w:val="24"/>
        </w:rPr>
      </w:pPr>
      <w:r>
        <w:rPr>
          <w:rFonts w:ascii="Arial" w:hAnsi="Arial" w:cs="Arial"/>
          <w:sz w:val="24"/>
          <w:szCs w:val="24"/>
        </w:rPr>
        <w:t xml:space="preserve">  </w:t>
      </w:r>
      <w:r w:rsidR="00A65DB6">
        <w:rPr>
          <w:rFonts w:ascii="Arial" w:hAnsi="Arial" w:cs="Arial"/>
          <w:sz w:val="24"/>
          <w:szCs w:val="24"/>
        </w:rPr>
        <w:t>L</w:t>
      </w:r>
      <w:r w:rsidR="00DF5F06">
        <w:rPr>
          <w:rFonts w:ascii="Arial" w:hAnsi="Arial" w:cs="Arial"/>
          <w:sz w:val="24"/>
          <w:szCs w:val="24"/>
        </w:rPr>
        <w:t>e</w:t>
      </w:r>
      <w:r w:rsidR="00A65DB6">
        <w:rPr>
          <w:rFonts w:ascii="Arial" w:hAnsi="Arial" w:cs="Arial"/>
          <w:sz w:val="24"/>
          <w:szCs w:val="24"/>
        </w:rPr>
        <w:t xml:space="preserve"> tableau </w:t>
      </w:r>
      <w:r w:rsidR="00CB197B">
        <w:rPr>
          <w:rFonts w:ascii="Arial" w:hAnsi="Arial" w:cs="Arial"/>
          <w:sz w:val="24"/>
          <w:szCs w:val="24"/>
        </w:rPr>
        <w:t>11</w:t>
      </w:r>
      <w:r w:rsidR="00A65DB6">
        <w:rPr>
          <w:rFonts w:ascii="Arial" w:hAnsi="Arial" w:cs="Arial"/>
          <w:sz w:val="24"/>
          <w:szCs w:val="24"/>
        </w:rPr>
        <w:t xml:space="preserve"> donne la synthèse des principales </w:t>
      </w:r>
      <w:r w:rsidR="00DF5F06">
        <w:rPr>
          <w:rFonts w:ascii="Arial" w:hAnsi="Arial" w:cs="Arial"/>
          <w:sz w:val="24"/>
          <w:szCs w:val="24"/>
        </w:rPr>
        <w:t>activités</w:t>
      </w:r>
      <w:r w:rsidR="00A65DB6">
        <w:rPr>
          <w:rFonts w:ascii="Arial" w:hAnsi="Arial" w:cs="Arial"/>
          <w:sz w:val="24"/>
          <w:szCs w:val="24"/>
        </w:rPr>
        <w:t xml:space="preserve"> du processus de dématérialisation et d’utilisation des données</w:t>
      </w:r>
      <w:r w:rsidR="00DF5F06">
        <w:rPr>
          <w:rFonts w:ascii="Arial" w:hAnsi="Arial" w:cs="Arial"/>
          <w:sz w:val="24"/>
          <w:szCs w:val="24"/>
        </w:rPr>
        <w:t xml:space="preserve"> </w:t>
      </w:r>
      <w:r w:rsidR="00A65DB6">
        <w:rPr>
          <w:rFonts w:ascii="Arial" w:hAnsi="Arial" w:cs="Arial"/>
          <w:sz w:val="24"/>
          <w:szCs w:val="24"/>
        </w:rPr>
        <w:t>susceptibles de renforcer le système d’information</w:t>
      </w:r>
      <w:r>
        <w:rPr>
          <w:rFonts w:ascii="Arial" w:hAnsi="Arial" w:cs="Arial"/>
          <w:sz w:val="24"/>
          <w:szCs w:val="24"/>
        </w:rPr>
        <w:t xml:space="preserve"> sur les aspects suivants</w:t>
      </w:r>
      <w:r w:rsidR="00A65DB6">
        <w:rPr>
          <w:rFonts w:ascii="Arial" w:hAnsi="Arial" w:cs="Arial"/>
          <w:sz w:val="24"/>
          <w:szCs w:val="24"/>
        </w:rPr>
        <w:t> :</w:t>
      </w:r>
    </w:p>
    <w:p w14:paraId="2C7C6C2E" w14:textId="49405F8F" w:rsidR="00A65DB6" w:rsidRDefault="00A65DB6" w:rsidP="00A65DB6">
      <w:pPr>
        <w:spacing w:after="0" w:line="360" w:lineRule="auto"/>
        <w:jc w:val="both"/>
        <w:rPr>
          <w:rFonts w:ascii="Arial" w:hAnsi="Arial" w:cs="Arial"/>
          <w:sz w:val="24"/>
          <w:szCs w:val="24"/>
        </w:rPr>
      </w:pPr>
      <w:r>
        <w:rPr>
          <w:rFonts w:ascii="Arial" w:hAnsi="Arial" w:cs="Arial"/>
          <w:sz w:val="24"/>
          <w:szCs w:val="24"/>
        </w:rPr>
        <w:t xml:space="preserve">- </w:t>
      </w:r>
      <w:r w:rsidR="00DF5F06">
        <w:rPr>
          <w:rFonts w:ascii="Arial" w:hAnsi="Arial" w:cs="Arial"/>
          <w:sz w:val="24"/>
          <w:szCs w:val="24"/>
        </w:rPr>
        <w:t>guider les politiques de santé (définition des stratégies, clarification des rôles des acteurs</w:t>
      </w:r>
      <w:r w:rsidR="00C51600">
        <w:rPr>
          <w:rFonts w:ascii="Arial" w:hAnsi="Arial" w:cs="Arial"/>
          <w:sz w:val="24"/>
          <w:szCs w:val="24"/>
        </w:rPr>
        <w:t>,</w:t>
      </w:r>
      <w:r w:rsidR="00DF5F06">
        <w:rPr>
          <w:rFonts w:ascii="Arial" w:hAnsi="Arial" w:cs="Arial"/>
          <w:sz w:val="24"/>
          <w:szCs w:val="24"/>
        </w:rPr>
        <w:t xml:space="preserve"> et de g</w:t>
      </w:r>
      <w:r w:rsidR="00EB6444">
        <w:rPr>
          <w:rFonts w:ascii="Arial" w:hAnsi="Arial" w:cs="Arial"/>
          <w:sz w:val="24"/>
          <w:szCs w:val="24"/>
        </w:rPr>
        <w:t>e</w:t>
      </w:r>
      <w:r w:rsidR="00C51600">
        <w:rPr>
          <w:rFonts w:ascii="Arial" w:hAnsi="Arial" w:cs="Arial"/>
          <w:sz w:val="24"/>
          <w:szCs w:val="24"/>
        </w:rPr>
        <w:t>stion d</w:t>
      </w:r>
      <w:r w:rsidR="00DF5F06">
        <w:rPr>
          <w:rFonts w:ascii="Arial" w:hAnsi="Arial" w:cs="Arial"/>
          <w:sz w:val="24"/>
          <w:szCs w:val="24"/>
        </w:rPr>
        <w:t xml:space="preserve">es besoins), </w:t>
      </w:r>
    </w:p>
    <w:p w14:paraId="3B75FF65" w14:textId="77777777" w:rsidR="00A65DB6" w:rsidRDefault="00A65DB6" w:rsidP="00A65DB6">
      <w:pPr>
        <w:spacing w:after="0" w:line="360" w:lineRule="auto"/>
        <w:jc w:val="both"/>
        <w:rPr>
          <w:rFonts w:ascii="Arial" w:hAnsi="Arial" w:cs="Arial"/>
          <w:sz w:val="24"/>
          <w:szCs w:val="24"/>
        </w:rPr>
      </w:pPr>
      <w:r>
        <w:rPr>
          <w:rFonts w:ascii="Arial" w:hAnsi="Arial" w:cs="Arial"/>
          <w:sz w:val="24"/>
          <w:szCs w:val="24"/>
        </w:rPr>
        <w:t xml:space="preserve">- </w:t>
      </w:r>
      <w:r w:rsidR="00DF5F06">
        <w:rPr>
          <w:rFonts w:ascii="Arial" w:hAnsi="Arial" w:cs="Arial"/>
          <w:sz w:val="24"/>
          <w:szCs w:val="24"/>
        </w:rPr>
        <w:t xml:space="preserve">améliorer le </w:t>
      </w:r>
      <w:r w:rsidR="00DF5F06" w:rsidRPr="00DF5F06">
        <w:rPr>
          <w:rFonts w:ascii="Arial" w:hAnsi="Arial" w:cs="Arial"/>
          <w:sz w:val="24"/>
          <w:szCs w:val="24"/>
        </w:rPr>
        <w:t xml:space="preserve">financement </w:t>
      </w:r>
      <w:r w:rsidR="00DF5F06">
        <w:rPr>
          <w:rFonts w:ascii="Arial" w:hAnsi="Arial" w:cs="Arial"/>
          <w:sz w:val="24"/>
          <w:szCs w:val="24"/>
        </w:rPr>
        <w:t>(</w:t>
      </w:r>
      <w:r w:rsidR="00DF5F06" w:rsidRPr="00DF5F06">
        <w:rPr>
          <w:rFonts w:ascii="Arial" w:hAnsi="Arial" w:cs="Arial"/>
          <w:sz w:val="24"/>
          <w:szCs w:val="24"/>
        </w:rPr>
        <w:t>garantir un financement juste et durable</w:t>
      </w:r>
      <w:r w:rsidR="00DF5F06">
        <w:rPr>
          <w:rFonts w:ascii="Arial" w:hAnsi="Arial" w:cs="Arial"/>
          <w:sz w:val="24"/>
          <w:szCs w:val="24"/>
        </w:rPr>
        <w:t xml:space="preserve">), </w:t>
      </w:r>
    </w:p>
    <w:p w14:paraId="4CD20B7D" w14:textId="77777777" w:rsidR="00A65DB6" w:rsidRDefault="00A65DB6" w:rsidP="00A65DB6">
      <w:pPr>
        <w:spacing w:after="0" w:line="360" w:lineRule="auto"/>
        <w:jc w:val="both"/>
        <w:rPr>
          <w:rFonts w:ascii="Arial" w:hAnsi="Arial" w:cs="Arial"/>
          <w:sz w:val="24"/>
          <w:szCs w:val="24"/>
        </w:rPr>
      </w:pPr>
      <w:r>
        <w:rPr>
          <w:rFonts w:ascii="Arial" w:hAnsi="Arial" w:cs="Arial"/>
          <w:sz w:val="24"/>
          <w:szCs w:val="24"/>
        </w:rPr>
        <w:t xml:space="preserve">- </w:t>
      </w:r>
      <w:r w:rsidR="00DF5F06">
        <w:rPr>
          <w:rFonts w:ascii="Arial" w:hAnsi="Arial" w:cs="Arial"/>
          <w:sz w:val="24"/>
          <w:szCs w:val="24"/>
        </w:rPr>
        <w:t>faciliter la gestion des ressources humaines (</w:t>
      </w:r>
      <w:r w:rsidR="00DF5F06" w:rsidRPr="00DF5F06">
        <w:rPr>
          <w:rFonts w:ascii="Arial" w:hAnsi="Arial" w:cs="Arial"/>
          <w:sz w:val="24"/>
          <w:szCs w:val="24"/>
        </w:rPr>
        <w:t>m</w:t>
      </w:r>
      <w:r w:rsidR="00DF5F06">
        <w:rPr>
          <w:rFonts w:ascii="Arial" w:hAnsi="Arial" w:cs="Arial"/>
          <w:sz w:val="24"/>
          <w:szCs w:val="24"/>
        </w:rPr>
        <w:t>ise</w:t>
      </w:r>
      <w:r w:rsidR="00DF5F06" w:rsidRPr="00DF5F06">
        <w:rPr>
          <w:rFonts w:ascii="Arial" w:hAnsi="Arial" w:cs="Arial"/>
          <w:sz w:val="24"/>
          <w:szCs w:val="24"/>
        </w:rPr>
        <w:t xml:space="preserve"> en place d</w:t>
      </w:r>
      <w:r w:rsidR="00DF5F06">
        <w:rPr>
          <w:rFonts w:ascii="Arial" w:hAnsi="Arial" w:cs="Arial"/>
          <w:sz w:val="24"/>
          <w:szCs w:val="24"/>
        </w:rPr>
        <w:t>’</w:t>
      </w:r>
      <w:r w:rsidR="00DF5F06" w:rsidRPr="00DF5F06">
        <w:rPr>
          <w:rFonts w:ascii="Arial" w:hAnsi="Arial" w:cs="Arial"/>
          <w:sz w:val="24"/>
          <w:szCs w:val="24"/>
        </w:rPr>
        <w:t>effectifs suffisants et productifs</w:t>
      </w:r>
      <w:r w:rsidR="00DF5F06">
        <w:rPr>
          <w:rFonts w:ascii="Arial" w:hAnsi="Arial" w:cs="Arial"/>
          <w:sz w:val="24"/>
          <w:szCs w:val="24"/>
        </w:rPr>
        <w:t xml:space="preserve">), </w:t>
      </w:r>
    </w:p>
    <w:p w14:paraId="740D9015" w14:textId="77777777" w:rsidR="00A65DB6" w:rsidRDefault="00A65DB6" w:rsidP="00A65DB6">
      <w:pPr>
        <w:spacing w:after="0" w:line="360" w:lineRule="auto"/>
        <w:jc w:val="both"/>
        <w:rPr>
          <w:rFonts w:ascii="Arial" w:hAnsi="Arial" w:cs="Arial"/>
          <w:sz w:val="24"/>
          <w:szCs w:val="24"/>
        </w:rPr>
      </w:pPr>
      <w:r>
        <w:rPr>
          <w:rFonts w:ascii="Arial" w:hAnsi="Arial" w:cs="Arial"/>
          <w:sz w:val="24"/>
          <w:szCs w:val="24"/>
        </w:rPr>
        <w:t xml:space="preserve">- </w:t>
      </w:r>
      <w:r w:rsidR="00DF5F06">
        <w:rPr>
          <w:rFonts w:ascii="Arial" w:hAnsi="Arial" w:cs="Arial"/>
          <w:sz w:val="24"/>
          <w:szCs w:val="24"/>
        </w:rPr>
        <w:t>améliorer les systèmes d’approvisionnement (</w:t>
      </w:r>
      <w:r w:rsidR="00DF5F06" w:rsidRPr="00DF5F06">
        <w:rPr>
          <w:rFonts w:ascii="Arial" w:hAnsi="Arial" w:cs="Arial"/>
          <w:sz w:val="24"/>
          <w:szCs w:val="24"/>
        </w:rPr>
        <w:t>assurer l'approvisionnement, l'entretien,</w:t>
      </w:r>
      <w:r w:rsidR="00DF5F06">
        <w:rPr>
          <w:rFonts w:ascii="Arial" w:hAnsi="Arial" w:cs="Arial"/>
          <w:sz w:val="24"/>
          <w:szCs w:val="24"/>
        </w:rPr>
        <w:t xml:space="preserve"> </w:t>
      </w:r>
      <w:r w:rsidR="00DF5F06" w:rsidRPr="00DF5F06">
        <w:rPr>
          <w:rFonts w:ascii="Arial" w:hAnsi="Arial" w:cs="Arial"/>
          <w:sz w:val="24"/>
          <w:szCs w:val="24"/>
        </w:rPr>
        <w:t>l'utilisation correcte des médicaments, l'équipement</w:t>
      </w:r>
      <w:r w:rsidR="00DF5F06">
        <w:rPr>
          <w:rFonts w:ascii="Arial" w:hAnsi="Arial" w:cs="Arial"/>
          <w:sz w:val="24"/>
          <w:szCs w:val="24"/>
        </w:rPr>
        <w:t xml:space="preserve">), </w:t>
      </w:r>
    </w:p>
    <w:p w14:paraId="45CAC59B" w14:textId="77777777" w:rsidR="00A65DB6" w:rsidRDefault="00A65DB6" w:rsidP="00A65DB6">
      <w:pPr>
        <w:spacing w:after="0" w:line="360" w:lineRule="auto"/>
        <w:jc w:val="both"/>
        <w:rPr>
          <w:rFonts w:ascii="Arial" w:hAnsi="Arial" w:cs="Arial"/>
          <w:sz w:val="24"/>
          <w:szCs w:val="24"/>
        </w:rPr>
      </w:pPr>
      <w:r>
        <w:rPr>
          <w:rFonts w:ascii="Arial" w:hAnsi="Arial" w:cs="Arial"/>
          <w:sz w:val="24"/>
          <w:szCs w:val="24"/>
        </w:rPr>
        <w:t xml:space="preserve">- </w:t>
      </w:r>
      <w:r w:rsidR="00DF5F06">
        <w:rPr>
          <w:rFonts w:ascii="Arial" w:hAnsi="Arial" w:cs="Arial"/>
          <w:sz w:val="24"/>
          <w:szCs w:val="24"/>
        </w:rPr>
        <w:t>guider la gestion des services (</w:t>
      </w:r>
      <w:r w:rsidR="00DF5F06" w:rsidRPr="00DF5F06">
        <w:rPr>
          <w:rFonts w:ascii="Arial" w:hAnsi="Arial" w:cs="Arial"/>
          <w:sz w:val="24"/>
          <w:szCs w:val="24"/>
        </w:rPr>
        <w:t>amélior</w:t>
      </w:r>
      <w:r w:rsidR="00DF5F06">
        <w:rPr>
          <w:rFonts w:ascii="Arial" w:hAnsi="Arial" w:cs="Arial"/>
          <w:sz w:val="24"/>
          <w:szCs w:val="24"/>
        </w:rPr>
        <w:t>ation de</w:t>
      </w:r>
      <w:r w:rsidR="00DF5F06" w:rsidRPr="00DF5F06">
        <w:rPr>
          <w:rFonts w:ascii="Arial" w:hAnsi="Arial" w:cs="Arial"/>
          <w:sz w:val="24"/>
          <w:szCs w:val="24"/>
        </w:rPr>
        <w:t xml:space="preserve"> l'organisation, </w:t>
      </w:r>
      <w:r w:rsidR="00DF5F06">
        <w:rPr>
          <w:rFonts w:ascii="Arial" w:hAnsi="Arial" w:cs="Arial"/>
          <w:sz w:val="24"/>
          <w:szCs w:val="24"/>
        </w:rPr>
        <w:t xml:space="preserve">de </w:t>
      </w:r>
      <w:r w:rsidR="00DF5F06" w:rsidRPr="00DF5F06">
        <w:rPr>
          <w:rFonts w:ascii="Arial" w:hAnsi="Arial" w:cs="Arial"/>
          <w:sz w:val="24"/>
          <w:szCs w:val="24"/>
        </w:rPr>
        <w:t xml:space="preserve">la gestion et </w:t>
      </w:r>
      <w:r w:rsidR="00DF5F06">
        <w:rPr>
          <w:rFonts w:ascii="Arial" w:hAnsi="Arial" w:cs="Arial"/>
          <w:sz w:val="24"/>
          <w:szCs w:val="24"/>
        </w:rPr>
        <w:t xml:space="preserve">de </w:t>
      </w:r>
      <w:r w:rsidR="00DF5F06" w:rsidRPr="00DF5F06">
        <w:rPr>
          <w:rFonts w:ascii="Arial" w:hAnsi="Arial" w:cs="Arial"/>
          <w:sz w:val="24"/>
          <w:szCs w:val="24"/>
        </w:rPr>
        <w:t>la qualité des</w:t>
      </w:r>
      <w:r w:rsidR="00DF5F06">
        <w:rPr>
          <w:rFonts w:ascii="Arial" w:hAnsi="Arial" w:cs="Arial"/>
          <w:sz w:val="24"/>
          <w:szCs w:val="24"/>
        </w:rPr>
        <w:t xml:space="preserve"> </w:t>
      </w:r>
      <w:r w:rsidR="00DF5F06" w:rsidRPr="00DF5F06">
        <w:rPr>
          <w:rFonts w:ascii="Arial" w:hAnsi="Arial" w:cs="Arial"/>
          <w:sz w:val="24"/>
          <w:szCs w:val="24"/>
        </w:rPr>
        <w:t>services</w:t>
      </w:r>
      <w:r w:rsidR="00DF5F06">
        <w:rPr>
          <w:rFonts w:ascii="Arial" w:hAnsi="Arial" w:cs="Arial"/>
          <w:sz w:val="24"/>
          <w:szCs w:val="24"/>
        </w:rPr>
        <w:t xml:space="preserve">), </w:t>
      </w:r>
    </w:p>
    <w:p w14:paraId="73DFE1D3" w14:textId="457B96D1" w:rsidR="00DF5F06" w:rsidRDefault="00A65DB6" w:rsidP="00A65DB6">
      <w:pPr>
        <w:spacing w:after="0" w:line="360" w:lineRule="auto"/>
        <w:jc w:val="both"/>
        <w:rPr>
          <w:rFonts w:ascii="Arial" w:hAnsi="Arial" w:cs="Arial"/>
          <w:sz w:val="24"/>
          <w:szCs w:val="24"/>
        </w:rPr>
      </w:pPr>
      <w:r>
        <w:rPr>
          <w:rFonts w:ascii="Arial" w:hAnsi="Arial" w:cs="Arial"/>
          <w:sz w:val="24"/>
          <w:szCs w:val="24"/>
        </w:rPr>
        <w:t xml:space="preserve">- </w:t>
      </w:r>
      <w:r w:rsidR="00DF5F06">
        <w:rPr>
          <w:rFonts w:ascii="Arial" w:hAnsi="Arial" w:cs="Arial"/>
          <w:sz w:val="24"/>
          <w:szCs w:val="24"/>
        </w:rPr>
        <w:t>mettre en place des système</w:t>
      </w:r>
      <w:r>
        <w:rPr>
          <w:rFonts w:ascii="Arial" w:hAnsi="Arial" w:cs="Arial"/>
          <w:sz w:val="24"/>
          <w:szCs w:val="24"/>
        </w:rPr>
        <w:t>s</w:t>
      </w:r>
      <w:r w:rsidR="00DF5F06">
        <w:rPr>
          <w:rFonts w:ascii="Arial" w:hAnsi="Arial" w:cs="Arial"/>
          <w:sz w:val="24"/>
          <w:szCs w:val="24"/>
        </w:rPr>
        <w:t xml:space="preserve"> d’information et de suivi en cohérence avec les objectifs du PNDS (</w:t>
      </w:r>
      <w:r w:rsidR="00DF5F06" w:rsidRPr="00DF5F06">
        <w:rPr>
          <w:rFonts w:ascii="Arial" w:hAnsi="Arial" w:cs="Arial"/>
          <w:sz w:val="24"/>
          <w:szCs w:val="24"/>
        </w:rPr>
        <w:t>basés sur des informations venant des</w:t>
      </w:r>
      <w:r w:rsidR="00DF5F06">
        <w:rPr>
          <w:rFonts w:ascii="Arial" w:hAnsi="Arial" w:cs="Arial"/>
          <w:sz w:val="24"/>
          <w:szCs w:val="24"/>
        </w:rPr>
        <w:t xml:space="preserve"> services de santé</w:t>
      </w:r>
      <w:r w:rsidR="00DF5F06" w:rsidRPr="00DF5F06">
        <w:rPr>
          <w:rFonts w:ascii="Arial" w:hAnsi="Arial" w:cs="Arial"/>
          <w:sz w:val="24"/>
          <w:szCs w:val="24"/>
        </w:rPr>
        <w:t xml:space="preserve"> ou des enquêtes de population</w:t>
      </w:r>
      <w:r w:rsidR="00DF5F06">
        <w:rPr>
          <w:rFonts w:ascii="Arial" w:hAnsi="Arial" w:cs="Arial"/>
          <w:sz w:val="24"/>
          <w:szCs w:val="24"/>
        </w:rPr>
        <w:t>)</w:t>
      </w:r>
      <w:r w:rsidR="00DF5F06" w:rsidRPr="00DF5F06">
        <w:rPr>
          <w:rFonts w:ascii="Arial" w:hAnsi="Arial" w:cs="Arial"/>
          <w:sz w:val="24"/>
          <w:szCs w:val="24"/>
        </w:rPr>
        <w:t>.</w:t>
      </w:r>
      <w:r w:rsidR="00DF5F06">
        <w:rPr>
          <w:rFonts w:ascii="Arial" w:hAnsi="Arial" w:cs="Arial"/>
          <w:sz w:val="24"/>
          <w:szCs w:val="24"/>
        </w:rPr>
        <w:t xml:space="preserve"> </w:t>
      </w:r>
    </w:p>
    <w:p w14:paraId="41B6AB9B" w14:textId="152D705C" w:rsidR="00080922" w:rsidRDefault="00080922" w:rsidP="00080922">
      <w:pPr>
        <w:spacing w:line="360" w:lineRule="auto"/>
        <w:jc w:val="center"/>
        <w:rPr>
          <w:rFonts w:ascii="Arial" w:hAnsi="Arial" w:cs="Arial"/>
          <w:b/>
          <w:sz w:val="24"/>
        </w:rPr>
      </w:pPr>
    </w:p>
    <w:p w14:paraId="0B3C3DD6" w14:textId="4081D028" w:rsidR="00080922" w:rsidRPr="00080922" w:rsidRDefault="00080922" w:rsidP="00080922">
      <w:pPr>
        <w:pStyle w:val="Caption"/>
        <w:jc w:val="center"/>
        <w:rPr>
          <w:rFonts w:ascii="Arial" w:hAnsi="Arial" w:cs="Arial"/>
          <w:sz w:val="24"/>
          <w:szCs w:val="24"/>
        </w:rPr>
      </w:pPr>
      <w:bookmarkStart w:id="40" w:name="_Toc99467015"/>
      <w:r w:rsidRPr="00080922">
        <w:rPr>
          <w:rFonts w:ascii="Arial" w:hAnsi="Arial" w:cs="Arial"/>
          <w:sz w:val="24"/>
          <w:szCs w:val="24"/>
        </w:rPr>
        <w:t xml:space="preserve">Tableau </w:t>
      </w:r>
      <w:r w:rsidRPr="00080922">
        <w:rPr>
          <w:rFonts w:ascii="Arial" w:hAnsi="Arial" w:cs="Arial"/>
          <w:sz w:val="24"/>
          <w:szCs w:val="24"/>
        </w:rPr>
        <w:fldChar w:fldCharType="begin"/>
      </w:r>
      <w:r w:rsidRPr="00080922">
        <w:rPr>
          <w:rFonts w:ascii="Arial" w:hAnsi="Arial" w:cs="Arial"/>
          <w:sz w:val="24"/>
          <w:szCs w:val="24"/>
        </w:rPr>
        <w:instrText xml:space="preserve"> SEQ Tableau \* ARABIC </w:instrText>
      </w:r>
      <w:r w:rsidRPr="00080922">
        <w:rPr>
          <w:rFonts w:ascii="Arial" w:hAnsi="Arial" w:cs="Arial"/>
          <w:sz w:val="24"/>
          <w:szCs w:val="24"/>
        </w:rPr>
        <w:fldChar w:fldCharType="separate"/>
      </w:r>
      <w:r w:rsidR="007F117B">
        <w:rPr>
          <w:rFonts w:ascii="Arial" w:hAnsi="Arial" w:cs="Arial"/>
          <w:noProof/>
          <w:sz w:val="24"/>
          <w:szCs w:val="24"/>
        </w:rPr>
        <w:t>12</w:t>
      </w:r>
      <w:r w:rsidRPr="00080922">
        <w:rPr>
          <w:rFonts w:ascii="Arial" w:hAnsi="Arial" w:cs="Arial"/>
          <w:sz w:val="24"/>
          <w:szCs w:val="24"/>
        </w:rPr>
        <w:fldChar w:fldCharType="end"/>
      </w:r>
      <w:r w:rsidRPr="00080922">
        <w:rPr>
          <w:rFonts w:ascii="Arial" w:hAnsi="Arial" w:cs="Arial"/>
          <w:sz w:val="24"/>
          <w:szCs w:val="24"/>
        </w:rPr>
        <w:t> : Feuille de route des activités et de renforcement du système d’information</w:t>
      </w:r>
      <w:bookmarkEnd w:id="40"/>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177"/>
        <w:gridCol w:w="2975"/>
        <w:gridCol w:w="2872"/>
      </w:tblGrid>
      <w:tr w:rsidR="00080922" w:rsidRPr="00C54431" w14:paraId="1DF442CA" w14:textId="77777777" w:rsidTr="00004163">
        <w:trPr>
          <w:trHeight w:val="850"/>
        </w:trPr>
        <w:tc>
          <w:tcPr>
            <w:tcW w:w="1470" w:type="pct"/>
            <w:shd w:val="clear" w:color="auto" w:fill="D9D9D9"/>
            <w:vAlign w:val="center"/>
          </w:tcPr>
          <w:p w14:paraId="17E23BB1" w14:textId="4AB964FF" w:rsidR="00080922" w:rsidRPr="00C54431" w:rsidRDefault="00A65DB6" w:rsidP="00EC285A">
            <w:pPr>
              <w:pStyle w:val="ListParagraph"/>
              <w:spacing w:line="360" w:lineRule="auto"/>
              <w:ind w:left="0"/>
              <w:jc w:val="center"/>
              <w:rPr>
                <w:rFonts w:ascii="Arial" w:hAnsi="Arial" w:cs="Arial"/>
                <w:b/>
                <w:sz w:val="24"/>
                <w:szCs w:val="24"/>
              </w:rPr>
            </w:pPr>
            <w:r>
              <w:rPr>
                <w:rFonts w:ascii="Arial" w:hAnsi="Arial" w:cs="Arial"/>
                <w:b/>
                <w:sz w:val="24"/>
                <w:szCs w:val="24"/>
              </w:rPr>
              <w:t>Étapes</w:t>
            </w:r>
            <w:r w:rsidR="00080922">
              <w:rPr>
                <w:rFonts w:ascii="Arial" w:hAnsi="Arial" w:cs="Arial"/>
                <w:b/>
                <w:sz w:val="24"/>
                <w:szCs w:val="24"/>
              </w:rPr>
              <w:t xml:space="preserve"> de la feuille de route</w:t>
            </w:r>
          </w:p>
        </w:tc>
        <w:tc>
          <w:tcPr>
            <w:tcW w:w="566" w:type="pct"/>
            <w:shd w:val="clear" w:color="auto" w:fill="D9D9D9"/>
            <w:vAlign w:val="center"/>
          </w:tcPr>
          <w:p w14:paraId="5D18BBBB" w14:textId="459ED31B" w:rsidR="00080922" w:rsidRPr="00C54431" w:rsidRDefault="00652961" w:rsidP="00EC285A">
            <w:pPr>
              <w:pStyle w:val="ListParagraph"/>
              <w:spacing w:line="360" w:lineRule="auto"/>
              <w:ind w:left="0"/>
              <w:jc w:val="center"/>
              <w:rPr>
                <w:rFonts w:ascii="Arial" w:hAnsi="Arial" w:cs="Arial"/>
                <w:b/>
                <w:sz w:val="24"/>
                <w:szCs w:val="24"/>
              </w:rPr>
            </w:pPr>
            <w:r>
              <w:rPr>
                <w:rFonts w:ascii="Arial" w:hAnsi="Arial" w:cs="Arial"/>
                <w:b/>
                <w:sz w:val="24"/>
                <w:szCs w:val="24"/>
              </w:rPr>
              <w:t>Durées</w:t>
            </w:r>
          </w:p>
        </w:tc>
        <w:tc>
          <w:tcPr>
            <w:tcW w:w="1508" w:type="pct"/>
            <w:shd w:val="clear" w:color="auto" w:fill="D9D9D9"/>
            <w:vAlign w:val="center"/>
          </w:tcPr>
          <w:p w14:paraId="18E6EB40" w14:textId="77777777" w:rsidR="00080922" w:rsidRPr="00C54431" w:rsidRDefault="00080922" w:rsidP="00EC285A">
            <w:pPr>
              <w:pStyle w:val="ListParagraph"/>
              <w:spacing w:line="360" w:lineRule="auto"/>
              <w:ind w:left="0"/>
              <w:jc w:val="center"/>
              <w:rPr>
                <w:rFonts w:ascii="Arial" w:hAnsi="Arial" w:cs="Arial"/>
                <w:b/>
                <w:sz w:val="24"/>
                <w:szCs w:val="24"/>
              </w:rPr>
            </w:pPr>
            <w:r w:rsidRPr="00C54431">
              <w:rPr>
                <w:rFonts w:ascii="Arial" w:hAnsi="Arial" w:cs="Arial"/>
                <w:b/>
                <w:sz w:val="24"/>
                <w:szCs w:val="24"/>
              </w:rPr>
              <w:t>Activité</w:t>
            </w:r>
            <w:r>
              <w:rPr>
                <w:rFonts w:ascii="Arial" w:hAnsi="Arial" w:cs="Arial"/>
                <w:b/>
                <w:sz w:val="24"/>
                <w:szCs w:val="24"/>
              </w:rPr>
              <w:t>s</w:t>
            </w:r>
          </w:p>
        </w:tc>
        <w:tc>
          <w:tcPr>
            <w:tcW w:w="1456" w:type="pct"/>
            <w:shd w:val="clear" w:color="auto" w:fill="D9D9D9"/>
            <w:vAlign w:val="center"/>
          </w:tcPr>
          <w:p w14:paraId="6DDBA275" w14:textId="5B98F2AF" w:rsidR="00080922" w:rsidRPr="00C54431" w:rsidRDefault="00080922" w:rsidP="00EC285A">
            <w:pPr>
              <w:pStyle w:val="ListParagraph"/>
              <w:spacing w:line="360" w:lineRule="auto"/>
              <w:ind w:left="0"/>
              <w:jc w:val="center"/>
              <w:rPr>
                <w:rFonts w:ascii="Arial" w:hAnsi="Arial" w:cs="Arial"/>
                <w:b/>
                <w:sz w:val="24"/>
                <w:szCs w:val="24"/>
              </w:rPr>
            </w:pPr>
            <w:r w:rsidRPr="00C54431">
              <w:rPr>
                <w:rFonts w:ascii="Arial" w:hAnsi="Arial" w:cs="Arial"/>
                <w:b/>
                <w:sz w:val="24"/>
                <w:szCs w:val="24"/>
              </w:rPr>
              <w:t>Observation</w:t>
            </w:r>
            <w:r w:rsidR="00652961">
              <w:rPr>
                <w:rFonts w:ascii="Arial" w:hAnsi="Arial" w:cs="Arial"/>
                <w:b/>
                <w:sz w:val="24"/>
                <w:szCs w:val="24"/>
              </w:rPr>
              <w:t>s</w:t>
            </w:r>
          </w:p>
        </w:tc>
      </w:tr>
      <w:tr w:rsidR="00080922" w:rsidRPr="00C54431" w14:paraId="1311A6EC" w14:textId="77777777" w:rsidTr="00004163">
        <w:tc>
          <w:tcPr>
            <w:tcW w:w="1470" w:type="pct"/>
            <w:shd w:val="clear" w:color="auto" w:fill="auto"/>
          </w:tcPr>
          <w:p w14:paraId="3EB30298" w14:textId="26C77F36" w:rsidR="00A65DB6" w:rsidRPr="00004163" w:rsidRDefault="00080922" w:rsidP="00004163">
            <w:pPr>
              <w:pStyle w:val="ListParagraph"/>
              <w:spacing w:after="0" w:line="240" w:lineRule="auto"/>
              <w:ind w:left="0"/>
              <w:rPr>
                <w:rFonts w:ascii="Arial" w:hAnsi="Arial" w:cs="Arial"/>
                <w:i/>
                <w:iCs/>
                <w:sz w:val="24"/>
                <w:szCs w:val="24"/>
              </w:rPr>
            </w:pPr>
            <w:r w:rsidRPr="00004163">
              <w:rPr>
                <w:rFonts w:ascii="Arial" w:hAnsi="Arial" w:cs="Arial"/>
                <w:sz w:val="24"/>
                <w:szCs w:val="24"/>
              </w:rPr>
              <w:t>Mise en réseau</w:t>
            </w:r>
            <w:r w:rsidR="00A65DB6" w:rsidRPr="00004163">
              <w:rPr>
                <w:rFonts w:ascii="Arial" w:hAnsi="Arial" w:cs="Arial"/>
                <w:sz w:val="24"/>
                <w:szCs w:val="24"/>
              </w:rPr>
              <w:t> des structures et centre de santé</w:t>
            </w:r>
          </w:p>
        </w:tc>
        <w:tc>
          <w:tcPr>
            <w:tcW w:w="566" w:type="pct"/>
          </w:tcPr>
          <w:p w14:paraId="7477586F" w14:textId="70036E4B" w:rsidR="00080922" w:rsidRPr="00CD1486" w:rsidRDefault="00A65DB6" w:rsidP="00EC285A">
            <w:pPr>
              <w:spacing w:line="360" w:lineRule="auto"/>
              <w:jc w:val="both"/>
              <w:rPr>
                <w:rFonts w:ascii="Arial" w:hAnsi="Arial" w:cs="Arial"/>
                <w:sz w:val="24"/>
                <w:szCs w:val="24"/>
              </w:rPr>
            </w:pPr>
            <w:r>
              <w:rPr>
                <w:rFonts w:ascii="Arial" w:hAnsi="Arial" w:cs="Arial"/>
                <w:sz w:val="24"/>
                <w:szCs w:val="24"/>
              </w:rPr>
              <w:t>4</w:t>
            </w:r>
            <w:r w:rsidR="00080922">
              <w:rPr>
                <w:rFonts w:ascii="Arial" w:hAnsi="Arial" w:cs="Arial"/>
                <w:sz w:val="24"/>
                <w:szCs w:val="24"/>
              </w:rPr>
              <w:t xml:space="preserve"> mois</w:t>
            </w:r>
          </w:p>
        </w:tc>
        <w:tc>
          <w:tcPr>
            <w:tcW w:w="1508" w:type="pct"/>
            <w:shd w:val="clear" w:color="auto" w:fill="auto"/>
          </w:tcPr>
          <w:p w14:paraId="218884A6" w14:textId="0B12B748" w:rsidR="00080922" w:rsidRDefault="00080922" w:rsidP="00EC285A">
            <w:pPr>
              <w:spacing w:line="360" w:lineRule="auto"/>
              <w:rPr>
                <w:rFonts w:ascii="Arial" w:hAnsi="Arial" w:cs="Arial"/>
                <w:sz w:val="24"/>
                <w:szCs w:val="24"/>
              </w:rPr>
            </w:pPr>
            <w:r>
              <w:rPr>
                <w:rFonts w:ascii="Arial" w:hAnsi="Arial" w:cs="Arial"/>
                <w:sz w:val="24"/>
                <w:szCs w:val="24"/>
              </w:rPr>
              <w:t xml:space="preserve">- </w:t>
            </w:r>
            <w:r w:rsidR="00C51600">
              <w:rPr>
                <w:rFonts w:ascii="Arial" w:hAnsi="Arial" w:cs="Arial"/>
                <w:sz w:val="24"/>
                <w:szCs w:val="24"/>
              </w:rPr>
              <w:t>cartographie des structures et centres de santé (</w:t>
            </w:r>
            <w:r>
              <w:rPr>
                <w:rFonts w:ascii="Arial" w:hAnsi="Arial" w:cs="Arial"/>
                <w:sz w:val="24"/>
                <w:szCs w:val="24"/>
              </w:rPr>
              <w:t>a</w:t>
            </w:r>
            <w:r w:rsidRPr="002E1038">
              <w:rPr>
                <w:rFonts w:ascii="Arial" w:hAnsi="Arial" w:cs="Arial"/>
                <w:sz w:val="24"/>
                <w:szCs w:val="24"/>
              </w:rPr>
              <w:t>telier de</w:t>
            </w:r>
            <w:r w:rsidR="00C51600">
              <w:rPr>
                <w:rFonts w:ascii="Arial" w:hAnsi="Arial" w:cs="Arial"/>
                <w:sz w:val="24"/>
                <w:szCs w:val="24"/>
              </w:rPr>
              <w:t xml:space="preserve"> </w:t>
            </w:r>
            <w:r w:rsidRPr="002E1038">
              <w:rPr>
                <w:rFonts w:ascii="Arial" w:hAnsi="Arial" w:cs="Arial"/>
                <w:sz w:val="24"/>
                <w:szCs w:val="24"/>
              </w:rPr>
              <w:t>mise à jour</w:t>
            </w:r>
            <w:r w:rsidR="00C51600">
              <w:rPr>
                <w:rFonts w:ascii="Arial" w:hAnsi="Arial" w:cs="Arial"/>
                <w:sz w:val="24"/>
                <w:szCs w:val="24"/>
              </w:rPr>
              <w:t xml:space="preserve"> </w:t>
            </w:r>
            <w:r w:rsidRPr="002E1038">
              <w:rPr>
                <w:rFonts w:ascii="Arial" w:hAnsi="Arial" w:cs="Arial"/>
                <w:sz w:val="24"/>
                <w:szCs w:val="24"/>
              </w:rPr>
              <w:t>de la liste des formations sanitaires</w:t>
            </w:r>
            <w:r w:rsidR="00C51600">
              <w:rPr>
                <w:rFonts w:ascii="Arial" w:hAnsi="Arial" w:cs="Arial"/>
                <w:sz w:val="24"/>
                <w:szCs w:val="24"/>
              </w:rPr>
              <w:t xml:space="preserve"> à travers la triangulation des données existantes)</w:t>
            </w:r>
          </w:p>
          <w:p w14:paraId="0D55A48E" w14:textId="790051A2" w:rsidR="00A65DB6" w:rsidRPr="00CD1486" w:rsidRDefault="00080922" w:rsidP="00EC285A">
            <w:pPr>
              <w:spacing w:line="360" w:lineRule="auto"/>
              <w:rPr>
                <w:rFonts w:ascii="Arial" w:hAnsi="Arial" w:cs="Arial"/>
                <w:sz w:val="24"/>
                <w:szCs w:val="24"/>
              </w:rPr>
            </w:pPr>
            <w:r>
              <w:rPr>
                <w:rFonts w:ascii="Arial" w:hAnsi="Arial" w:cs="Arial"/>
                <w:sz w:val="24"/>
                <w:szCs w:val="24"/>
              </w:rPr>
              <w:lastRenderedPageBreak/>
              <w:t>- installer la connexion sur l’ensemble des structures sanitaires</w:t>
            </w:r>
          </w:p>
        </w:tc>
        <w:tc>
          <w:tcPr>
            <w:tcW w:w="1456" w:type="pct"/>
            <w:shd w:val="clear" w:color="auto" w:fill="auto"/>
          </w:tcPr>
          <w:p w14:paraId="195B70EF" w14:textId="45AD6121" w:rsidR="003F611B" w:rsidRPr="003F611B" w:rsidRDefault="00080922" w:rsidP="00004163">
            <w:pPr>
              <w:spacing w:line="360" w:lineRule="auto"/>
              <w:rPr>
                <w:rFonts w:ascii="Arial" w:hAnsi="Arial" w:cs="Arial"/>
                <w:sz w:val="24"/>
                <w:szCs w:val="24"/>
              </w:rPr>
            </w:pPr>
            <w:r w:rsidRPr="00004163">
              <w:rPr>
                <w:rFonts w:ascii="Arial" w:hAnsi="Arial" w:cs="Arial"/>
                <w:sz w:val="24"/>
                <w:szCs w:val="24"/>
              </w:rPr>
              <w:lastRenderedPageBreak/>
              <w:t>L’ensemble des structures (</w:t>
            </w:r>
            <w:r w:rsidR="00004163">
              <w:rPr>
                <w:rFonts w:ascii="Arial" w:hAnsi="Arial" w:cs="Arial"/>
                <w:sz w:val="24"/>
                <w:szCs w:val="24"/>
              </w:rPr>
              <w:t>d</w:t>
            </w:r>
            <w:r w:rsidR="003F611B" w:rsidRPr="00004163">
              <w:rPr>
                <w:rFonts w:ascii="Arial" w:hAnsi="Arial" w:cs="Arial"/>
                <w:sz w:val="24"/>
                <w:szCs w:val="24"/>
              </w:rPr>
              <w:t>irections régionales</w:t>
            </w:r>
            <w:r w:rsidR="00004163">
              <w:rPr>
                <w:rFonts w:ascii="Arial" w:hAnsi="Arial" w:cs="Arial"/>
                <w:sz w:val="24"/>
                <w:szCs w:val="24"/>
              </w:rPr>
              <w:t>, d</w:t>
            </w:r>
            <w:r w:rsidR="003F611B" w:rsidRPr="003F611B">
              <w:rPr>
                <w:rFonts w:ascii="Arial" w:hAnsi="Arial" w:cs="Arial"/>
                <w:sz w:val="24"/>
                <w:szCs w:val="24"/>
              </w:rPr>
              <w:t xml:space="preserve">irections </w:t>
            </w:r>
            <w:r w:rsidR="00C51600">
              <w:rPr>
                <w:rFonts w:ascii="Arial" w:hAnsi="Arial" w:cs="Arial"/>
                <w:sz w:val="24"/>
                <w:szCs w:val="24"/>
              </w:rPr>
              <w:t>p</w:t>
            </w:r>
            <w:r w:rsidR="003F611B" w:rsidRPr="003F611B">
              <w:rPr>
                <w:rFonts w:ascii="Arial" w:hAnsi="Arial" w:cs="Arial"/>
                <w:sz w:val="24"/>
                <w:szCs w:val="24"/>
              </w:rPr>
              <w:t>réfectorales de la santé</w:t>
            </w:r>
            <w:r w:rsidR="00004163">
              <w:rPr>
                <w:rFonts w:ascii="Arial" w:hAnsi="Arial" w:cs="Arial"/>
                <w:sz w:val="24"/>
                <w:szCs w:val="24"/>
              </w:rPr>
              <w:t>, d</w:t>
            </w:r>
            <w:r w:rsidR="003F611B" w:rsidRPr="003F611B">
              <w:rPr>
                <w:rFonts w:ascii="Arial" w:hAnsi="Arial" w:cs="Arial"/>
                <w:sz w:val="24"/>
                <w:szCs w:val="24"/>
              </w:rPr>
              <w:t xml:space="preserve">irections </w:t>
            </w:r>
            <w:r w:rsidR="00004163">
              <w:rPr>
                <w:rFonts w:ascii="Arial" w:hAnsi="Arial" w:cs="Arial"/>
                <w:sz w:val="24"/>
                <w:szCs w:val="24"/>
              </w:rPr>
              <w:t>c</w:t>
            </w:r>
            <w:r w:rsidR="003F611B" w:rsidRPr="003F611B">
              <w:rPr>
                <w:rFonts w:ascii="Arial" w:hAnsi="Arial" w:cs="Arial"/>
                <w:sz w:val="24"/>
                <w:szCs w:val="24"/>
              </w:rPr>
              <w:t>ommunales de la santé</w:t>
            </w:r>
            <w:r w:rsidR="00004163">
              <w:rPr>
                <w:rFonts w:ascii="Arial" w:hAnsi="Arial" w:cs="Arial"/>
                <w:sz w:val="24"/>
                <w:szCs w:val="24"/>
              </w:rPr>
              <w:t>, h</w:t>
            </w:r>
            <w:r w:rsidR="003F611B" w:rsidRPr="003F611B">
              <w:rPr>
                <w:rFonts w:ascii="Arial" w:hAnsi="Arial" w:cs="Arial"/>
                <w:sz w:val="24"/>
                <w:szCs w:val="24"/>
              </w:rPr>
              <w:t xml:space="preserve">ôpitaux </w:t>
            </w:r>
            <w:r w:rsidR="003F611B" w:rsidRPr="003F611B">
              <w:rPr>
                <w:rFonts w:ascii="Arial" w:hAnsi="Arial" w:cs="Arial"/>
                <w:sz w:val="24"/>
                <w:szCs w:val="24"/>
              </w:rPr>
              <w:lastRenderedPageBreak/>
              <w:t>régionaux</w:t>
            </w:r>
            <w:r w:rsidR="00004163">
              <w:rPr>
                <w:rFonts w:ascii="Arial" w:hAnsi="Arial" w:cs="Arial"/>
                <w:sz w:val="24"/>
                <w:szCs w:val="24"/>
              </w:rPr>
              <w:t>, hô</w:t>
            </w:r>
            <w:r w:rsidR="003F611B" w:rsidRPr="003F611B">
              <w:rPr>
                <w:rFonts w:ascii="Arial" w:hAnsi="Arial" w:cs="Arial"/>
                <w:sz w:val="24"/>
                <w:szCs w:val="24"/>
              </w:rPr>
              <w:t xml:space="preserve">pitaux </w:t>
            </w:r>
            <w:r w:rsidR="00004163" w:rsidRPr="003F611B">
              <w:rPr>
                <w:rFonts w:ascii="Arial" w:hAnsi="Arial" w:cs="Arial"/>
                <w:sz w:val="24"/>
                <w:szCs w:val="24"/>
              </w:rPr>
              <w:t>préfectoraux</w:t>
            </w:r>
            <w:r w:rsidR="00004163">
              <w:rPr>
                <w:rFonts w:ascii="Arial" w:hAnsi="Arial" w:cs="Arial"/>
                <w:sz w:val="24"/>
                <w:szCs w:val="24"/>
              </w:rPr>
              <w:t>, h</w:t>
            </w:r>
            <w:r w:rsidR="003F611B" w:rsidRPr="003F611B">
              <w:rPr>
                <w:rFonts w:ascii="Arial" w:hAnsi="Arial" w:cs="Arial"/>
                <w:sz w:val="24"/>
                <w:szCs w:val="24"/>
              </w:rPr>
              <w:t>ôpitaux nationaux de Santé</w:t>
            </w:r>
            <w:r w:rsidR="00004163">
              <w:rPr>
                <w:rFonts w:ascii="Arial" w:hAnsi="Arial" w:cs="Arial"/>
                <w:sz w:val="24"/>
                <w:szCs w:val="24"/>
              </w:rPr>
              <w:t>)</w:t>
            </w:r>
          </w:p>
          <w:p w14:paraId="2996A3AB" w14:textId="6408417C" w:rsidR="00080922" w:rsidRPr="00C54431" w:rsidRDefault="003F611B" w:rsidP="003F611B">
            <w:pPr>
              <w:pStyle w:val="ListParagraph"/>
              <w:spacing w:line="360" w:lineRule="auto"/>
              <w:ind w:left="0"/>
              <w:rPr>
                <w:rFonts w:ascii="Arial" w:hAnsi="Arial" w:cs="Arial"/>
                <w:sz w:val="24"/>
                <w:szCs w:val="24"/>
              </w:rPr>
            </w:pPr>
            <w:r w:rsidRPr="003F611B">
              <w:rPr>
                <w:rFonts w:ascii="Arial" w:hAnsi="Arial" w:cs="Arial"/>
                <w:sz w:val="24"/>
                <w:szCs w:val="24"/>
              </w:rPr>
              <w:t>- Centres médicaux communaux</w:t>
            </w:r>
            <w:r w:rsidR="00080922">
              <w:rPr>
                <w:rFonts w:ascii="Arial" w:hAnsi="Arial" w:cs="Arial"/>
                <w:sz w:val="24"/>
                <w:szCs w:val="24"/>
              </w:rPr>
              <w:t>) doivent avoir un accès continu aux serveurs de données via une adresse IP publique dédiée</w:t>
            </w:r>
          </w:p>
        </w:tc>
      </w:tr>
      <w:tr w:rsidR="00A65DB6" w:rsidRPr="00C54431" w14:paraId="7D63C3C1" w14:textId="77777777" w:rsidTr="00004163">
        <w:tc>
          <w:tcPr>
            <w:tcW w:w="1470" w:type="pct"/>
            <w:shd w:val="clear" w:color="auto" w:fill="auto"/>
          </w:tcPr>
          <w:p w14:paraId="273D705F" w14:textId="4521CFA6" w:rsidR="00080922" w:rsidRDefault="00080922" w:rsidP="00A65DB6">
            <w:pPr>
              <w:pStyle w:val="ListParagraph"/>
              <w:spacing w:line="360" w:lineRule="auto"/>
              <w:ind w:left="0"/>
              <w:rPr>
                <w:rFonts w:ascii="Arial" w:hAnsi="Arial" w:cs="Arial"/>
                <w:sz w:val="24"/>
                <w:szCs w:val="24"/>
              </w:rPr>
            </w:pPr>
            <w:r>
              <w:rPr>
                <w:rFonts w:ascii="Arial" w:hAnsi="Arial" w:cs="Arial"/>
                <w:sz w:val="24"/>
                <w:szCs w:val="24"/>
              </w:rPr>
              <w:lastRenderedPageBreak/>
              <w:t xml:space="preserve">Renforcement </w:t>
            </w:r>
            <w:r w:rsidR="004F1E69">
              <w:rPr>
                <w:rFonts w:ascii="Arial" w:hAnsi="Arial" w:cs="Arial"/>
                <w:sz w:val="24"/>
                <w:szCs w:val="24"/>
              </w:rPr>
              <w:t>en ressources humaines</w:t>
            </w:r>
            <w:r>
              <w:rPr>
                <w:rFonts w:ascii="Arial" w:hAnsi="Arial" w:cs="Arial"/>
                <w:sz w:val="24"/>
                <w:szCs w:val="24"/>
              </w:rPr>
              <w:t xml:space="preserve"> </w:t>
            </w:r>
            <w:r w:rsidR="00652961">
              <w:rPr>
                <w:rFonts w:ascii="Arial" w:hAnsi="Arial" w:cs="Arial"/>
                <w:sz w:val="24"/>
                <w:szCs w:val="24"/>
              </w:rPr>
              <w:t>en quantité et qualité suffisantes</w:t>
            </w:r>
          </w:p>
        </w:tc>
        <w:tc>
          <w:tcPr>
            <w:tcW w:w="566" w:type="pct"/>
          </w:tcPr>
          <w:p w14:paraId="7B0CAEAC" w14:textId="3B7FAC9B" w:rsidR="00080922" w:rsidRDefault="00080922" w:rsidP="00EC285A">
            <w:pPr>
              <w:spacing w:line="360" w:lineRule="auto"/>
              <w:jc w:val="both"/>
              <w:rPr>
                <w:rFonts w:ascii="Arial" w:hAnsi="Arial" w:cs="Arial"/>
                <w:sz w:val="24"/>
                <w:szCs w:val="24"/>
              </w:rPr>
            </w:pPr>
            <w:r>
              <w:rPr>
                <w:rFonts w:ascii="Arial" w:hAnsi="Arial" w:cs="Arial"/>
                <w:sz w:val="24"/>
                <w:szCs w:val="24"/>
              </w:rPr>
              <w:t>Continu</w:t>
            </w:r>
            <w:r w:rsidR="00652961">
              <w:rPr>
                <w:rFonts w:ascii="Arial" w:hAnsi="Arial" w:cs="Arial"/>
                <w:sz w:val="24"/>
                <w:szCs w:val="24"/>
              </w:rPr>
              <w:t>e</w:t>
            </w:r>
          </w:p>
        </w:tc>
        <w:tc>
          <w:tcPr>
            <w:tcW w:w="1508" w:type="pct"/>
            <w:shd w:val="clear" w:color="auto" w:fill="auto"/>
          </w:tcPr>
          <w:p w14:paraId="0188063E" w14:textId="4B49C80D" w:rsidR="00080922" w:rsidRDefault="00080922" w:rsidP="004F1E69">
            <w:pPr>
              <w:spacing w:after="0" w:line="240" w:lineRule="auto"/>
              <w:rPr>
                <w:rFonts w:ascii="Arial" w:hAnsi="Arial" w:cs="Arial"/>
                <w:sz w:val="24"/>
                <w:szCs w:val="24"/>
              </w:rPr>
            </w:pPr>
            <w:r>
              <w:rPr>
                <w:rFonts w:ascii="Arial" w:hAnsi="Arial" w:cs="Arial"/>
                <w:sz w:val="24"/>
                <w:szCs w:val="24"/>
              </w:rPr>
              <w:t xml:space="preserve">- </w:t>
            </w:r>
            <w:r w:rsidR="00652961">
              <w:rPr>
                <w:rFonts w:ascii="Arial" w:hAnsi="Arial" w:cs="Arial"/>
                <w:sz w:val="24"/>
                <w:szCs w:val="24"/>
              </w:rPr>
              <w:t xml:space="preserve">affecter </w:t>
            </w:r>
            <w:r w:rsidR="004F1E69">
              <w:rPr>
                <w:rFonts w:ascii="Arial" w:hAnsi="Arial" w:cs="Arial"/>
                <w:sz w:val="24"/>
                <w:szCs w:val="24"/>
              </w:rPr>
              <w:t>des ressources humaines</w:t>
            </w:r>
            <w:r>
              <w:rPr>
                <w:rFonts w:ascii="Arial" w:hAnsi="Arial" w:cs="Arial"/>
                <w:sz w:val="24"/>
                <w:szCs w:val="24"/>
              </w:rPr>
              <w:t xml:space="preserve"> </w:t>
            </w:r>
            <w:r w:rsidR="004F1E69">
              <w:rPr>
                <w:rFonts w:ascii="Arial" w:hAnsi="Arial" w:cs="Arial"/>
                <w:sz w:val="24"/>
                <w:szCs w:val="24"/>
              </w:rPr>
              <w:t>en qualité et quantité</w:t>
            </w:r>
          </w:p>
          <w:p w14:paraId="780A47D1" w14:textId="77777777" w:rsidR="004F1E69" w:rsidRDefault="004F1E69" w:rsidP="004F1E69">
            <w:pPr>
              <w:spacing w:after="0" w:line="240" w:lineRule="auto"/>
              <w:rPr>
                <w:rFonts w:ascii="Arial" w:hAnsi="Arial" w:cs="Arial"/>
                <w:sz w:val="24"/>
                <w:szCs w:val="24"/>
              </w:rPr>
            </w:pPr>
          </w:p>
          <w:p w14:paraId="5A642B06" w14:textId="688C8591" w:rsidR="00080922" w:rsidRDefault="00080922" w:rsidP="00652961">
            <w:pPr>
              <w:spacing w:after="0" w:line="240" w:lineRule="auto"/>
              <w:rPr>
                <w:rFonts w:ascii="Arial" w:hAnsi="Arial" w:cs="Arial"/>
                <w:sz w:val="24"/>
                <w:szCs w:val="24"/>
              </w:rPr>
            </w:pPr>
            <w:r>
              <w:rPr>
                <w:rFonts w:ascii="Arial" w:hAnsi="Arial" w:cs="Arial"/>
                <w:sz w:val="24"/>
                <w:szCs w:val="24"/>
              </w:rPr>
              <w:t xml:space="preserve">- </w:t>
            </w:r>
            <w:r w:rsidR="00652961">
              <w:rPr>
                <w:rFonts w:ascii="Arial" w:hAnsi="Arial" w:cs="Arial"/>
                <w:sz w:val="24"/>
                <w:szCs w:val="24"/>
              </w:rPr>
              <w:t xml:space="preserve">renforcer </w:t>
            </w:r>
            <w:r w:rsidR="004F1E69">
              <w:rPr>
                <w:rFonts w:ascii="Arial" w:hAnsi="Arial" w:cs="Arial"/>
                <w:sz w:val="24"/>
                <w:szCs w:val="24"/>
              </w:rPr>
              <w:t>les compétences des acteurs du terrain</w:t>
            </w:r>
          </w:p>
        </w:tc>
        <w:tc>
          <w:tcPr>
            <w:tcW w:w="1456" w:type="pct"/>
            <w:shd w:val="clear" w:color="auto" w:fill="auto"/>
          </w:tcPr>
          <w:p w14:paraId="15D8D810" w14:textId="63A67E5E" w:rsidR="004F1E69" w:rsidRDefault="004F1E69" w:rsidP="004F1E69">
            <w:pPr>
              <w:pStyle w:val="ListParagraph"/>
              <w:shd w:val="clear" w:color="auto" w:fill="DEEAF6" w:themeFill="accent1" w:themeFillTint="33"/>
              <w:spacing w:line="360" w:lineRule="auto"/>
              <w:ind w:left="0"/>
              <w:rPr>
                <w:rFonts w:ascii="Arial" w:hAnsi="Arial" w:cs="Arial"/>
                <w:sz w:val="24"/>
                <w:szCs w:val="24"/>
              </w:rPr>
            </w:pPr>
            <w:r w:rsidRPr="004F1E69">
              <w:rPr>
                <w:rFonts w:ascii="Arial" w:hAnsi="Arial" w:cs="Arial"/>
                <w:i/>
                <w:iCs/>
                <w:sz w:val="24"/>
                <w:szCs w:val="24"/>
              </w:rPr>
              <w:t>Voir tableau sur la formation des ressources humaines</w:t>
            </w:r>
          </w:p>
          <w:p w14:paraId="4FD36F5B" w14:textId="6A01EEC6" w:rsidR="00080922" w:rsidRPr="00C54431" w:rsidRDefault="004F1E69" w:rsidP="00652961">
            <w:pPr>
              <w:spacing w:after="0" w:line="240" w:lineRule="auto"/>
              <w:rPr>
                <w:rFonts w:ascii="Arial" w:hAnsi="Arial" w:cs="Arial"/>
                <w:sz w:val="24"/>
                <w:szCs w:val="24"/>
              </w:rPr>
            </w:pPr>
            <w:r>
              <w:rPr>
                <w:rFonts w:ascii="Arial" w:hAnsi="Arial" w:cs="Arial"/>
                <w:sz w:val="24"/>
                <w:szCs w:val="24"/>
              </w:rPr>
              <w:t xml:space="preserve">Une mise à jour </w:t>
            </w:r>
            <w:r w:rsidR="00652961">
              <w:rPr>
                <w:rFonts w:ascii="Arial" w:hAnsi="Arial" w:cs="Arial"/>
                <w:sz w:val="24"/>
                <w:szCs w:val="24"/>
              </w:rPr>
              <w:t xml:space="preserve">des capacités </w:t>
            </w:r>
            <w:r>
              <w:rPr>
                <w:rFonts w:ascii="Arial" w:hAnsi="Arial" w:cs="Arial"/>
                <w:sz w:val="24"/>
                <w:szCs w:val="24"/>
              </w:rPr>
              <w:t xml:space="preserve">doit être réalisée chaque année </w:t>
            </w:r>
            <w:r w:rsidR="00652961">
              <w:rPr>
                <w:rFonts w:ascii="Arial" w:hAnsi="Arial" w:cs="Arial"/>
                <w:sz w:val="24"/>
                <w:szCs w:val="24"/>
              </w:rPr>
              <w:t>à travers une identification d</w:t>
            </w:r>
            <w:r>
              <w:rPr>
                <w:rFonts w:ascii="Arial" w:hAnsi="Arial" w:cs="Arial"/>
                <w:sz w:val="24"/>
                <w:szCs w:val="24"/>
              </w:rPr>
              <w:t xml:space="preserve">es besoins en formation et </w:t>
            </w:r>
            <w:r w:rsidR="00652961">
              <w:rPr>
                <w:rFonts w:ascii="Arial" w:hAnsi="Arial" w:cs="Arial"/>
                <w:sz w:val="24"/>
                <w:szCs w:val="24"/>
              </w:rPr>
              <w:t xml:space="preserve">le </w:t>
            </w:r>
            <w:r>
              <w:rPr>
                <w:rFonts w:ascii="Arial" w:hAnsi="Arial" w:cs="Arial"/>
                <w:sz w:val="24"/>
                <w:szCs w:val="24"/>
              </w:rPr>
              <w:t>renforce</w:t>
            </w:r>
            <w:r w:rsidR="00652961">
              <w:rPr>
                <w:rFonts w:ascii="Arial" w:hAnsi="Arial" w:cs="Arial"/>
                <w:sz w:val="24"/>
                <w:szCs w:val="24"/>
              </w:rPr>
              <w:t>ment des</w:t>
            </w:r>
            <w:r>
              <w:rPr>
                <w:rFonts w:ascii="Arial" w:hAnsi="Arial" w:cs="Arial"/>
                <w:sz w:val="24"/>
                <w:szCs w:val="24"/>
              </w:rPr>
              <w:t xml:space="preserve"> compétences des acteurs du SNIS </w:t>
            </w:r>
          </w:p>
        </w:tc>
      </w:tr>
      <w:tr w:rsidR="00080922" w:rsidRPr="00C54431" w14:paraId="40007EF8" w14:textId="77777777" w:rsidTr="00004163">
        <w:tc>
          <w:tcPr>
            <w:tcW w:w="1470" w:type="pct"/>
            <w:shd w:val="clear" w:color="auto" w:fill="auto"/>
          </w:tcPr>
          <w:p w14:paraId="7759D12D" w14:textId="77777777" w:rsidR="00080922" w:rsidRPr="00C54431" w:rsidRDefault="00080922" w:rsidP="00EC285A">
            <w:pPr>
              <w:pStyle w:val="ListParagraph"/>
              <w:spacing w:line="360" w:lineRule="auto"/>
              <w:ind w:left="0"/>
              <w:jc w:val="both"/>
              <w:rPr>
                <w:rFonts w:ascii="Arial" w:hAnsi="Arial" w:cs="Arial"/>
                <w:sz w:val="24"/>
                <w:szCs w:val="24"/>
              </w:rPr>
            </w:pPr>
            <w:r>
              <w:rPr>
                <w:rFonts w:ascii="Arial" w:hAnsi="Arial" w:cs="Arial"/>
                <w:sz w:val="24"/>
                <w:szCs w:val="24"/>
              </w:rPr>
              <w:t>Configuration du serveur de production</w:t>
            </w:r>
          </w:p>
        </w:tc>
        <w:tc>
          <w:tcPr>
            <w:tcW w:w="566" w:type="pct"/>
          </w:tcPr>
          <w:p w14:paraId="4BBA942C" w14:textId="78DA23B6" w:rsidR="00080922" w:rsidRPr="00CD1486" w:rsidRDefault="003F611B" w:rsidP="00EC285A">
            <w:pPr>
              <w:spacing w:line="360" w:lineRule="auto"/>
              <w:jc w:val="both"/>
              <w:rPr>
                <w:rFonts w:ascii="Arial" w:hAnsi="Arial" w:cs="Arial"/>
                <w:sz w:val="24"/>
                <w:szCs w:val="24"/>
              </w:rPr>
            </w:pPr>
            <w:r>
              <w:rPr>
                <w:rFonts w:ascii="Arial" w:hAnsi="Arial" w:cs="Arial"/>
                <w:sz w:val="24"/>
                <w:szCs w:val="24"/>
              </w:rPr>
              <w:t>1</w:t>
            </w:r>
            <w:r w:rsidR="00080922">
              <w:rPr>
                <w:rFonts w:ascii="Arial" w:hAnsi="Arial" w:cs="Arial"/>
                <w:sz w:val="24"/>
                <w:szCs w:val="24"/>
              </w:rPr>
              <w:t xml:space="preserve"> mois</w:t>
            </w:r>
          </w:p>
        </w:tc>
        <w:tc>
          <w:tcPr>
            <w:tcW w:w="1508" w:type="pct"/>
            <w:shd w:val="clear" w:color="auto" w:fill="auto"/>
            <w:vAlign w:val="center"/>
          </w:tcPr>
          <w:p w14:paraId="4FD33A52" w14:textId="77777777" w:rsidR="00080922" w:rsidRDefault="00080922" w:rsidP="00EC285A">
            <w:pPr>
              <w:spacing w:line="360" w:lineRule="auto"/>
              <w:rPr>
                <w:rFonts w:ascii="Arial" w:hAnsi="Arial" w:cs="Arial"/>
                <w:sz w:val="24"/>
                <w:szCs w:val="24"/>
              </w:rPr>
            </w:pPr>
            <w:r>
              <w:rPr>
                <w:rFonts w:ascii="Arial" w:hAnsi="Arial" w:cs="Arial"/>
                <w:sz w:val="24"/>
                <w:szCs w:val="24"/>
              </w:rPr>
              <w:t>- paramétrer un serveur pour l’hébergement des bases de données opérationnelles</w:t>
            </w:r>
          </w:p>
          <w:p w14:paraId="115467FC" w14:textId="09098764" w:rsidR="00080922" w:rsidRPr="00CD1486" w:rsidRDefault="00080922" w:rsidP="00652961">
            <w:pPr>
              <w:spacing w:line="360" w:lineRule="auto"/>
              <w:rPr>
                <w:rFonts w:ascii="Arial" w:hAnsi="Arial" w:cs="Arial"/>
                <w:sz w:val="24"/>
                <w:szCs w:val="24"/>
              </w:rPr>
            </w:pPr>
            <w:r>
              <w:rPr>
                <w:rFonts w:ascii="Arial" w:hAnsi="Arial" w:cs="Arial"/>
                <w:sz w:val="24"/>
                <w:szCs w:val="24"/>
              </w:rPr>
              <w:t xml:space="preserve">- </w:t>
            </w:r>
            <w:r w:rsidR="00652961">
              <w:rPr>
                <w:rFonts w:ascii="Arial" w:hAnsi="Arial" w:cs="Arial"/>
                <w:sz w:val="24"/>
                <w:szCs w:val="24"/>
              </w:rPr>
              <w:t xml:space="preserve">élaborer </w:t>
            </w:r>
            <w:r w:rsidR="004F1E69">
              <w:rPr>
                <w:rFonts w:ascii="Arial" w:hAnsi="Arial" w:cs="Arial"/>
                <w:sz w:val="24"/>
                <w:szCs w:val="24"/>
              </w:rPr>
              <w:t xml:space="preserve">et valider un </w:t>
            </w:r>
            <w:r>
              <w:rPr>
                <w:rFonts w:ascii="Arial" w:hAnsi="Arial" w:cs="Arial"/>
                <w:sz w:val="24"/>
                <w:szCs w:val="24"/>
              </w:rPr>
              <w:t>plan de maintenance du serveur</w:t>
            </w:r>
          </w:p>
        </w:tc>
        <w:tc>
          <w:tcPr>
            <w:tcW w:w="1456" w:type="pct"/>
            <w:shd w:val="clear" w:color="auto" w:fill="auto"/>
          </w:tcPr>
          <w:p w14:paraId="6E25ECF6" w14:textId="64E7FADC" w:rsidR="00A65DB6" w:rsidRPr="00C54431" w:rsidRDefault="00A65DB6" w:rsidP="00652961">
            <w:pPr>
              <w:pStyle w:val="ListParagraph"/>
              <w:spacing w:line="360" w:lineRule="auto"/>
              <w:ind w:left="0"/>
              <w:rPr>
                <w:rFonts w:ascii="Arial" w:hAnsi="Arial" w:cs="Arial"/>
                <w:sz w:val="24"/>
                <w:szCs w:val="24"/>
              </w:rPr>
            </w:pPr>
            <w:r>
              <w:rPr>
                <w:rFonts w:ascii="Arial" w:hAnsi="Arial" w:cs="Arial"/>
                <w:sz w:val="24"/>
                <w:szCs w:val="24"/>
              </w:rPr>
              <w:t>Le plan de</w:t>
            </w:r>
            <w:r w:rsidR="004F1E69">
              <w:rPr>
                <w:rFonts w:ascii="Arial" w:hAnsi="Arial" w:cs="Arial"/>
                <w:sz w:val="24"/>
                <w:szCs w:val="24"/>
              </w:rPr>
              <w:t xml:space="preserve"> </w:t>
            </w:r>
            <w:r>
              <w:rPr>
                <w:rFonts w:ascii="Arial" w:hAnsi="Arial" w:cs="Arial"/>
                <w:sz w:val="24"/>
                <w:szCs w:val="24"/>
              </w:rPr>
              <w:t>maintenance doit</w:t>
            </w:r>
            <w:r w:rsidR="003F611B">
              <w:rPr>
                <w:rFonts w:ascii="Arial" w:hAnsi="Arial" w:cs="Arial"/>
                <w:sz w:val="24"/>
                <w:szCs w:val="24"/>
              </w:rPr>
              <w:t xml:space="preserve"> </w:t>
            </w:r>
            <w:r w:rsidR="00652961">
              <w:rPr>
                <w:rFonts w:ascii="Arial" w:hAnsi="Arial" w:cs="Arial"/>
                <w:sz w:val="24"/>
                <w:szCs w:val="24"/>
              </w:rPr>
              <w:t xml:space="preserve">être validée </w:t>
            </w:r>
            <w:r w:rsidR="004F1E69">
              <w:rPr>
                <w:rFonts w:ascii="Arial" w:hAnsi="Arial" w:cs="Arial"/>
                <w:sz w:val="24"/>
                <w:szCs w:val="24"/>
              </w:rPr>
              <w:t>avec les entités du ministère de la santé</w:t>
            </w:r>
            <w:r>
              <w:rPr>
                <w:rFonts w:ascii="Arial" w:hAnsi="Arial" w:cs="Arial"/>
                <w:sz w:val="24"/>
                <w:szCs w:val="24"/>
              </w:rPr>
              <w:t xml:space="preserve"> </w:t>
            </w:r>
            <w:r w:rsidR="004F1E69">
              <w:rPr>
                <w:rFonts w:ascii="Arial" w:hAnsi="Arial" w:cs="Arial"/>
                <w:sz w:val="24"/>
                <w:szCs w:val="24"/>
              </w:rPr>
              <w:t>et</w:t>
            </w:r>
            <w:r>
              <w:rPr>
                <w:rFonts w:ascii="Arial" w:hAnsi="Arial" w:cs="Arial"/>
                <w:sz w:val="24"/>
                <w:szCs w:val="24"/>
              </w:rPr>
              <w:t xml:space="preserve"> le fournisseur de l’infrastructure</w:t>
            </w:r>
            <w:r w:rsidR="004F1E69">
              <w:rPr>
                <w:rFonts w:ascii="Arial" w:hAnsi="Arial" w:cs="Arial"/>
                <w:sz w:val="24"/>
                <w:szCs w:val="24"/>
              </w:rPr>
              <w:t xml:space="preserve">. </w:t>
            </w:r>
          </w:p>
        </w:tc>
      </w:tr>
      <w:tr w:rsidR="00080922" w:rsidRPr="00C54431" w14:paraId="09BA64D5" w14:textId="77777777" w:rsidTr="00004163">
        <w:tc>
          <w:tcPr>
            <w:tcW w:w="1470" w:type="pct"/>
            <w:shd w:val="clear" w:color="auto" w:fill="auto"/>
          </w:tcPr>
          <w:p w14:paraId="6E13D59E" w14:textId="2BFC14FF" w:rsidR="00080922" w:rsidRPr="00C54431" w:rsidRDefault="00080922" w:rsidP="00EC285A">
            <w:pPr>
              <w:pStyle w:val="ListParagraph"/>
              <w:spacing w:line="360" w:lineRule="auto"/>
              <w:ind w:left="0"/>
              <w:jc w:val="both"/>
              <w:rPr>
                <w:rFonts w:ascii="Arial" w:hAnsi="Arial" w:cs="Arial"/>
                <w:sz w:val="24"/>
                <w:szCs w:val="24"/>
              </w:rPr>
            </w:pPr>
            <w:r>
              <w:rPr>
                <w:rFonts w:ascii="Arial" w:hAnsi="Arial" w:cs="Arial"/>
                <w:sz w:val="24"/>
                <w:szCs w:val="24"/>
              </w:rPr>
              <w:t xml:space="preserve">Implémentation du </w:t>
            </w:r>
            <w:r w:rsidR="00C51600">
              <w:rPr>
                <w:rFonts w:ascii="Arial" w:hAnsi="Arial" w:cs="Arial"/>
                <w:sz w:val="24"/>
                <w:szCs w:val="24"/>
              </w:rPr>
              <w:t>D</w:t>
            </w:r>
            <w:r>
              <w:rPr>
                <w:rFonts w:ascii="Arial" w:hAnsi="Arial" w:cs="Arial"/>
                <w:sz w:val="24"/>
                <w:szCs w:val="24"/>
              </w:rPr>
              <w:t xml:space="preserve">ata </w:t>
            </w:r>
            <w:proofErr w:type="spellStart"/>
            <w:r w:rsidR="00A65DB6">
              <w:rPr>
                <w:rFonts w:ascii="Arial" w:hAnsi="Arial" w:cs="Arial"/>
                <w:sz w:val="24"/>
                <w:szCs w:val="24"/>
              </w:rPr>
              <w:t>W</w:t>
            </w:r>
            <w:r>
              <w:rPr>
                <w:rFonts w:ascii="Arial" w:hAnsi="Arial" w:cs="Arial"/>
                <w:sz w:val="24"/>
                <w:szCs w:val="24"/>
              </w:rPr>
              <w:t>arehouse</w:t>
            </w:r>
            <w:proofErr w:type="spellEnd"/>
            <w:r>
              <w:rPr>
                <w:rFonts w:ascii="Arial" w:hAnsi="Arial" w:cs="Arial"/>
                <w:sz w:val="24"/>
                <w:szCs w:val="24"/>
              </w:rPr>
              <w:t xml:space="preserve"> </w:t>
            </w:r>
          </w:p>
        </w:tc>
        <w:tc>
          <w:tcPr>
            <w:tcW w:w="566" w:type="pct"/>
          </w:tcPr>
          <w:p w14:paraId="09F71353" w14:textId="77777777" w:rsidR="00080922" w:rsidRPr="00A267C8" w:rsidRDefault="00080922" w:rsidP="00EC285A">
            <w:pPr>
              <w:spacing w:line="360" w:lineRule="auto"/>
              <w:jc w:val="both"/>
              <w:rPr>
                <w:rFonts w:ascii="Arial" w:hAnsi="Arial" w:cs="Arial"/>
                <w:sz w:val="24"/>
                <w:szCs w:val="24"/>
              </w:rPr>
            </w:pPr>
            <w:r>
              <w:rPr>
                <w:rFonts w:ascii="Arial" w:hAnsi="Arial" w:cs="Arial"/>
                <w:sz w:val="24"/>
                <w:szCs w:val="24"/>
              </w:rPr>
              <w:t>6-8 mois</w:t>
            </w:r>
          </w:p>
        </w:tc>
        <w:tc>
          <w:tcPr>
            <w:tcW w:w="1508" w:type="pct"/>
            <w:shd w:val="clear" w:color="auto" w:fill="auto"/>
          </w:tcPr>
          <w:p w14:paraId="66AD139E" w14:textId="77777777" w:rsidR="00080922" w:rsidRDefault="00080922" w:rsidP="003F611B">
            <w:pPr>
              <w:spacing w:line="360" w:lineRule="auto"/>
              <w:rPr>
                <w:rFonts w:ascii="Arial" w:hAnsi="Arial" w:cs="Arial"/>
                <w:sz w:val="24"/>
                <w:szCs w:val="24"/>
              </w:rPr>
            </w:pPr>
            <w:r>
              <w:rPr>
                <w:rFonts w:ascii="Arial" w:hAnsi="Arial" w:cs="Arial"/>
                <w:sz w:val="24"/>
                <w:szCs w:val="24"/>
              </w:rPr>
              <w:t xml:space="preserve">- consolider le </w:t>
            </w:r>
            <w:proofErr w:type="spellStart"/>
            <w:r>
              <w:rPr>
                <w:rFonts w:ascii="Arial" w:hAnsi="Arial" w:cs="Arial"/>
                <w:sz w:val="24"/>
                <w:szCs w:val="24"/>
              </w:rPr>
              <w:t>mapping</w:t>
            </w:r>
            <w:proofErr w:type="spellEnd"/>
            <w:r>
              <w:rPr>
                <w:rFonts w:ascii="Arial" w:hAnsi="Arial" w:cs="Arial"/>
                <w:sz w:val="24"/>
                <w:szCs w:val="24"/>
              </w:rPr>
              <w:t xml:space="preserve"> des applications opérationnelles du ministère de la santé</w:t>
            </w:r>
          </w:p>
          <w:p w14:paraId="18D684A5" w14:textId="77777777" w:rsidR="00080922" w:rsidRDefault="00080922" w:rsidP="00EC285A">
            <w:pPr>
              <w:spacing w:line="360" w:lineRule="auto"/>
              <w:jc w:val="both"/>
              <w:rPr>
                <w:rFonts w:ascii="Arial" w:hAnsi="Arial" w:cs="Arial"/>
                <w:sz w:val="24"/>
                <w:szCs w:val="24"/>
              </w:rPr>
            </w:pPr>
            <w:r>
              <w:rPr>
                <w:rFonts w:ascii="Arial" w:hAnsi="Arial" w:cs="Arial"/>
                <w:sz w:val="24"/>
                <w:szCs w:val="24"/>
              </w:rPr>
              <w:lastRenderedPageBreak/>
              <w:t>- déployer les bases de données sur le serveur de production</w:t>
            </w:r>
          </w:p>
          <w:p w14:paraId="78AB6529" w14:textId="328FBAEA" w:rsidR="00080922" w:rsidRDefault="00080922" w:rsidP="00EC285A">
            <w:pPr>
              <w:spacing w:line="360" w:lineRule="auto"/>
              <w:rPr>
                <w:rFonts w:ascii="Arial" w:hAnsi="Arial" w:cs="Arial"/>
                <w:sz w:val="24"/>
                <w:szCs w:val="24"/>
              </w:rPr>
            </w:pPr>
            <w:r>
              <w:rPr>
                <w:rFonts w:ascii="Arial" w:hAnsi="Arial" w:cs="Arial"/>
                <w:sz w:val="24"/>
                <w:szCs w:val="24"/>
              </w:rPr>
              <w:t>- d</w:t>
            </w:r>
            <w:r w:rsidRPr="002E1038">
              <w:rPr>
                <w:rFonts w:ascii="Arial" w:hAnsi="Arial" w:cs="Arial"/>
                <w:sz w:val="24"/>
                <w:szCs w:val="24"/>
              </w:rPr>
              <w:t>éfini</w:t>
            </w:r>
            <w:r w:rsidR="003F611B">
              <w:rPr>
                <w:rFonts w:ascii="Arial" w:hAnsi="Arial" w:cs="Arial"/>
                <w:sz w:val="24"/>
                <w:szCs w:val="24"/>
              </w:rPr>
              <w:t>r</w:t>
            </w:r>
            <w:r w:rsidRPr="002E1038">
              <w:rPr>
                <w:rFonts w:ascii="Arial" w:hAnsi="Arial" w:cs="Arial"/>
                <w:sz w:val="24"/>
                <w:szCs w:val="24"/>
              </w:rPr>
              <w:t xml:space="preserve"> </w:t>
            </w:r>
            <w:r w:rsidR="003F611B">
              <w:rPr>
                <w:rFonts w:ascii="Arial" w:hAnsi="Arial" w:cs="Arial"/>
                <w:sz w:val="24"/>
                <w:szCs w:val="24"/>
              </w:rPr>
              <w:t>l</w:t>
            </w:r>
            <w:r w:rsidRPr="002E1038">
              <w:rPr>
                <w:rFonts w:ascii="Arial" w:hAnsi="Arial" w:cs="Arial"/>
                <w:sz w:val="24"/>
                <w:szCs w:val="24"/>
              </w:rPr>
              <w:t>e</w:t>
            </w:r>
            <w:r w:rsidR="003F611B">
              <w:rPr>
                <w:rFonts w:ascii="Arial" w:hAnsi="Arial" w:cs="Arial"/>
                <w:sz w:val="24"/>
                <w:szCs w:val="24"/>
              </w:rPr>
              <w:t xml:space="preserve">s </w:t>
            </w:r>
            <w:r w:rsidRPr="002E1038">
              <w:rPr>
                <w:rFonts w:ascii="Arial" w:hAnsi="Arial" w:cs="Arial"/>
                <w:sz w:val="24"/>
                <w:szCs w:val="24"/>
              </w:rPr>
              <w:t>spécifications</w:t>
            </w:r>
            <w:r w:rsidR="003F611B">
              <w:rPr>
                <w:rFonts w:ascii="Arial" w:hAnsi="Arial" w:cs="Arial"/>
                <w:sz w:val="24"/>
                <w:szCs w:val="24"/>
              </w:rPr>
              <w:t>, le</w:t>
            </w:r>
            <w:r w:rsidRPr="002E1038">
              <w:rPr>
                <w:rFonts w:ascii="Arial" w:hAnsi="Arial" w:cs="Arial"/>
                <w:sz w:val="24"/>
                <w:szCs w:val="24"/>
              </w:rPr>
              <w:t xml:space="preserve"> </w:t>
            </w:r>
            <w:r w:rsidR="003F611B" w:rsidRPr="002E1038">
              <w:rPr>
                <w:rFonts w:ascii="Arial" w:hAnsi="Arial" w:cs="Arial"/>
                <w:sz w:val="24"/>
                <w:szCs w:val="24"/>
              </w:rPr>
              <w:t>process</w:t>
            </w:r>
            <w:r w:rsidR="00C51600">
              <w:rPr>
                <w:rFonts w:ascii="Arial" w:hAnsi="Arial" w:cs="Arial"/>
                <w:sz w:val="24"/>
                <w:szCs w:val="24"/>
              </w:rPr>
              <w:t>us</w:t>
            </w:r>
            <w:r w:rsidR="003F611B">
              <w:rPr>
                <w:rFonts w:ascii="Arial" w:hAnsi="Arial" w:cs="Arial"/>
                <w:sz w:val="24"/>
                <w:szCs w:val="24"/>
              </w:rPr>
              <w:t xml:space="preserve"> d’implémentation </w:t>
            </w:r>
            <w:r w:rsidRPr="002E1038">
              <w:rPr>
                <w:rFonts w:ascii="Arial" w:hAnsi="Arial" w:cs="Arial"/>
                <w:sz w:val="24"/>
                <w:szCs w:val="24"/>
              </w:rPr>
              <w:t xml:space="preserve">et </w:t>
            </w:r>
            <w:r w:rsidR="003F611B">
              <w:rPr>
                <w:rFonts w:ascii="Arial" w:hAnsi="Arial" w:cs="Arial"/>
                <w:sz w:val="24"/>
                <w:szCs w:val="24"/>
              </w:rPr>
              <w:t>l</w:t>
            </w:r>
            <w:r w:rsidRPr="002E1038">
              <w:rPr>
                <w:rFonts w:ascii="Arial" w:hAnsi="Arial" w:cs="Arial"/>
                <w:sz w:val="24"/>
                <w:szCs w:val="24"/>
              </w:rPr>
              <w:t>es fonctionnalités de l</w:t>
            </w:r>
            <w:r>
              <w:rPr>
                <w:rFonts w:ascii="Arial" w:hAnsi="Arial" w:cs="Arial"/>
                <w:sz w:val="24"/>
                <w:szCs w:val="24"/>
              </w:rPr>
              <w:t xml:space="preserve">’entrepôt de données </w:t>
            </w:r>
            <w:r w:rsidRPr="002E1038">
              <w:rPr>
                <w:rFonts w:ascii="Arial" w:hAnsi="Arial" w:cs="Arial"/>
                <w:sz w:val="24"/>
                <w:szCs w:val="24"/>
              </w:rPr>
              <w:t xml:space="preserve"> </w:t>
            </w:r>
          </w:p>
          <w:p w14:paraId="392A6AF5" w14:textId="77777777" w:rsidR="00080922" w:rsidRDefault="00080922" w:rsidP="00EC285A">
            <w:pPr>
              <w:spacing w:line="360" w:lineRule="auto"/>
              <w:jc w:val="both"/>
              <w:rPr>
                <w:rFonts w:ascii="Arial" w:hAnsi="Arial" w:cs="Arial"/>
                <w:sz w:val="24"/>
                <w:szCs w:val="24"/>
              </w:rPr>
            </w:pPr>
            <w:r>
              <w:rPr>
                <w:rFonts w:ascii="Arial" w:hAnsi="Arial" w:cs="Arial"/>
                <w:sz w:val="24"/>
                <w:szCs w:val="24"/>
              </w:rPr>
              <w:t>- implémenter l’entrepôt de données</w:t>
            </w:r>
          </w:p>
          <w:p w14:paraId="6254D113" w14:textId="2B560E59" w:rsidR="003F611B" w:rsidRPr="002E1038" w:rsidRDefault="003F611B" w:rsidP="00EC285A">
            <w:pPr>
              <w:spacing w:line="360" w:lineRule="auto"/>
              <w:jc w:val="both"/>
              <w:rPr>
                <w:rFonts w:ascii="Arial" w:hAnsi="Arial" w:cs="Arial"/>
                <w:sz w:val="24"/>
                <w:szCs w:val="24"/>
              </w:rPr>
            </w:pPr>
            <w:r>
              <w:rPr>
                <w:rFonts w:ascii="Arial" w:hAnsi="Arial" w:cs="Arial"/>
                <w:sz w:val="24"/>
                <w:szCs w:val="24"/>
              </w:rPr>
              <w:t>- mettre en place un système de redondance des données</w:t>
            </w:r>
          </w:p>
        </w:tc>
        <w:tc>
          <w:tcPr>
            <w:tcW w:w="1456" w:type="pct"/>
            <w:shd w:val="clear" w:color="auto" w:fill="auto"/>
          </w:tcPr>
          <w:p w14:paraId="6AE5B76B" w14:textId="0A19DFC8" w:rsidR="00080922" w:rsidRPr="00C54431" w:rsidRDefault="00080922" w:rsidP="00807493">
            <w:pPr>
              <w:pStyle w:val="ListParagraph"/>
              <w:spacing w:line="360" w:lineRule="auto"/>
              <w:ind w:left="0"/>
              <w:rPr>
                <w:rFonts w:ascii="Arial" w:hAnsi="Arial" w:cs="Arial"/>
                <w:sz w:val="24"/>
                <w:szCs w:val="24"/>
              </w:rPr>
            </w:pPr>
            <w:r>
              <w:rPr>
                <w:rFonts w:ascii="Arial" w:hAnsi="Arial" w:cs="Arial"/>
                <w:sz w:val="24"/>
                <w:szCs w:val="24"/>
              </w:rPr>
              <w:lastRenderedPageBreak/>
              <w:t xml:space="preserve">Compte tenu du caractère dynamique des différentes implémentations, une mise à jour des </w:t>
            </w:r>
            <w:r>
              <w:rPr>
                <w:rFonts w:ascii="Arial" w:hAnsi="Arial" w:cs="Arial"/>
                <w:sz w:val="24"/>
                <w:szCs w:val="24"/>
              </w:rPr>
              <w:lastRenderedPageBreak/>
              <w:t>applications</w:t>
            </w:r>
            <w:r w:rsidR="003F611B">
              <w:rPr>
                <w:rFonts w:ascii="Arial" w:hAnsi="Arial" w:cs="Arial"/>
                <w:sz w:val="24"/>
                <w:szCs w:val="24"/>
              </w:rPr>
              <w:t xml:space="preserve"> opérationnelles</w:t>
            </w:r>
            <w:r>
              <w:rPr>
                <w:rFonts w:ascii="Arial" w:hAnsi="Arial" w:cs="Arial"/>
                <w:sz w:val="24"/>
                <w:szCs w:val="24"/>
              </w:rPr>
              <w:t xml:space="preserve"> sera essentielle avant la phase </w:t>
            </w:r>
            <w:r w:rsidR="003F611B">
              <w:rPr>
                <w:rFonts w:ascii="Arial" w:hAnsi="Arial" w:cs="Arial"/>
                <w:sz w:val="24"/>
                <w:szCs w:val="24"/>
              </w:rPr>
              <w:t>de déploiement des bases de données pour la constitution de l’entrepôt</w:t>
            </w:r>
            <w:r>
              <w:rPr>
                <w:rFonts w:ascii="Arial" w:hAnsi="Arial" w:cs="Arial"/>
                <w:sz w:val="24"/>
                <w:szCs w:val="24"/>
              </w:rPr>
              <w:t xml:space="preserve"> (atelier d’un ou de deux jours avec tous les acteurs du ministère de la santé)</w:t>
            </w:r>
          </w:p>
        </w:tc>
      </w:tr>
      <w:tr w:rsidR="00080922" w:rsidRPr="00C54431" w14:paraId="6CB26D6E" w14:textId="77777777" w:rsidTr="00004163">
        <w:tc>
          <w:tcPr>
            <w:tcW w:w="1470" w:type="pct"/>
            <w:shd w:val="clear" w:color="auto" w:fill="auto"/>
          </w:tcPr>
          <w:p w14:paraId="4EBAF4A7" w14:textId="158918DE" w:rsidR="00080922" w:rsidRPr="00C54431" w:rsidRDefault="003F611B" w:rsidP="00EC285A">
            <w:pPr>
              <w:pStyle w:val="ListParagraph"/>
              <w:spacing w:line="360" w:lineRule="auto"/>
              <w:ind w:left="0"/>
              <w:jc w:val="both"/>
              <w:rPr>
                <w:rFonts w:ascii="Arial" w:hAnsi="Arial" w:cs="Arial"/>
                <w:sz w:val="24"/>
                <w:szCs w:val="24"/>
              </w:rPr>
            </w:pPr>
            <w:r>
              <w:rPr>
                <w:rFonts w:ascii="Arial" w:hAnsi="Arial" w:cs="Arial"/>
                <w:sz w:val="24"/>
                <w:szCs w:val="24"/>
              </w:rPr>
              <w:lastRenderedPageBreak/>
              <w:t>Présentation et v</w:t>
            </w:r>
            <w:r w:rsidR="00080922" w:rsidRPr="00C54431">
              <w:rPr>
                <w:rFonts w:ascii="Arial" w:hAnsi="Arial" w:cs="Arial"/>
                <w:sz w:val="24"/>
                <w:szCs w:val="24"/>
              </w:rPr>
              <w:t>alidation de la première version officielle d</w:t>
            </w:r>
            <w:r w:rsidR="00080922">
              <w:rPr>
                <w:rFonts w:ascii="Arial" w:hAnsi="Arial" w:cs="Arial"/>
                <w:sz w:val="24"/>
                <w:szCs w:val="24"/>
              </w:rPr>
              <w:t xml:space="preserve">u </w:t>
            </w:r>
            <w:r w:rsidR="00C51600">
              <w:rPr>
                <w:rFonts w:ascii="Arial" w:hAnsi="Arial" w:cs="Arial"/>
                <w:sz w:val="24"/>
                <w:szCs w:val="24"/>
              </w:rPr>
              <w:t>D</w:t>
            </w:r>
            <w:r w:rsidR="00080922">
              <w:rPr>
                <w:rFonts w:ascii="Arial" w:hAnsi="Arial" w:cs="Arial"/>
                <w:sz w:val="24"/>
                <w:szCs w:val="24"/>
              </w:rPr>
              <w:t xml:space="preserve">ata </w:t>
            </w:r>
            <w:proofErr w:type="spellStart"/>
            <w:r w:rsidR="00080922">
              <w:rPr>
                <w:rFonts w:ascii="Arial" w:hAnsi="Arial" w:cs="Arial"/>
                <w:sz w:val="24"/>
                <w:szCs w:val="24"/>
              </w:rPr>
              <w:t>warehouse</w:t>
            </w:r>
            <w:proofErr w:type="spellEnd"/>
          </w:p>
        </w:tc>
        <w:tc>
          <w:tcPr>
            <w:tcW w:w="566" w:type="pct"/>
          </w:tcPr>
          <w:p w14:paraId="75488A20" w14:textId="38F990AF" w:rsidR="00080922" w:rsidRPr="00A267C8" w:rsidRDefault="003F611B" w:rsidP="00EC285A">
            <w:pPr>
              <w:spacing w:line="360" w:lineRule="auto"/>
              <w:jc w:val="both"/>
              <w:rPr>
                <w:rFonts w:ascii="Arial" w:hAnsi="Arial" w:cs="Arial"/>
                <w:sz w:val="24"/>
                <w:szCs w:val="24"/>
              </w:rPr>
            </w:pPr>
            <w:r>
              <w:rPr>
                <w:rFonts w:ascii="Arial" w:hAnsi="Arial" w:cs="Arial"/>
                <w:sz w:val="24"/>
                <w:szCs w:val="24"/>
              </w:rPr>
              <w:t>2</w:t>
            </w:r>
            <w:r w:rsidR="00080922">
              <w:rPr>
                <w:rFonts w:ascii="Arial" w:hAnsi="Arial" w:cs="Arial"/>
                <w:sz w:val="24"/>
                <w:szCs w:val="24"/>
              </w:rPr>
              <w:t xml:space="preserve"> mois</w:t>
            </w:r>
          </w:p>
        </w:tc>
        <w:tc>
          <w:tcPr>
            <w:tcW w:w="1508" w:type="pct"/>
            <w:shd w:val="clear" w:color="auto" w:fill="auto"/>
          </w:tcPr>
          <w:p w14:paraId="7AE7D732" w14:textId="7E6E597D" w:rsidR="00080922" w:rsidRDefault="00080922" w:rsidP="00EC285A">
            <w:pPr>
              <w:spacing w:line="360" w:lineRule="auto"/>
              <w:jc w:val="both"/>
              <w:rPr>
                <w:rFonts w:ascii="Arial" w:hAnsi="Arial" w:cs="Arial"/>
                <w:sz w:val="24"/>
                <w:szCs w:val="24"/>
              </w:rPr>
            </w:pPr>
            <w:r>
              <w:rPr>
                <w:rFonts w:ascii="Arial" w:hAnsi="Arial" w:cs="Arial"/>
                <w:sz w:val="24"/>
                <w:szCs w:val="24"/>
              </w:rPr>
              <w:t xml:space="preserve">- </w:t>
            </w:r>
            <w:r w:rsidR="003F611B">
              <w:rPr>
                <w:rFonts w:ascii="Arial" w:hAnsi="Arial" w:cs="Arial"/>
                <w:sz w:val="24"/>
                <w:szCs w:val="24"/>
              </w:rPr>
              <w:t>Présenter</w:t>
            </w:r>
            <w:r>
              <w:rPr>
                <w:rFonts w:ascii="Arial" w:hAnsi="Arial" w:cs="Arial"/>
                <w:sz w:val="24"/>
                <w:szCs w:val="24"/>
              </w:rPr>
              <w:t xml:space="preserve"> l’entrepôt de données</w:t>
            </w:r>
          </w:p>
          <w:p w14:paraId="2B3796D2" w14:textId="77777777" w:rsidR="00080922" w:rsidRDefault="00080922" w:rsidP="00EC285A">
            <w:pPr>
              <w:spacing w:line="360" w:lineRule="auto"/>
              <w:jc w:val="both"/>
              <w:rPr>
                <w:rFonts w:ascii="Arial" w:hAnsi="Arial" w:cs="Arial"/>
                <w:sz w:val="24"/>
                <w:szCs w:val="24"/>
              </w:rPr>
            </w:pPr>
            <w:r>
              <w:rPr>
                <w:rFonts w:ascii="Arial" w:hAnsi="Arial" w:cs="Arial"/>
                <w:sz w:val="24"/>
                <w:szCs w:val="24"/>
              </w:rPr>
              <w:t>- v</w:t>
            </w:r>
            <w:r w:rsidRPr="002E1038">
              <w:rPr>
                <w:rFonts w:ascii="Arial" w:hAnsi="Arial" w:cs="Arial"/>
                <w:sz w:val="24"/>
                <w:szCs w:val="24"/>
              </w:rPr>
              <w:t>alid</w:t>
            </w:r>
            <w:r>
              <w:rPr>
                <w:rFonts w:ascii="Arial" w:hAnsi="Arial" w:cs="Arial"/>
                <w:sz w:val="24"/>
                <w:szCs w:val="24"/>
              </w:rPr>
              <w:t>er</w:t>
            </w:r>
            <w:r w:rsidRPr="002E1038">
              <w:rPr>
                <w:rFonts w:ascii="Arial" w:hAnsi="Arial" w:cs="Arial"/>
                <w:sz w:val="24"/>
                <w:szCs w:val="24"/>
              </w:rPr>
              <w:t xml:space="preserve"> </w:t>
            </w:r>
            <w:r>
              <w:rPr>
                <w:rFonts w:ascii="Arial" w:hAnsi="Arial" w:cs="Arial"/>
                <w:sz w:val="24"/>
                <w:szCs w:val="24"/>
              </w:rPr>
              <w:t>l</w:t>
            </w:r>
            <w:r w:rsidRPr="002E1038">
              <w:rPr>
                <w:rFonts w:ascii="Arial" w:hAnsi="Arial" w:cs="Arial"/>
                <w:sz w:val="24"/>
                <w:szCs w:val="24"/>
              </w:rPr>
              <w:t>e</w:t>
            </w:r>
            <w:r>
              <w:rPr>
                <w:rFonts w:ascii="Arial" w:hAnsi="Arial" w:cs="Arial"/>
                <w:sz w:val="24"/>
                <w:szCs w:val="24"/>
              </w:rPr>
              <w:t xml:space="preserve">s magasins de données </w:t>
            </w:r>
          </w:p>
          <w:p w14:paraId="0EA1C14C" w14:textId="77777777" w:rsidR="00080922" w:rsidRPr="002E1038" w:rsidRDefault="00080922" w:rsidP="00EC285A">
            <w:pPr>
              <w:spacing w:line="360" w:lineRule="auto"/>
              <w:rPr>
                <w:rFonts w:ascii="Arial" w:hAnsi="Arial" w:cs="Arial"/>
                <w:sz w:val="24"/>
                <w:szCs w:val="24"/>
              </w:rPr>
            </w:pPr>
            <w:r>
              <w:rPr>
                <w:rFonts w:ascii="Arial" w:hAnsi="Arial" w:cs="Arial"/>
                <w:sz w:val="24"/>
                <w:szCs w:val="24"/>
              </w:rPr>
              <w:t>- valider l’entrepôt de données (accès, tableaux de bord…)</w:t>
            </w:r>
          </w:p>
        </w:tc>
        <w:tc>
          <w:tcPr>
            <w:tcW w:w="1456" w:type="pct"/>
            <w:shd w:val="clear" w:color="auto" w:fill="auto"/>
          </w:tcPr>
          <w:p w14:paraId="6E812D44" w14:textId="77777777" w:rsidR="00080922" w:rsidRPr="00C54431" w:rsidRDefault="00080922" w:rsidP="00EC285A">
            <w:pPr>
              <w:pStyle w:val="ListParagraph"/>
              <w:spacing w:line="360" w:lineRule="auto"/>
              <w:ind w:left="0"/>
              <w:jc w:val="both"/>
              <w:rPr>
                <w:rFonts w:ascii="Arial" w:hAnsi="Arial" w:cs="Arial"/>
                <w:sz w:val="24"/>
                <w:szCs w:val="24"/>
              </w:rPr>
            </w:pPr>
            <w:r>
              <w:rPr>
                <w:rFonts w:ascii="Arial" w:hAnsi="Arial" w:cs="Arial"/>
                <w:sz w:val="24"/>
                <w:szCs w:val="24"/>
              </w:rPr>
              <w:t>Une validation devra être réalisée avant de mettre en production l’entrepôt de données</w:t>
            </w:r>
          </w:p>
        </w:tc>
      </w:tr>
      <w:tr w:rsidR="00080922" w:rsidRPr="00C54431" w14:paraId="51BDD7E9" w14:textId="77777777" w:rsidTr="00004163">
        <w:tc>
          <w:tcPr>
            <w:tcW w:w="1470" w:type="pct"/>
            <w:shd w:val="clear" w:color="auto" w:fill="auto"/>
          </w:tcPr>
          <w:p w14:paraId="141D0C2D" w14:textId="69AD5542" w:rsidR="00080922" w:rsidRPr="00C54431" w:rsidRDefault="00080922" w:rsidP="00EC285A">
            <w:pPr>
              <w:pStyle w:val="ListParagraph"/>
              <w:spacing w:line="360" w:lineRule="auto"/>
              <w:ind w:left="0"/>
              <w:jc w:val="both"/>
              <w:rPr>
                <w:rFonts w:ascii="Arial" w:hAnsi="Arial" w:cs="Arial"/>
                <w:sz w:val="24"/>
                <w:szCs w:val="24"/>
              </w:rPr>
            </w:pPr>
            <w:r w:rsidRPr="00C54431">
              <w:rPr>
                <w:rFonts w:ascii="Arial" w:hAnsi="Arial" w:cs="Arial"/>
                <w:sz w:val="24"/>
                <w:szCs w:val="24"/>
              </w:rPr>
              <w:t>Formation des acteurs à l’utilisation et à la mise à jour de</w:t>
            </w:r>
            <w:r>
              <w:rPr>
                <w:rFonts w:ascii="Arial" w:hAnsi="Arial" w:cs="Arial"/>
                <w:sz w:val="24"/>
                <w:szCs w:val="24"/>
              </w:rPr>
              <w:t>s bases de données (opérationnelles et décisionnelle)</w:t>
            </w:r>
          </w:p>
        </w:tc>
        <w:tc>
          <w:tcPr>
            <w:tcW w:w="566" w:type="pct"/>
          </w:tcPr>
          <w:p w14:paraId="3968CD86" w14:textId="13FE5DF8" w:rsidR="00080922" w:rsidRPr="00A267C8" w:rsidRDefault="003F611B" w:rsidP="00EC285A">
            <w:pPr>
              <w:spacing w:line="360" w:lineRule="auto"/>
              <w:jc w:val="both"/>
              <w:rPr>
                <w:rFonts w:ascii="Arial" w:hAnsi="Arial" w:cs="Arial"/>
                <w:sz w:val="24"/>
                <w:szCs w:val="24"/>
              </w:rPr>
            </w:pPr>
            <w:r>
              <w:rPr>
                <w:rFonts w:ascii="Arial" w:hAnsi="Arial" w:cs="Arial"/>
                <w:sz w:val="24"/>
                <w:szCs w:val="24"/>
              </w:rPr>
              <w:t>2</w:t>
            </w:r>
            <w:r w:rsidR="00080922">
              <w:rPr>
                <w:rFonts w:ascii="Arial" w:hAnsi="Arial" w:cs="Arial"/>
                <w:sz w:val="24"/>
                <w:szCs w:val="24"/>
              </w:rPr>
              <w:t xml:space="preserve"> mois</w:t>
            </w:r>
          </w:p>
        </w:tc>
        <w:tc>
          <w:tcPr>
            <w:tcW w:w="1508" w:type="pct"/>
            <w:shd w:val="clear" w:color="auto" w:fill="auto"/>
          </w:tcPr>
          <w:p w14:paraId="4F4A62D5" w14:textId="77777777" w:rsidR="00080922" w:rsidRDefault="00080922" w:rsidP="00807493">
            <w:pPr>
              <w:spacing w:line="360" w:lineRule="auto"/>
              <w:rPr>
                <w:rFonts w:ascii="Arial" w:hAnsi="Arial" w:cs="Arial"/>
                <w:sz w:val="24"/>
                <w:szCs w:val="24"/>
              </w:rPr>
            </w:pPr>
            <w:r>
              <w:rPr>
                <w:rFonts w:ascii="Arial" w:hAnsi="Arial" w:cs="Arial"/>
                <w:sz w:val="24"/>
                <w:szCs w:val="24"/>
              </w:rPr>
              <w:t>- f</w:t>
            </w:r>
            <w:r w:rsidRPr="003F0045">
              <w:rPr>
                <w:rFonts w:ascii="Arial" w:hAnsi="Arial" w:cs="Arial"/>
                <w:sz w:val="24"/>
                <w:szCs w:val="24"/>
              </w:rPr>
              <w:t>ormer les gestionnaires de données</w:t>
            </w:r>
            <w:r>
              <w:rPr>
                <w:rFonts w:ascii="Arial" w:hAnsi="Arial" w:cs="Arial"/>
                <w:sz w:val="24"/>
                <w:szCs w:val="24"/>
              </w:rPr>
              <w:t xml:space="preserve"> du niveau central, des centres hospitaliers,</w:t>
            </w:r>
            <w:r w:rsidRPr="003F0045">
              <w:rPr>
                <w:rFonts w:ascii="Arial" w:hAnsi="Arial" w:cs="Arial"/>
                <w:sz w:val="24"/>
                <w:szCs w:val="24"/>
              </w:rPr>
              <w:t xml:space="preserve"> des régions</w:t>
            </w:r>
            <w:r>
              <w:rPr>
                <w:rFonts w:ascii="Arial" w:hAnsi="Arial" w:cs="Arial"/>
                <w:sz w:val="24"/>
                <w:szCs w:val="24"/>
              </w:rPr>
              <w:t xml:space="preserve">, des directions préfectorales, </w:t>
            </w:r>
            <w:r w:rsidRPr="003F0045">
              <w:rPr>
                <w:rFonts w:ascii="Arial" w:hAnsi="Arial" w:cs="Arial"/>
                <w:sz w:val="24"/>
                <w:szCs w:val="24"/>
              </w:rPr>
              <w:t>des district</w:t>
            </w:r>
            <w:r>
              <w:rPr>
                <w:rFonts w:ascii="Arial" w:hAnsi="Arial" w:cs="Arial"/>
                <w:sz w:val="24"/>
                <w:szCs w:val="24"/>
              </w:rPr>
              <w:t>s, des centres médicaux et des centres de santé.</w:t>
            </w:r>
          </w:p>
          <w:p w14:paraId="3251FBB0" w14:textId="77777777" w:rsidR="003F611B" w:rsidRDefault="003F611B" w:rsidP="00EC285A">
            <w:pPr>
              <w:spacing w:line="360" w:lineRule="auto"/>
              <w:jc w:val="both"/>
              <w:rPr>
                <w:rFonts w:ascii="Arial" w:hAnsi="Arial" w:cs="Arial"/>
                <w:sz w:val="24"/>
                <w:szCs w:val="24"/>
              </w:rPr>
            </w:pPr>
            <w:r>
              <w:rPr>
                <w:rFonts w:ascii="Arial" w:hAnsi="Arial" w:cs="Arial"/>
                <w:sz w:val="24"/>
                <w:szCs w:val="24"/>
              </w:rPr>
              <w:lastRenderedPageBreak/>
              <w:t>- Former les décideurs à l’utilisation de l’entrepôt de données</w:t>
            </w:r>
          </w:p>
          <w:p w14:paraId="04A169D8" w14:textId="0BDB731C" w:rsidR="003F611B" w:rsidRPr="003F0045" w:rsidRDefault="003F611B" w:rsidP="00EC285A">
            <w:pPr>
              <w:spacing w:line="360" w:lineRule="auto"/>
              <w:jc w:val="both"/>
              <w:rPr>
                <w:rFonts w:ascii="Arial" w:hAnsi="Arial" w:cs="Arial"/>
                <w:sz w:val="24"/>
                <w:szCs w:val="24"/>
              </w:rPr>
            </w:pPr>
            <w:r>
              <w:rPr>
                <w:rFonts w:ascii="Arial" w:hAnsi="Arial" w:cs="Arial"/>
                <w:sz w:val="24"/>
                <w:szCs w:val="24"/>
              </w:rPr>
              <w:t>- Former les utilisateurs à l’extraction des données</w:t>
            </w:r>
          </w:p>
        </w:tc>
        <w:tc>
          <w:tcPr>
            <w:tcW w:w="1456" w:type="pct"/>
            <w:shd w:val="clear" w:color="auto" w:fill="auto"/>
          </w:tcPr>
          <w:p w14:paraId="2101D2B5" w14:textId="4F02798D" w:rsidR="00080922" w:rsidRDefault="003F611B" w:rsidP="003F611B">
            <w:pPr>
              <w:pStyle w:val="ListParagraph"/>
              <w:spacing w:line="360" w:lineRule="auto"/>
              <w:ind w:left="0"/>
              <w:rPr>
                <w:rFonts w:ascii="Arial" w:hAnsi="Arial" w:cs="Arial"/>
                <w:sz w:val="24"/>
                <w:szCs w:val="24"/>
              </w:rPr>
            </w:pPr>
            <w:r>
              <w:rPr>
                <w:rFonts w:ascii="Arial" w:hAnsi="Arial" w:cs="Arial"/>
                <w:sz w:val="24"/>
                <w:szCs w:val="24"/>
              </w:rPr>
              <w:lastRenderedPageBreak/>
              <w:t>Une formation en cascade</w:t>
            </w:r>
            <w:r w:rsidR="00914C50">
              <w:rPr>
                <w:rFonts w:ascii="Arial" w:hAnsi="Arial" w:cs="Arial"/>
                <w:sz w:val="24"/>
                <w:szCs w:val="24"/>
              </w:rPr>
              <w:t>s</w:t>
            </w:r>
            <w:r>
              <w:rPr>
                <w:rFonts w:ascii="Arial" w:hAnsi="Arial" w:cs="Arial"/>
                <w:sz w:val="24"/>
                <w:szCs w:val="24"/>
              </w:rPr>
              <w:t xml:space="preserve"> sera organisée pour l’utilisation et la configuration des tableaux de bord.</w:t>
            </w:r>
          </w:p>
          <w:p w14:paraId="5A204E03" w14:textId="77777777" w:rsidR="003F611B" w:rsidRDefault="003F611B" w:rsidP="003F611B">
            <w:pPr>
              <w:pStyle w:val="ListParagraph"/>
              <w:spacing w:line="360" w:lineRule="auto"/>
              <w:ind w:left="0"/>
              <w:rPr>
                <w:rFonts w:ascii="Arial" w:hAnsi="Arial" w:cs="Arial"/>
                <w:sz w:val="24"/>
                <w:szCs w:val="24"/>
              </w:rPr>
            </w:pPr>
          </w:p>
          <w:p w14:paraId="3F6646FB" w14:textId="2CFDE832" w:rsidR="003F611B" w:rsidRPr="00C54431" w:rsidRDefault="003F611B" w:rsidP="003F611B">
            <w:pPr>
              <w:pStyle w:val="ListParagraph"/>
              <w:spacing w:line="360" w:lineRule="auto"/>
              <w:ind w:left="0"/>
              <w:rPr>
                <w:rFonts w:ascii="Arial" w:hAnsi="Arial" w:cs="Arial"/>
                <w:sz w:val="24"/>
                <w:szCs w:val="24"/>
              </w:rPr>
            </w:pPr>
            <w:r>
              <w:rPr>
                <w:rFonts w:ascii="Arial" w:hAnsi="Arial" w:cs="Arial"/>
                <w:sz w:val="24"/>
                <w:szCs w:val="24"/>
              </w:rPr>
              <w:t xml:space="preserve">Les gestionnaires de données et les chercheurs seront </w:t>
            </w:r>
            <w:r>
              <w:rPr>
                <w:rFonts w:ascii="Arial" w:hAnsi="Arial" w:cs="Arial"/>
                <w:sz w:val="24"/>
                <w:szCs w:val="24"/>
              </w:rPr>
              <w:lastRenderedPageBreak/>
              <w:t>capacité</w:t>
            </w:r>
            <w:r w:rsidR="00914C50">
              <w:rPr>
                <w:rFonts w:ascii="Arial" w:hAnsi="Arial" w:cs="Arial"/>
                <w:sz w:val="24"/>
                <w:szCs w:val="24"/>
              </w:rPr>
              <w:t>s</w:t>
            </w:r>
            <w:r>
              <w:rPr>
                <w:rFonts w:ascii="Arial" w:hAnsi="Arial" w:cs="Arial"/>
                <w:sz w:val="24"/>
                <w:szCs w:val="24"/>
              </w:rPr>
              <w:t xml:space="preserve"> à l’extraction de certaines données</w:t>
            </w:r>
          </w:p>
        </w:tc>
      </w:tr>
      <w:tr w:rsidR="00080922" w:rsidRPr="00C54431" w14:paraId="18FA8B49" w14:textId="77777777" w:rsidTr="00004163">
        <w:tc>
          <w:tcPr>
            <w:tcW w:w="1470" w:type="pct"/>
            <w:shd w:val="clear" w:color="auto" w:fill="auto"/>
          </w:tcPr>
          <w:p w14:paraId="7B10DF7B" w14:textId="2FBD9F8E" w:rsidR="00080922" w:rsidRPr="00C54431" w:rsidRDefault="00080922" w:rsidP="00EC285A">
            <w:pPr>
              <w:pStyle w:val="ListParagraph"/>
              <w:spacing w:line="360" w:lineRule="auto"/>
              <w:ind w:left="0"/>
              <w:rPr>
                <w:rFonts w:ascii="Arial" w:hAnsi="Arial" w:cs="Arial"/>
                <w:sz w:val="24"/>
                <w:szCs w:val="24"/>
              </w:rPr>
            </w:pPr>
            <w:r w:rsidRPr="00C54431">
              <w:rPr>
                <w:rFonts w:ascii="Arial" w:hAnsi="Arial" w:cs="Arial"/>
                <w:sz w:val="24"/>
                <w:szCs w:val="24"/>
                <w:lang w:val="fr-CH"/>
              </w:rPr>
              <w:lastRenderedPageBreak/>
              <w:t>Élaboration des procédures opérationnelles standards (SOP)</w:t>
            </w:r>
          </w:p>
        </w:tc>
        <w:tc>
          <w:tcPr>
            <w:tcW w:w="566" w:type="pct"/>
          </w:tcPr>
          <w:p w14:paraId="515A69B8" w14:textId="5C1B0537" w:rsidR="00080922" w:rsidRPr="00A267C8" w:rsidRDefault="003F611B" w:rsidP="00EC285A">
            <w:pPr>
              <w:spacing w:line="360" w:lineRule="auto"/>
              <w:jc w:val="both"/>
              <w:rPr>
                <w:rFonts w:ascii="Arial" w:hAnsi="Arial" w:cs="Arial"/>
                <w:sz w:val="24"/>
                <w:szCs w:val="24"/>
              </w:rPr>
            </w:pPr>
            <w:r>
              <w:rPr>
                <w:rFonts w:ascii="Arial" w:hAnsi="Arial" w:cs="Arial"/>
                <w:sz w:val="24"/>
                <w:szCs w:val="24"/>
              </w:rPr>
              <w:t>2</w:t>
            </w:r>
            <w:r w:rsidR="00080922">
              <w:rPr>
                <w:rFonts w:ascii="Arial" w:hAnsi="Arial" w:cs="Arial"/>
                <w:sz w:val="24"/>
                <w:szCs w:val="24"/>
              </w:rPr>
              <w:t xml:space="preserve"> mois</w:t>
            </w:r>
          </w:p>
        </w:tc>
        <w:tc>
          <w:tcPr>
            <w:tcW w:w="1508" w:type="pct"/>
            <w:shd w:val="clear" w:color="auto" w:fill="auto"/>
          </w:tcPr>
          <w:p w14:paraId="14969163" w14:textId="30E68121" w:rsidR="00080922" w:rsidRPr="003F0045" w:rsidRDefault="00080922" w:rsidP="00EC285A">
            <w:pPr>
              <w:spacing w:line="360" w:lineRule="auto"/>
              <w:jc w:val="both"/>
              <w:rPr>
                <w:rFonts w:ascii="Arial" w:hAnsi="Arial" w:cs="Arial"/>
                <w:sz w:val="24"/>
                <w:szCs w:val="24"/>
              </w:rPr>
            </w:pPr>
            <w:r>
              <w:rPr>
                <w:rFonts w:ascii="Arial" w:hAnsi="Arial" w:cs="Arial"/>
                <w:sz w:val="24"/>
                <w:szCs w:val="24"/>
              </w:rPr>
              <w:t>- é</w:t>
            </w:r>
            <w:r w:rsidRPr="003F0045">
              <w:rPr>
                <w:rFonts w:ascii="Arial" w:hAnsi="Arial" w:cs="Arial"/>
                <w:sz w:val="24"/>
                <w:szCs w:val="24"/>
              </w:rPr>
              <w:t>labor</w:t>
            </w:r>
            <w:r>
              <w:rPr>
                <w:rFonts w:ascii="Arial" w:hAnsi="Arial" w:cs="Arial"/>
                <w:sz w:val="24"/>
                <w:szCs w:val="24"/>
              </w:rPr>
              <w:t>er</w:t>
            </w:r>
            <w:r w:rsidRPr="003F0045">
              <w:rPr>
                <w:rFonts w:ascii="Arial" w:hAnsi="Arial" w:cs="Arial"/>
                <w:sz w:val="24"/>
                <w:szCs w:val="24"/>
              </w:rPr>
              <w:t xml:space="preserve"> u</w:t>
            </w:r>
            <w:r>
              <w:rPr>
                <w:rFonts w:ascii="Arial" w:hAnsi="Arial" w:cs="Arial"/>
                <w:sz w:val="24"/>
                <w:szCs w:val="24"/>
              </w:rPr>
              <w:t>n</w:t>
            </w:r>
            <w:r w:rsidRPr="003F0045">
              <w:rPr>
                <w:rFonts w:ascii="Arial" w:hAnsi="Arial" w:cs="Arial"/>
                <w:sz w:val="24"/>
                <w:szCs w:val="24"/>
              </w:rPr>
              <w:t xml:space="preserve"> manuel </w:t>
            </w:r>
            <w:r w:rsidR="00914C50">
              <w:rPr>
                <w:rFonts w:ascii="Arial" w:hAnsi="Arial" w:cs="Arial"/>
                <w:sz w:val="24"/>
                <w:szCs w:val="24"/>
              </w:rPr>
              <w:t xml:space="preserve">de procédures </w:t>
            </w:r>
            <w:r w:rsidRPr="003F0045">
              <w:rPr>
                <w:rFonts w:ascii="Arial" w:hAnsi="Arial" w:cs="Arial"/>
                <w:sz w:val="24"/>
                <w:szCs w:val="24"/>
              </w:rPr>
              <w:t>de gestion</w:t>
            </w:r>
            <w:r>
              <w:rPr>
                <w:rFonts w:ascii="Arial" w:hAnsi="Arial" w:cs="Arial"/>
                <w:sz w:val="24"/>
                <w:szCs w:val="24"/>
              </w:rPr>
              <w:t>, de mise à jour et de partage des données de l’entrepôt national de santé</w:t>
            </w:r>
          </w:p>
          <w:p w14:paraId="6F5438C3" w14:textId="114AD1CF" w:rsidR="00080922" w:rsidRPr="003F0045" w:rsidRDefault="00080922" w:rsidP="00EC285A">
            <w:pPr>
              <w:spacing w:line="360" w:lineRule="auto"/>
              <w:jc w:val="both"/>
              <w:rPr>
                <w:rFonts w:ascii="Arial" w:hAnsi="Arial" w:cs="Arial"/>
                <w:sz w:val="24"/>
                <w:szCs w:val="24"/>
              </w:rPr>
            </w:pPr>
            <w:r>
              <w:rPr>
                <w:rFonts w:ascii="Arial" w:hAnsi="Arial" w:cs="Arial"/>
                <w:sz w:val="24"/>
                <w:szCs w:val="24"/>
              </w:rPr>
              <w:t>- v</w:t>
            </w:r>
            <w:r w:rsidRPr="003F0045">
              <w:rPr>
                <w:rFonts w:ascii="Arial" w:hAnsi="Arial" w:cs="Arial"/>
                <w:sz w:val="24"/>
                <w:szCs w:val="24"/>
              </w:rPr>
              <w:t>alid</w:t>
            </w:r>
            <w:r>
              <w:rPr>
                <w:rFonts w:ascii="Arial" w:hAnsi="Arial" w:cs="Arial"/>
                <w:sz w:val="24"/>
                <w:szCs w:val="24"/>
              </w:rPr>
              <w:t>er</w:t>
            </w:r>
            <w:r w:rsidRPr="003F0045">
              <w:rPr>
                <w:rFonts w:ascii="Arial" w:hAnsi="Arial" w:cs="Arial"/>
                <w:sz w:val="24"/>
                <w:szCs w:val="24"/>
              </w:rPr>
              <w:t xml:space="preserve"> </w:t>
            </w:r>
            <w:r>
              <w:rPr>
                <w:rFonts w:ascii="Arial" w:hAnsi="Arial" w:cs="Arial"/>
                <w:sz w:val="24"/>
                <w:szCs w:val="24"/>
              </w:rPr>
              <w:t>le</w:t>
            </w:r>
            <w:r w:rsidRPr="003F0045">
              <w:rPr>
                <w:rFonts w:ascii="Arial" w:hAnsi="Arial" w:cs="Arial"/>
                <w:sz w:val="24"/>
                <w:szCs w:val="24"/>
              </w:rPr>
              <w:t xml:space="preserve"> manuel </w:t>
            </w:r>
            <w:r w:rsidR="00914C50">
              <w:rPr>
                <w:rFonts w:ascii="Arial" w:hAnsi="Arial" w:cs="Arial"/>
                <w:sz w:val="24"/>
                <w:szCs w:val="24"/>
              </w:rPr>
              <w:t>de procédures</w:t>
            </w:r>
            <w:r w:rsidR="00914C50" w:rsidRPr="003F0045">
              <w:rPr>
                <w:rFonts w:ascii="Arial" w:hAnsi="Arial" w:cs="Arial"/>
                <w:sz w:val="24"/>
                <w:szCs w:val="24"/>
              </w:rPr>
              <w:t xml:space="preserve"> </w:t>
            </w:r>
            <w:r w:rsidRPr="003F0045">
              <w:rPr>
                <w:rFonts w:ascii="Arial" w:hAnsi="Arial" w:cs="Arial"/>
                <w:sz w:val="24"/>
                <w:szCs w:val="24"/>
              </w:rPr>
              <w:t>de gestion</w:t>
            </w:r>
            <w:r>
              <w:rPr>
                <w:rFonts w:ascii="Arial" w:hAnsi="Arial" w:cs="Arial"/>
                <w:sz w:val="24"/>
                <w:szCs w:val="24"/>
              </w:rPr>
              <w:t>, de mise à jour et de partage des données de l’entrepôt national de santé</w:t>
            </w:r>
            <w:r w:rsidR="003F611B">
              <w:rPr>
                <w:rFonts w:ascii="Arial" w:hAnsi="Arial" w:cs="Arial"/>
                <w:sz w:val="24"/>
                <w:szCs w:val="24"/>
              </w:rPr>
              <w:t>.</w:t>
            </w:r>
          </w:p>
        </w:tc>
        <w:tc>
          <w:tcPr>
            <w:tcW w:w="1456" w:type="pct"/>
            <w:shd w:val="clear" w:color="auto" w:fill="auto"/>
          </w:tcPr>
          <w:p w14:paraId="0D127AB8" w14:textId="33A76A1A" w:rsidR="00080922" w:rsidRPr="00C54431" w:rsidRDefault="00004163" w:rsidP="00004163">
            <w:pPr>
              <w:pStyle w:val="ListParagraph"/>
              <w:spacing w:line="360" w:lineRule="auto"/>
              <w:ind w:left="0"/>
              <w:rPr>
                <w:rFonts w:ascii="Arial" w:hAnsi="Arial" w:cs="Arial"/>
                <w:sz w:val="24"/>
                <w:szCs w:val="24"/>
              </w:rPr>
            </w:pPr>
            <w:r>
              <w:rPr>
                <w:rFonts w:ascii="Arial" w:hAnsi="Arial" w:cs="Arial"/>
                <w:sz w:val="24"/>
                <w:szCs w:val="24"/>
                <w:lang w:val="fr-CH"/>
              </w:rPr>
              <w:t>Elle permettra d’</w:t>
            </w:r>
            <w:r w:rsidRPr="00C54431">
              <w:rPr>
                <w:rFonts w:ascii="Arial" w:hAnsi="Arial" w:cs="Arial"/>
                <w:sz w:val="24"/>
                <w:szCs w:val="24"/>
                <w:lang w:val="fr-CH"/>
              </w:rPr>
              <w:t>assurer la gestion, la mise à jour régulière et le partage de</w:t>
            </w:r>
            <w:r>
              <w:rPr>
                <w:rFonts w:ascii="Arial" w:hAnsi="Arial" w:cs="Arial"/>
                <w:sz w:val="24"/>
                <w:szCs w:val="24"/>
                <w:lang w:val="fr-CH"/>
              </w:rPr>
              <w:t xml:space="preserve">s données de l’entrepôt </w:t>
            </w:r>
            <w:r w:rsidRPr="00C54431">
              <w:rPr>
                <w:rFonts w:ascii="Arial" w:hAnsi="Arial" w:cs="Arial"/>
                <w:sz w:val="24"/>
                <w:szCs w:val="24"/>
                <w:lang w:val="fr-CH"/>
              </w:rPr>
              <w:t xml:space="preserve">ainsi que </w:t>
            </w:r>
            <w:r>
              <w:rPr>
                <w:rFonts w:ascii="Arial" w:hAnsi="Arial" w:cs="Arial"/>
                <w:sz w:val="24"/>
                <w:szCs w:val="24"/>
                <w:lang w:val="fr-CH"/>
              </w:rPr>
              <w:t>s</w:t>
            </w:r>
            <w:r w:rsidRPr="00C54431">
              <w:rPr>
                <w:rFonts w:ascii="Arial" w:hAnsi="Arial" w:cs="Arial"/>
                <w:sz w:val="24"/>
                <w:szCs w:val="24"/>
                <w:lang w:val="fr-CH"/>
              </w:rPr>
              <w:t xml:space="preserve">a maintenance </w:t>
            </w:r>
          </w:p>
        </w:tc>
      </w:tr>
      <w:tr w:rsidR="00080922" w:rsidRPr="00C54431" w14:paraId="2971B733" w14:textId="77777777" w:rsidTr="00004163">
        <w:tc>
          <w:tcPr>
            <w:tcW w:w="1470" w:type="pct"/>
            <w:shd w:val="clear" w:color="auto" w:fill="auto"/>
          </w:tcPr>
          <w:p w14:paraId="5EBE29F6" w14:textId="365D09DC" w:rsidR="00080922" w:rsidRPr="00A267C8" w:rsidRDefault="00004163" w:rsidP="003F611B">
            <w:pPr>
              <w:pStyle w:val="ListParagraph"/>
              <w:spacing w:line="360" w:lineRule="auto"/>
              <w:ind w:left="0"/>
              <w:rPr>
                <w:rFonts w:ascii="Arial" w:hAnsi="Arial" w:cs="Arial"/>
                <w:sz w:val="24"/>
                <w:szCs w:val="24"/>
              </w:rPr>
            </w:pPr>
            <w:r>
              <w:rPr>
                <w:rFonts w:ascii="Arial" w:hAnsi="Arial" w:cs="Arial"/>
                <w:sz w:val="24"/>
                <w:szCs w:val="24"/>
              </w:rPr>
              <w:t>Élaboration</w:t>
            </w:r>
            <w:r w:rsidR="00080922" w:rsidRPr="00A267C8">
              <w:rPr>
                <w:rFonts w:ascii="Arial" w:hAnsi="Arial" w:cs="Arial"/>
                <w:sz w:val="24"/>
                <w:szCs w:val="24"/>
              </w:rPr>
              <w:t xml:space="preserve"> et signature d’un arrêté officialisant le mécanisme de gouvernance de l’entrepôt de données</w:t>
            </w:r>
            <w:r w:rsidR="003F611B">
              <w:rPr>
                <w:rFonts w:ascii="Arial" w:hAnsi="Arial" w:cs="Arial"/>
                <w:sz w:val="24"/>
                <w:szCs w:val="24"/>
              </w:rPr>
              <w:t>.</w:t>
            </w:r>
          </w:p>
        </w:tc>
        <w:tc>
          <w:tcPr>
            <w:tcW w:w="566" w:type="pct"/>
          </w:tcPr>
          <w:p w14:paraId="405CB648" w14:textId="77777777" w:rsidR="00080922" w:rsidRPr="00A267C8" w:rsidRDefault="00080922" w:rsidP="00EC285A">
            <w:pPr>
              <w:spacing w:line="360" w:lineRule="auto"/>
              <w:jc w:val="both"/>
              <w:rPr>
                <w:rFonts w:ascii="Arial" w:hAnsi="Arial" w:cs="Arial"/>
                <w:sz w:val="24"/>
                <w:szCs w:val="24"/>
              </w:rPr>
            </w:pPr>
            <w:r>
              <w:rPr>
                <w:rFonts w:ascii="Arial" w:hAnsi="Arial" w:cs="Arial"/>
                <w:sz w:val="24"/>
                <w:szCs w:val="24"/>
              </w:rPr>
              <w:t>2 mois</w:t>
            </w:r>
          </w:p>
        </w:tc>
        <w:tc>
          <w:tcPr>
            <w:tcW w:w="1508" w:type="pct"/>
            <w:shd w:val="clear" w:color="auto" w:fill="auto"/>
          </w:tcPr>
          <w:p w14:paraId="3FC9C1EC" w14:textId="02FCD174" w:rsidR="00080922" w:rsidRPr="003F0045" w:rsidRDefault="00080922" w:rsidP="00807493">
            <w:pPr>
              <w:spacing w:line="360" w:lineRule="auto"/>
              <w:rPr>
                <w:rFonts w:ascii="Arial" w:hAnsi="Arial" w:cs="Arial"/>
                <w:sz w:val="24"/>
                <w:szCs w:val="24"/>
              </w:rPr>
            </w:pPr>
            <w:r>
              <w:rPr>
                <w:rFonts w:ascii="Arial" w:hAnsi="Arial" w:cs="Arial"/>
                <w:sz w:val="24"/>
                <w:szCs w:val="24"/>
              </w:rPr>
              <w:t>- é</w:t>
            </w:r>
            <w:r w:rsidRPr="003F0045">
              <w:rPr>
                <w:rFonts w:ascii="Arial" w:hAnsi="Arial" w:cs="Arial"/>
                <w:sz w:val="24"/>
                <w:szCs w:val="24"/>
              </w:rPr>
              <w:t>labor</w:t>
            </w:r>
            <w:r>
              <w:rPr>
                <w:rFonts w:ascii="Arial" w:hAnsi="Arial" w:cs="Arial"/>
                <w:sz w:val="24"/>
                <w:szCs w:val="24"/>
              </w:rPr>
              <w:t>er</w:t>
            </w:r>
            <w:r w:rsidRPr="003F0045">
              <w:rPr>
                <w:rFonts w:ascii="Arial" w:hAnsi="Arial" w:cs="Arial"/>
                <w:sz w:val="24"/>
                <w:szCs w:val="24"/>
              </w:rPr>
              <w:t xml:space="preserve"> un arrêté ministériel sur le mécanisme de gouvernance de l</w:t>
            </w:r>
            <w:r>
              <w:rPr>
                <w:rFonts w:ascii="Arial" w:hAnsi="Arial" w:cs="Arial"/>
                <w:sz w:val="24"/>
                <w:szCs w:val="24"/>
              </w:rPr>
              <w:t>’entrepôt national des données de santé</w:t>
            </w:r>
            <w:r w:rsidRPr="003F0045">
              <w:rPr>
                <w:rFonts w:ascii="Arial" w:hAnsi="Arial" w:cs="Arial"/>
                <w:sz w:val="24"/>
                <w:szCs w:val="24"/>
              </w:rPr>
              <w:t xml:space="preserve"> </w:t>
            </w:r>
          </w:p>
        </w:tc>
        <w:tc>
          <w:tcPr>
            <w:tcW w:w="1456" w:type="pct"/>
            <w:shd w:val="clear" w:color="auto" w:fill="auto"/>
          </w:tcPr>
          <w:p w14:paraId="3A214570" w14:textId="17AC029C" w:rsidR="00080922" w:rsidRPr="00C54431" w:rsidRDefault="003F611B" w:rsidP="003F611B">
            <w:pPr>
              <w:pStyle w:val="ListParagraph"/>
              <w:spacing w:line="360" w:lineRule="auto"/>
              <w:ind w:left="0"/>
              <w:rPr>
                <w:rFonts w:ascii="Arial" w:hAnsi="Arial" w:cs="Arial"/>
                <w:sz w:val="24"/>
                <w:szCs w:val="24"/>
              </w:rPr>
            </w:pPr>
            <w:r>
              <w:rPr>
                <w:rFonts w:ascii="Arial" w:hAnsi="Arial" w:cs="Arial"/>
                <w:sz w:val="24"/>
                <w:szCs w:val="24"/>
              </w:rPr>
              <w:t xml:space="preserve">Ce document devra </w:t>
            </w:r>
            <w:r w:rsidRPr="00A267C8">
              <w:rPr>
                <w:rFonts w:ascii="Arial" w:hAnsi="Arial" w:cs="Arial"/>
                <w:sz w:val="24"/>
                <w:szCs w:val="24"/>
              </w:rPr>
              <w:t>clarif</w:t>
            </w:r>
            <w:r>
              <w:rPr>
                <w:rFonts w:ascii="Arial" w:hAnsi="Arial" w:cs="Arial"/>
                <w:sz w:val="24"/>
                <w:szCs w:val="24"/>
              </w:rPr>
              <w:t>ier</w:t>
            </w:r>
            <w:r w:rsidRPr="00A267C8">
              <w:rPr>
                <w:rFonts w:ascii="Arial" w:hAnsi="Arial" w:cs="Arial"/>
                <w:sz w:val="24"/>
                <w:szCs w:val="24"/>
              </w:rPr>
              <w:t xml:space="preserve"> le</w:t>
            </w:r>
            <w:r>
              <w:rPr>
                <w:rFonts w:ascii="Arial" w:hAnsi="Arial" w:cs="Arial"/>
                <w:sz w:val="24"/>
                <w:szCs w:val="24"/>
              </w:rPr>
              <w:t>s mécanismes de</w:t>
            </w:r>
            <w:r w:rsidRPr="00A267C8">
              <w:rPr>
                <w:rFonts w:ascii="Arial" w:hAnsi="Arial" w:cs="Arial"/>
                <w:sz w:val="24"/>
                <w:szCs w:val="24"/>
              </w:rPr>
              <w:t xml:space="preserve"> </w:t>
            </w:r>
            <w:r w:rsidRPr="003F0045">
              <w:rPr>
                <w:rFonts w:ascii="Arial" w:hAnsi="Arial" w:cs="Arial"/>
                <w:sz w:val="24"/>
                <w:szCs w:val="24"/>
              </w:rPr>
              <w:t xml:space="preserve">gestion, </w:t>
            </w:r>
            <w:r>
              <w:rPr>
                <w:rFonts w:ascii="Arial" w:hAnsi="Arial" w:cs="Arial"/>
                <w:sz w:val="24"/>
                <w:szCs w:val="24"/>
              </w:rPr>
              <w:t xml:space="preserve">de </w:t>
            </w:r>
            <w:r w:rsidRPr="003F0045">
              <w:rPr>
                <w:rFonts w:ascii="Arial" w:hAnsi="Arial" w:cs="Arial"/>
                <w:sz w:val="24"/>
                <w:szCs w:val="24"/>
              </w:rPr>
              <w:t>mise à jour,</w:t>
            </w:r>
            <w:r>
              <w:rPr>
                <w:rFonts w:ascii="Arial" w:hAnsi="Arial" w:cs="Arial"/>
                <w:sz w:val="24"/>
                <w:szCs w:val="24"/>
              </w:rPr>
              <w:t xml:space="preserve"> d’</w:t>
            </w:r>
            <w:r w:rsidRPr="003F0045">
              <w:rPr>
                <w:rFonts w:ascii="Arial" w:hAnsi="Arial" w:cs="Arial"/>
                <w:sz w:val="24"/>
                <w:szCs w:val="24"/>
              </w:rPr>
              <w:t>utilisation,</w:t>
            </w:r>
            <w:r>
              <w:rPr>
                <w:rFonts w:ascii="Arial" w:hAnsi="Arial" w:cs="Arial"/>
                <w:sz w:val="24"/>
                <w:szCs w:val="24"/>
              </w:rPr>
              <w:t xml:space="preserve"> de</w:t>
            </w:r>
            <w:r w:rsidRPr="003F0045">
              <w:rPr>
                <w:rFonts w:ascii="Arial" w:hAnsi="Arial" w:cs="Arial"/>
                <w:sz w:val="24"/>
                <w:szCs w:val="24"/>
              </w:rPr>
              <w:t xml:space="preserve"> partage de données</w:t>
            </w:r>
            <w:r>
              <w:rPr>
                <w:rFonts w:ascii="Arial" w:hAnsi="Arial" w:cs="Arial"/>
                <w:sz w:val="24"/>
                <w:szCs w:val="24"/>
              </w:rPr>
              <w:t>, de maintenance, et de sécurité.</w:t>
            </w:r>
          </w:p>
        </w:tc>
      </w:tr>
      <w:tr w:rsidR="00080922" w:rsidRPr="00C54431" w14:paraId="0559804C" w14:textId="77777777" w:rsidTr="00004163">
        <w:tc>
          <w:tcPr>
            <w:tcW w:w="1470" w:type="pct"/>
            <w:shd w:val="clear" w:color="auto" w:fill="auto"/>
          </w:tcPr>
          <w:p w14:paraId="0A8DED62" w14:textId="77777777" w:rsidR="00080922" w:rsidRDefault="00080922" w:rsidP="003F611B">
            <w:pPr>
              <w:pStyle w:val="ListParagraph"/>
              <w:spacing w:line="360" w:lineRule="auto"/>
              <w:ind w:left="0"/>
              <w:rPr>
                <w:rFonts w:ascii="Arial" w:hAnsi="Arial" w:cs="Arial"/>
                <w:sz w:val="24"/>
                <w:szCs w:val="24"/>
              </w:rPr>
            </w:pPr>
            <w:r>
              <w:rPr>
                <w:rFonts w:ascii="Arial" w:hAnsi="Arial" w:cs="Arial"/>
                <w:sz w:val="24"/>
                <w:szCs w:val="24"/>
              </w:rPr>
              <w:t>Configuration des serveurs de test et de sauvegarde</w:t>
            </w:r>
          </w:p>
        </w:tc>
        <w:tc>
          <w:tcPr>
            <w:tcW w:w="566" w:type="pct"/>
          </w:tcPr>
          <w:p w14:paraId="01D87184" w14:textId="789CD43C" w:rsidR="00080922" w:rsidRDefault="00080922" w:rsidP="00EC285A">
            <w:pPr>
              <w:spacing w:line="360" w:lineRule="auto"/>
              <w:jc w:val="both"/>
              <w:rPr>
                <w:rFonts w:ascii="Arial" w:hAnsi="Arial" w:cs="Arial"/>
                <w:sz w:val="24"/>
                <w:szCs w:val="24"/>
              </w:rPr>
            </w:pPr>
            <w:r>
              <w:rPr>
                <w:rFonts w:ascii="Arial" w:hAnsi="Arial" w:cs="Arial"/>
                <w:sz w:val="24"/>
                <w:szCs w:val="24"/>
              </w:rPr>
              <w:t>4 mois</w:t>
            </w:r>
            <w:r w:rsidR="003F611B">
              <w:rPr>
                <w:rFonts w:ascii="Arial" w:hAnsi="Arial" w:cs="Arial"/>
                <w:sz w:val="24"/>
                <w:szCs w:val="24"/>
              </w:rPr>
              <w:t xml:space="preserve"> (2023)</w:t>
            </w:r>
          </w:p>
        </w:tc>
        <w:tc>
          <w:tcPr>
            <w:tcW w:w="1508" w:type="pct"/>
            <w:shd w:val="clear" w:color="auto" w:fill="auto"/>
          </w:tcPr>
          <w:p w14:paraId="67878F2C" w14:textId="77777777" w:rsidR="00080922" w:rsidRDefault="00080922" w:rsidP="003F611B">
            <w:pPr>
              <w:spacing w:line="360" w:lineRule="auto"/>
              <w:rPr>
                <w:rFonts w:ascii="Arial" w:hAnsi="Arial" w:cs="Arial"/>
                <w:sz w:val="24"/>
                <w:szCs w:val="24"/>
              </w:rPr>
            </w:pPr>
            <w:r>
              <w:rPr>
                <w:rFonts w:ascii="Arial" w:hAnsi="Arial" w:cs="Arial"/>
                <w:sz w:val="24"/>
                <w:szCs w:val="24"/>
              </w:rPr>
              <w:t>- acquérir/paramétrer des serveurs de sauvegarde et de test pour la redondance</w:t>
            </w:r>
          </w:p>
          <w:p w14:paraId="568C69FF" w14:textId="77777777" w:rsidR="00080922" w:rsidRDefault="00080922" w:rsidP="003F611B">
            <w:pPr>
              <w:spacing w:line="360" w:lineRule="auto"/>
              <w:rPr>
                <w:rFonts w:ascii="Arial" w:hAnsi="Arial" w:cs="Arial"/>
                <w:sz w:val="24"/>
                <w:szCs w:val="24"/>
              </w:rPr>
            </w:pPr>
            <w:r>
              <w:rPr>
                <w:rFonts w:ascii="Arial" w:hAnsi="Arial" w:cs="Arial"/>
                <w:sz w:val="24"/>
                <w:szCs w:val="24"/>
              </w:rPr>
              <w:t>- mettre en place un plan de maintenance des serveurs</w:t>
            </w:r>
          </w:p>
        </w:tc>
        <w:tc>
          <w:tcPr>
            <w:tcW w:w="1456" w:type="pct"/>
            <w:shd w:val="clear" w:color="auto" w:fill="auto"/>
          </w:tcPr>
          <w:p w14:paraId="63CB3267" w14:textId="478BA722" w:rsidR="00080922" w:rsidRPr="00C54431" w:rsidRDefault="00080922" w:rsidP="00EC285A">
            <w:pPr>
              <w:pStyle w:val="ListParagraph"/>
              <w:spacing w:line="360" w:lineRule="auto"/>
              <w:ind w:left="0"/>
              <w:rPr>
                <w:rFonts w:ascii="Arial" w:hAnsi="Arial" w:cs="Arial"/>
                <w:sz w:val="24"/>
                <w:szCs w:val="24"/>
              </w:rPr>
            </w:pPr>
            <w:r>
              <w:rPr>
                <w:rFonts w:ascii="Arial" w:hAnsi="Arial" w:cs="Arial"/>
                <w:sz w:val="24"/>
                <w:szCs w:val="24"/>
              </w:rPr>
              <w:t>Les serveurs de test et de production devront être sur des sites différents (la structure hébergeant les données du serveur de production ne doit pas contenir l’un de ces deux serveurs)</w:t>
            </w:r>
          </w:p>
        </w:tc>
      </w:tr>
    </w:tbl>
    <w:p w14:paraId="559BA625" w14:textId="77777777" w:rsidR="00080922" w:rsidRDefault="00080922" w:rsidP="00080922"/>
    <w:p w14:paraId="1BEFE113" w14:textId="5B7F24AF" w:rsidR="00004163" w:rsidRPr="005F58CC" w:rsidRDefault="00682AAD" w:rsidP="00807493">
      <w:pPr>
        <w:spacing w:line="360" w:lineRule="auto"/>
        <w:jc w:val="both"/>
        <w:rPr>
          <w:rFonts w:ascii="Arial" w:hAnsi="Arial" w:cs="Arial"/>
          <w:sz w:val="24"/>
          <w:szCs w:val="24"/>
        </w:rPr>
      </w:pPr>
      <w:r>
        <w:rPr>
          <w:rFonts w:ascii="Arial" w:hAnsi="Arial" w:cs="Arial"/>
          <w:noProof/>
          <w:sz w:val="24"/>
          <w:szCs w:val="24"/>
          <w:lang w:eastAsia="fr-FR"/>
        </w:rPr>
        <w:lastRenderedPageBreak/>
        <w:drawing>
          <wp:inline distT="0" distB="0" distL="0" distR="0" wp14:anchorId="37AF21F2" wp14:editId="4DCAE786">
            <wp:extent cx="6326614" cy="37687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9">
                      <a:extLst>
                        <a:ext uri="{28A0092B-C50C-407E-A947-70E740481C1C}">
                          <a14:useLocalDpi xmlns:a14="http://schemas.microsoft.com/office/drawing/2010/main" val="0"/>
                        </a:ext>
                      </a:extLst>
                    </a:blip>
                    <a:stretch>
                      <a:fillRect/>
                    </a:stretch>
                  </pic:blipFill>
                  <pic:spPr>
                    <a:xfrm>
                      <a:off x="0" y="0"/>
                      <a:ext cx="6354898" cy="3785574"/>
                    </a:xfrm>
                    <a:prstGeom prst="rect">
                      <a:avLst/>
                    </a:prstGeom>
                  </pic:spPr>
                </pic:pic>
              </a:graphicData>
            </a:graphic>
          </wp:inline>
        </w:drawing>
      </w:r>
    </w:p>
    <w:p w14:paraId="2E150759" w14:textId="7E9E890F" w:rsidR="00207DE6" w:rsidRDefault="00004163" w:rsidP="008324FD">
      <w:pPr>
        <w:pStyle w:val="Caption"/>
        <w:jc w:val="center"/>
        <w:rPr>
          <w:rFonts w:ascii="Arial" w:hAnsi="Arial" w:cs="Arial"/>
          <w:sz w:val="24"/>
          <w:szCs w:val="24"/>
        </w:rPr>
      </w:pPr>
      <w:bookmarkStart w:id="41" w:name="_Toc94941320"/>
      <w:r w:rsidRPr="00004163">
        <w:rPr>
          <w:rFonts w:ascii="Arial" w:hAnsi="Arial" w:cs="Arial"/>
          <w:sz w:val="24"/>
          <w:szCs w:val="24"/>
        </w:rPr>
        <w:t xml:space="preserve">Figure </w:t>
      </w:r>
      <w:r w:rsidRPr="00004163">
        <w:rPr>
          <w:rFonts w:ascii="Arial" w:hAnsi="Arial" w:cs="Arial"/>
          <w:sz w:val="24"/>
          <w:szCs w:val="24"/>
        </w:rPr>
        <w:fldChar w:fldCharType="begin"/>
      </w:r>
      <w:r w:rsidRPr="00004163">
        <w:rPr>
          <w:rFonts w:ascii="Arial" w:hAnsi="Arial" w:cs="Arial"/>
          <w:sz w:val="24"/>
          <w:szCs w:val="24"/>
        </w:rPr>
        <w:instrText xml:space="preserve"> SEQ Figure \* ARABIC </w:instrText>
      </w:r>
      <w:r w:rsidRPr="00004163">
        <w:rPr>
          <w:rFonts w:ascii="Arial" w:hAnsi="Arial" w:cs="Arial"/>
          <w:sz w:val="24"/>
          <w:szCs w:val="24"/>
        </w:rPr>
        <w:fldChar w:fldCharType="separate"/>
      </w:r>
      <w:r w:rsidRPr="00004163">
        <w:rPr>
          <w:rFonts w:ascii="Arial" w:hAnsi="Arial" w:cs="Arial"/>
          <w:sz w:val="24"/>
          <w:szCs w:val="24"/>
        </w:rPr>
        <w:t>7</w:t>
      </w:r>
      <w:r w:rsidRPr="00004163">
        <w:rPr>
          <w:rFonts w:ascii="Arial" w:hAnsi="Arial" w:cs="Arial"/>
          <w:sz w:val="24"/>
          <w:szCs w:val="24"/>
        </w:rPr>
        <w:fldChar w:fldCharType="end"/>
      </w:r>
      <w:r w:rsidRPr="00004163">
        <w:rPr>
          <w:rFonts w:ascii="Arial" w:hAnsi="Arial" w:cs="Arial"/>
          <w:sz w:val="24"/>
          <w:szCs w:val="24"/>
        </w:rPr>
        <w:t> : Diagramme de Gant du planning des activités</w:t>
      </w:r>
      <w:bookmarkEnd w:id="41"/>
    </w:p>
    <w:p w14:paraId="22FD13A4" w14:textId="61E7328C" w:rsidR="0021723B" w:rsidRDefault="0021723B" w:rsidP="0021723B"/>
    <w:p w14:paraId="1C4A4277" w14:textId="44227403" w:rsidR="00A46919" w:rsidRPr="000C68B4" w:rsidRDefault="00A46919" w:rsidP="00A46919">
      <w:pPr>
        <w:pStyle w:val="Heading1"/>
        <w:rPr>
          <w:rFonts w:ascii="Arial" w:hAnsi="Arial" w:cs="Arial"/>
          <w:b/>
          <w:bCs/>
          <w:color w:val="000000" w:themeColor="text1"/>
          <w:sz w:val="26"/>
          <w:szCs w:val="26"/>
        </w:rPr>
      </w:pPr>
      <w:bookmarkStart w:id="42" w:name="_Toc68415835"/>
      <w:bookmarkStart w:id="43" w:name="_Toc68415899"/>
      <w:bookmarkStart w:id="44" w:name="_Toc68415932"/>
      <w:bookmarkStart w:id="45" w:name="_Toc88819236"/>
      <w:bookmarkStart w:id="46" w:name="_Toc95082862"/>
      <w:bookmarkEnd w:id="42"/>
      <w:bookmarkEnd w:id="43"/>
      <w:bookmarkEnd w:id="44"/>
      <w:r w:rsidRPr="000C68B4">
        <w:rPr>
          <w:rFonts w:ascii="Arial" w:hAnsi="Arial" w:cs="Arial"/>
          <w:b/>
          <w:bCs/>
          <w:color w:val="000000" w:themeColor="text1"/>
          <w:sz w:val="26"/>
          <w:szCs w:val="26"/>
        </w:rPr>
        <w:t>CONCLUSION</w:t>
      </w:r>
      <w:bookmarkEnd w:id="45"/>
      <w:bookmarkEnd w:id="46"/>
    </w:p>
    <w:p w14:paraId="4D41D909" w14:textId="781609A8" w:rsidR="00523E9E" w:rsidRPr="00900412" w:rsidRDefault="00523E9E" w:rsidP="000A1DA4">
      <w:pPr>
        <w:spacing w:line="360" w:lineRule="auto"/>
        <w:jc w:val="both"/>
        <w:rPr>
          <w:rFonts w:ascii="Arial" w:hAnsi="Arial" w:cs="Arial"/>
          <w:bCs/>
          <w:sz w:val="24"/>
          <w:szCs w:val="24"/>
        </w:rPr>
      </w:pPr>
      <w:r w:rsidRPr="00900412">
        <w:rPr>
          <w:rFonts w:ascii="Arial" w:hAnsi="Arial" w:cs="Arial"/>
          <w:bCs/>
          <w:sz w:val="24"/>
          <w:szCs w:val="24"/>
        </w:rPr>
        <w:t>Le renforcement des systèmes nationaux d’information sanitaire (‎SNIS)‎ constitue un défi si on veut disposer de base factuelle pour élaborer des politiques, prendre des décisions à tous les niveaux des systèmes nationaux de santé.</w:t>
      </w:r>
    </w:p>
    <w:p w14:paraId="00975936" w14:textId="23C19511" w:rsidR="00633F8D" w:rsidRDefault="000A1DA4" w:rsidP="000A1DA4">
      <w:pPr>
        <w:spacing w:line="360" w:lineRule="auto"/>
        <w:jc w:val="both"/>
        <w:rPr>
          <w:rFonts w:ascii="Arial" w:hAnsi="Arial" w:cs="Arial"/>
          <w:bCs/>
          <w:sz w:val="24"/>
          <w:szCs w:val="24"/>
        </w:rPr>
      </w:pPr>
      <w:r>
        <w:rPr>
          <w:rFonts w:ascii="Arial" w:hAnsi="Arial" w:cs="Arial"/>
          <w:bCs/>
          <w:sz w:val="24"/>
          <w:szCs w:val="24"/>
        </w:rPr>
        <w:t>L’élaboration de ce document</w:t>
      </w:r>
      <w:r w:rsidR="0048483D" w:rsidRPr="00900412">
        <w:rPr>
          <w:rFonts w:ascii="Arial" w:hAnsi="Arial" w:cs="Arial"/>
          <w:bCs/>
          <w:sz w:val="24"/>
          <w:szCs w:val="24"/>
        </w:rPr>
        <w:t xml:space="preserve"> pour renforce</w:t>
      </w:r>
      <w:r w:rsidR="00C51600">
        <w:rPr>
          <w:rFonts w:ascii="Arial" w:hAnsi="Arial" w:cs="Arial"/>
          <w:bCs/>
          <w:sz w:val="24"/>
          <w:szCs w:val="24"/>
        </w:rPr>
        <w:t>r le</w:t>
      </w:r>
      <w:r w:rsidR="0048483D" w:rsidRPr="00900412">
        <w:rPr>
          <w:rFonts w:ascii="Arial" w:hAnsi="Arial" w:cs="Arial"/>
          <w:bCs/>
          <w:sz w:val="24"/>
          <w:szCs w:val="24"/>
        </w:rPr>
        <w:t xml:space="preserve"> SNIS de la Guinée a </w:t>
      </w:r>
      <w:r w:rsidR="00D22720" w:rsidRPr="00900412">
        <w:rPr>
          <w:rFonts w:ascii="Arial" w:hAnsi="Arial" w:cs="Arial"/>
          <w:bCs/>
          <w:sz w:val="24"/>
          <w:szCs w:val="24"/>
        </w:rPr>
        <w:t>permis d</w:t>
      </w:r>
      <w:r w:rsidR="00633F8D">
        <w:rPr>
          <w:rFonts w:ascii="Arial" w:hAnsi="Arial" w:cs="Arial"/>
          <w:bCs/>
          <w:sz w:val="24"/>
          <w:szCs w:val="24"/>
        </w:rPr>
        <w:t>’analyser les forces</w:t>
      </w:r>
      <w:r w:rsidR="00914C50">
        <w:rPr>
          <w:rFonts w:ascii="Arial" w:hAnsi="Arial" w:cs="Arial"/>
          <w:bCs/>
          <w:sz w:val="24"/>
          <w:szCs w:val="24"/>
        </w:rPr>
        <w:t>,</w:t>
      </w:r>
      <w:r w:rsidR="00633F8D">
        <w:rPr>
          <w:rFonts w:ascii="Arial" w:hAnsi="Arial" w:cs="Arial"/>
          <w:bCs/>
          <w:sz w:val="24"/>
          <w:szCs w:val="24"/>
        </w:rPr>
        <w:t xml:space="preserve"> les faiblesses</w:t>
      </w:r>
      <w:r w:rsidR="00914C50">
        <w:rPr>
          <w:rFonts w:ascii="Arial" w:hAnsi="Arial" w:cs="Arial"/>
          <w:bCs/>
          <w:sz w:val="24"/>
          <w:szCs w:val="24"/>
        </w:rPr>
        <w:t>, les opportunités et les menaces,</w:t>
      </w:r>
      <w:r w:rsidR="00633F8D">
        <w:rPr>
          <w:rFonts w:ascii="Arial" w:hAnsi="Arial" w:cs="Arial"/>
          <w:bCs/>
          <w:sz w:val="24"/>
          <w:szCs w:val="24"/>
        </w:rPr>
        <w:t xml:space="preserve"> et de proposer une architecture d’implémentation d’un Data </w:t>
      </w:r>
      <w:proofErr w:type="spellStart"/>
      <w:r w:rsidR="00633F8D">
        <w:rPr>
          <w:rFonts w:ascii="Arial" w:hAnsi="Arial" w:cs="Arial"/>
          <w:bCs/>
          <w:sz w:val="24"/>
          <w:szCs w:val="24"/>
        </w:rPr>
        <w:t>warehouse</w:t>
      </w:r>
      <w:proofErr w:type="spellEnd"/>
      <w:r w:rsidR="00633F8D">
        <w:rPr>
          <w:rFonts w:ascii="Arial" w:hAnsi="Arial" w:cs="Arial"/>
          <w:bCs/>
          <w:sz w:val="24"/>
          <w:szCs w:val="24"/>
        </w:rPr>
        <w:t xml:space="preserve"> pour la prise de décision</w:t>
      </w:r>
      <w:r w:rsidR="0048483D" w:rsidRPr="00900412">
        <w:rPr>
          <w:rFonts w:ascii="Arial" w:hAnsi="Arial" w:cs="Arial"/>
          <w:bCs/>
          <w:sz w:val="24"/>
          <w:szCs w:val="24"/>
        </w:rPr>
        <w:t xml:space="preserve">. Ce processus de renforcement et sa </w:t>
      </w:r>
      <w:r w:rsidR="00D22720" w:rsidRPr="00900412">
        <w:rPr>
          <w:rFonts w:ascii="Arial" w:hAnsi="Arial" w:cs="Arial"/>
          <w:bCs/>
          <w:sz w:val="24"/>
          <w:szCs w:val="24"/>
        </w:rPr>
        <w:t>pérennité</w:t>
      </w:r>
      <w:r w:rsidR="0048483D" w:rsidRPr="00900412">
        <w:rPr>
          <w:rFonts w:ascii="Arial" w:hAnsi="Arial" w:cs="Arial"/>
          <w:bCs/>
          <w:sz w:val="24"/>
          <w:szCs w:val="24"/>
        </w:rPr>
        <w:t xml:space="preserve"> passe</w:t>
      </w:r>
      <w:r w:rsidR="00C51600">
        <w:rPr>
          <w:rFonts w:ascii="Arial" w:hAnsi="Arial" w:cs="Arial"/>
          <w:bCs/>
          <w:sz w:val="24"/>
          <w:szCs w:val="24"/>
        </w:rPr>
        <w:t>nt</w:t>
      </w:r>
      <w:r w:rsidR="0048483D" w:rsidRPr="00900412">
        <w:rPr>
          <w:rFonts w:ascii="Arial" w:hAnsi="Arial" w:cs="Arial"/>
          <w:bCs/>
          <w:sz w:val="24"/>
          <w:szCs w:val="24"/>
        </w:rPr>
        <w:t xml:space="preserve"> </w:t>
      </w:r>
      <w:r w:rsidR="00D22720" w:rsidRPr="00900412">
        <w:rPr>
          <w:rFonts w:ascii="Arial" w:hAnsi="Arial" w:cs="Arial"/>
          <w:bCs/>
          <w:sz w:val="24"/>
          <w:szCs w:val="24"/>
        </w:rPr>
        <w:t>forcément</w:t>
      </w:r>
      <w:r w:rsidR="0048483D" w:rsidRPr="00900412">
        <w:rPr>
          <w:rFonts w:ascii="Arial" w:hAnsi="Arial" w:cs="Arial"/>
          <w:bCs/>
          <w:sz w:val="24"/>
          <w:szCs w:val="24"/>
        </w:rPr>
        <w:t xml:space="preserve"> </w:t>
      </w:r>
      <w:r w:rsidR="00D22720" w:rsidRPr="00900412">
        <w:rPr>
          <w:rFonts w:ascii="Arial" w:hAnsi="Arial" w:cs="Arial"/>
          <w:bCs/>
          <w:sz w:val="24"/>
          <w:szCs w:val="24"/>
        </w:rPr>
        <w:t xml:space="preserve">par l’existence d’une infrastructure de qualité et </w:t>
      </w:r>
      <w:r w:rsidR="00914C50">
        <w:rPr>
          <w:rFonts w:ascii="Arial" w:hAnsi="Arial" w:cs="Arial"/>
          <w:bCs/>
          <w:sz w:val="24"/>
          <w:szCs w:val="24"/>
        </w:rPr>
        <w:t>d’</w:t>
      </w:r>
      <w:r w:rsidR="00C51600">
        <w:rPr>
          <w:rFonts w:ascii="Arial" w:hAnsi="Arial" w:cs="Arial"/>
          <w:bCs/>
          <w:sz w:val="24"/>
          <w:szCs w:val="24"/>
        </w:rPr>
        <w:t>un</w:t>
      </w:r>
      <w:r w:rsidR="00D22720" w:rsidRPr="00900412">
        <w:rPr>
          <w:rFonts w:ascii="Arial" w:hAnsi="Arial" w:cs="Arial"/>
          <w:bCs/>
          <w:sz w:val="24"/>
          <w:szCs w:val="24"/>
        </w:rPr>
        <w:t xml:space="preserve"> personnel qualifié.  </w:t>
      </w:r>
    </w:p>
    <w:p w14:paraId="6700B7AC" w14:textId="622ED3B8" w:rsidR="00914C50" w:rsidRDefault="00633F8D" w:rsidP="000A1DA4">
      <w:pPr>
        <w:spacing w:line="360" w:lineRule="auto"/>
        <w:jc w:val="both"/>
        <w:rPr>
          <w:rFonts w:ascii="Arial" w:hAnsi="Arial" w:cs="Arial"/>
          <w:bCs/>
          <w:sz w:val="24"/>
          <w:szCs w:val="24"/>
        </w:rPr>
      </w:pPr>
      <w:r>
        <w:rPr>
          <w:rFonts w:ascii="Arial" w:hAnsi="Arial" w:cs="Arial"/>
          <w:bCs/>
          <w:sz w:val="24"/>
          <w:szCs w:val="24"/>
        </w:rPr>
        <w:t xml:space="preserve">L’évaluation du coût et le besoin en ressources humaines soulignent l’importance d’une forte mobilisation en ressources humaines et financières. </w:t>
      </w:r>
      <w:r w:rsidR="000A1DA4">
        <w:rPr>
          <w:rFonts w:ascii="Arial" w:hAnsi="Arial" w:cs="Arial"/>
          <w:bCs/>
          <w:sz w:val="24"/>
          <w:szCs w:val="24"/>
        </w:rPr>
        <w:t>Une collaboration intersectorielle, en particulier entre le ministère de la santé et celui en charge des technologie</w:t>
      </w:r>
      <w:r w:rsidR="00C51600">
        <w:rPr>
          <w:rFonts w:ascii="Arial" w:hAnsi="Arial" w:cs="Arial"/>
          <w:bCs/>
          <w:sz w:val="24"/>
          <w:szCs w:val="24"/>
        </w:rPr>
        <w:t>s</w:t>
      </w:r>
      <w:r w:rsidR="000A1DA4">
        <w:rPr>
          <w:rFonts w:ascii="Arial" w:hAnsi="Arial" w:cs="Arial"/>
          <w:bCs/>
          <w:sz w:val="24"/>
          <w:szCs w:val="24"/>
        </w:rPr>
        <w:t xml:space="preserve"> de l’information et de la communication est capitale pour la pérennité du système </w:t>
      </w:r>
      <w:r w:rsidR="00914C50">
        <w:rPr>
          <w:rFonts w:ascii="Arial" w:hAnsi="Arial" w:cs="Arial"/>
          <w:bCs/>
          <w:sz w:val="24"/>
          <w:szCs w:val="24"/>
        </w:rPr>
        <w:t>d’aide à la décision.</w:t>
      </w:r>
    </w:p>
    <w:p w14:paraId="24F92067" w14:textId="77777777" w:rsidR="00914C50" w:rsidRDefault="00914C50" w:rsidP="000A1DA4">
      <w:pPr>
        <w:spacing w:line="360" w:lineRule="auto"/>
        <w:jc w:val="both"/>
        <w:rPr>
          <w:rFonts w:ascii="Arial" w:hAnsi="Arial" w:cs="Arial"/>
          <w:bCs/>
          <w:sz w:val="24"/>
          <w:szCs w:val="24"/>
        </w:rPr>
      </w:pPr>
    </w:p>
    <w:p w14:paraId="19033186" w14:textId="77777777" w:rsidR="0049293E" w:rsidRDefault="0049293E" w:rsidP="009E1007">
      <w:pPr>
        <w:pStyle w:val="Heading1"/>
        <w:rPr>
          <w:rFonts w:ascii="Arial" w:hAnsi="Arial" w:cs="Arial"/>
          <w:bCs/>
          <w:sz w:val="24"/>
          <w:szCs w:val="24"/>
        </w:rPr>
        <w:sectPr w:rsidR="0049293E">
          <w:pgSz w:w="11906" w:h="16838"/>
          <w:pgMar w:top="1417" w:right="1417" w:bottom="1417" w:left="1417" w:header="708" w:footer="708" w:gutter="0"/>
          <w:cols w:space="708"/>
          <w:docGrid w:linePitch="360"/>
        </w:sectPr>
      </w:pPr>
    </w:p>
    <w:p w14:paraId="612C08FD" w14:textId="5588BE73" w:rsidR="0055579D" w:rsidRPr="000C68B4" w:rsidRDefault="0055579D" w:rsidP="009E1007">
      <w:pPr>
        <w:pStyle w:val="Heading1"/>
        <w:rPr>
          <w:rFonts w:ascii="Arial" w:hAnsi="Arial" w:cs="Arial"/>
          <w:b/>
          <w:bCs/>
          <w:color w:val="000000" w:themeColor="text1"/>
          <w:sz w:val="26"/>
          <w:szCs w:val="26"/>
        </w:rPr>
      </w:pPr>
      <w:bookmarkStart w:id="47" w:name="_Toc88819237"/>
      <w:bookmarkStart w:id="48" w:name="_Toc95082863"/>
      <w:r w:rsidRPr="000C68B4">
        <w:rPr>
          <w:rFonts w:ascii="Arial" w:hAnsi="Arial" w:cs="Arial"/>
          <w:b/>
          <w:bCs/>
          <w:color w:val="000000" w:themeColor="text1"/>
          <w:sz w:val="26"/>
          <w:szCs w:val="26"/>
        </w:rPr>
        <w:lastRenderedPageBreak/>
        <w:t>ANNEXE</w:t>
      </w:r>
      <w:r w:rsidR="00A633D8" w:rsidRPr="000C68B4">
        <w:rPr>
          <w:rFonts w:ascii="Arial" w:hAnsi="Arial" w:cs="Arial"/>
          <w:b/>
          <w:bCs/>
          <w:color w:val="000000" w:themeColor="text1"/>
          <w:sz w:val="26"/>
          <w:szCs w:val="26"/>
        </w:rPr>
        <w:t>S</w:t>
      </w:r>
      <w:bookmarkEnd w:id="47"/>
      <w:bookmarkEnd w:id="48"/>
    </w:p>
    <w:p w14:paraId="496CC8F0" w14:textId="2E38C6BB" w:rsidR="0057424D" w:rsidRDefault="007053E3" w:rsidP="0057424D">
      <w:r>
        <w:t xml:space="preserve">   </w:t>
      </w:r>
    </w:p>
    <w:p w14:paraId="699C6D6E" w14:textId="77777777" w:rsidR="0049293E" w:rsidRPr="00A45512" w:rsidRDefault="0049293E" w:rsidP="0049293E">
      <w:pPr>
        <w:pStyle w:val="Heading2"/>
        <w:rPr>
          <w:rFonts w:ascii="Arial" w:hAnsi="Arial" w:cs="Arial"/>
          <w:i/>
          <w:iCs/>
          <w:color w:val="000000" w:themeColor="text1"/>
          <w:sz w:val="24"/>
          <w:szCs w:val="24"/>
        </w:rPr>
      </w:pPr>
      <w:bookmarkStart w:id="49" w:name="_Toc95081931"/>
      <w:bookmarkStart w:id="50" w:name="_Toc95082864"/>
      <w:r w:rsidRPr="00A45512">
        <w:rPr>
          <w:rFonts w:ascii="Arial" w:hAnsi="Arial" w:cs="Arial"/>
          <w:i/>
          <w:iCs/>
          <w:color w:val="000000" w:themeColor="text1"/>
          <w:sz w:val="24"/>
          <w:szCs w:val="24"/>
        </w:rPr>
        <w:t>Annexe 1 : Liste des documents utilisés pour la revue documentaire</w:t>
      </w:r>
      <w:bookmarkEnd w:id="49"/>
      <w:bookmarkEnd w:id="50"/>
    </w:p>
    <w:p w14:paraId="311F079A" w14:textId="77777777" w:rsidR="0049293E" w:rsidRDefault="0049293E" w:rsidP="0049293E">
      <w:pPr>
        <w:pStyle w:val="ListParagraph"/>
        <w:numPr>
          <w:ilvl w:val="0"/>
          <w:numId w:val="39"/>
        </w:numPr>
        <w:tabs>
          <w:tab w:val="left" w:pos="426"/>
        </w:tabs>
        <w:ind w:left="426" w:hanging="284"/>
      </w:pPr>
      <w:r>
        <w:t>Stratégie nationale de la santé numérique 2021-2025</w:t>
      </w:r>
    </w:p>
    <w:p w14:paraId="0E737557" w14:textId="77777777" w:rsidR="0049293E" w:rsidRDefault="0049293E" w:rsidP="0049293E">
      <w:pPr>
        <w:pStyle w:val="ListParagraph"/>
        <w:numPr>
          <w:ilvl w:val="0"/>
          <w:numId w:val="39"/>
        </w:numPr>
        <w:tabs>
          <w:tab w:val="left" w:pos="426"/>
        </w:tabs>
        <w:ind w:left="426" w:hanging="284"/>
      </w:pPr>
      <w:r>
        <w:t>Plan national de d</w:t>
      </w:r>
      <w:r w:rsidRPr="00A45512">
        <w:t xml:space="preserve">éveloppement sanitaire </w:t>
      </w:r>
    </w:p>
    <w:p w14:paraId="7E694EA3" w14:textId="77777777" w:rsidR="0049293E" w:rsidRPr="00A45512" w:rsidRDefault="0049293E" w:rsidP="0049293E">
      <w:pPr>
        <w:pStyle w:val="ListParagraph"/>
        <w:numPr>
          <w:ilvl w:val="0"/>
          <w:numId w:val="39"/>
        </w:numPr>
        <w:tabs>
          <w:tab w:val="left" w:pos="426"/>
        </w:tabs>
        <w:ind w:left="426" w:hanging="284"/>
      </w:pPr>
      <w:r>
        <w:t>Cadre d’interopérabilité des logiciels du secteur de la santé avec DHIS2 en Guinée (2019)</w:t>
      </w:r>
    </w:p>
    <w:p w14:paraId="28FAC0B9" w14:textId="77777777" w:rsidR="0049293E" w:rsidRPr="00A45512" w:rsidRDefault="0049293E" w:rsidP="0049293E">
      <w:pPr>
        <w:pStyle w:val="ListParagraph"/>
        <w:numPr>
          <w:ilvl w:val="0"/>
          <w:numId w:val="39"/>
        </w:numPr>
        <w:tabs>
          <w:tab w:val="left" w:pos="426"/>
        </w:tabs>
        <w:ind w:left="426" w:hanging="284"/>
      </w:pPr>
      <w:r>
        <w:t>A</w:t>
      </w:r>
      <w:r w:rsidRPr="00A45512">
        <w:t xml:space="preserve">nnuaire statistique sanitaire (2017) </w:t>
      </w:r>
    </w:p>
    <w:p w14:paraId="36C03646" w14:textId="77777777" w:rsidR="0049293E" w:rsidRDefault="0049293E" w:rsidP="0049293E">
      <w:pPr>
        <w:pStyle w:val="ListParagraph"/>
        <w:numPr>
          <w:ilvl w:val="0"/>
          <w:numId w:val="39"/>
        </w:numPr>
        <w:tabs>
          <w:tab w:val="left" w:pos="426"/>
        </w:tabs>
        <w:ind w:left="426" w:hanging="284"/>
      </w:pPr>
      <w:r>
        <w:t>Organigramme du MS</w:t>
      </w:r>
    </w:p>
    <w:p w14:paraId="06EEF6B2" w14:textId="77777777" w:rsidR="0049293E" w:rsidRDefault="0049293E" w:rsidP="0049293E">
      <w:pPr>
        <w:pStyle w:val="ListParagraph"/>
        <w:numPr>
          <w:ilvl w:val="0"/>
          <w:numId w:val="39"/>
        </w:numPr>
        <w:tabs>
          <w:tab w:val="left" w:pos="426"/>
        </w:tabs>
        <w:ind w:left="426" w:hanging="284"/>
      </w:pPr>
      <w:r>
        <w:t>Politique nationale de santé de la Guinée</w:t>
      </w:r>
    </w:p>
    <w:p w14:paraId="187AC749" w14:textId="77777777" w:rsidR="0049293E" w:rsidRDefault="0049293E" w:rsidP="0049293E">
      <w:pPr>
        <w:pStyle w:val="ListParagraph"/>
        <w:numPr>
          <w:ilvl w:val="0"/>
          <w:numId w:val="39"/>
        </w:numPr>
        <w:tabs>
          <w:tab w:val="left" w:pos="426"/>
        </w:tabs>
        <w:ind w:left="426" w:hanging="284"/>
      </w:pPr>
      <w:r>
        <w:t>Politique et stratégie nationales de développement des technologies de l’information et de la communication</w:t>
      </w:r>
    </w:p>
    <w:p w14:paraId="393BECF9" w14:textId="77777777" w:rsidR="0049293E" w:rsidRDefault="0049293E" w:rsidP="0049293E">
      <w:pPr>
        <w:pStyle w:val="ListParagraph"/>
        <w:numPr>
          <w:ilvl w:val="0"/>
          <w:numId w:val="39"/>
        </w:numPr>
        <w:tabs>
          <w:tab w:val="left" w:pos="426"/>
        </w:tabs>
        <w:ind w:left="426" w:hanging="284"/>
      </w:pPr>
      <w:r w:rsidRPr="009357FC">
        <w:t>S</w:t>
      </w:r>
      <w:r>
        <w:t xml:space="preserve">tratégie nationale de développement de la statistique </w:t>
      </w:r>
      <w:r w:rsidRPr="009357FC">
        <w:t>2016-2020</w:t>
      </w:r>
    </w:p>
    <w:p w14:paraId="4AFEE1CD" w14:textId="77777777" w:rsidR="0049293E" w:rsidRDefault="0049293E" w:rsidP="0049293E">
      <w:pPr>
        <w:pStyle w:val="ListParagraph"/>
        <w:numPr>
          <w:ilvl w:val="0"/>
          <w:numId w:val="39"/>
        </w:numPr>
        <w:tabs>
          <w:tab w:val="left" w:pos="426"/>
        </w:tabs>
        <w:ind w:left="426" w:hanging="284"/>
      </w:pPr>
      <w:r>
        <w:t>Renforcement des systèmes de santé : Quelles perspectives pour les initiatives mondiale pour la santé ?</w:t>
      </w:r>
    </w:p>
    <w:p w14:paraId="2F294B0B" w14:textId="77777777" w:rsidR="0049293E" w:rsidRDefault="0049293E" w:rsidP="0049293E">
      <w:pPr>
        <w:pStyle w:val="ListParagraph"/>
        <w:numPr>
          <w:ilvl w:val="0"/>
          <w:numId w:val="39"/>
        </w:numPr>
        <w:tabs>
          <w:tab w:val="left" w:pos="426"/>
        </w:tabs>
        <w:ind w:left="426" w:hanging="284"/>
      </w:pPr>
      <w:r>
        <w:t xml:space="preserve"> </w:t>
      </w:r>
      <w:r w:rsidRPr="00614268">
        <w:t>Stratégie</w:t>
      </w:r>
      <w:r>
        <w:t xml:space="preserve"> </w:t>
      </w:r>
      <w:r w:rsidRPr="00614268">
        <w:t xml:space="preserve">Nationale </w:t>
      </w:r>
      <w:r>
        <w:t>de la</w:t>
      </w:r>
      <w:r w:rsidRPr="00614268">
        <w:t xml:space="preserve"> sant</w:t>
      </w:r>
      <w:r>
        <w:t>é</w:t>
      </w:r>
      <w:r w:rsidRPr="00614268">
        <w:t xml:space="preserve"> num</w:t>
      </w:r>
      <w:r>
        <w:t>é</w:t>
      </w:r>
      <w:r w:rsidRPr="00614268">
        <w:t>rique 2021-2025</w:t>
      </w:r>
    </w:p>
    <w:p w14:paraId="5E30A91B" w14:textId="77777777" w:rsidR="0049293E" w:rsidRDefault="0049293E" w:rsidP="0049293E">
      <w:pPr>
        <w:pStyle w:val="ListParagraph"/>
        <w:numPr>
          <w:ilvl w:val="0"/>
          <w:numId w:val="39"/>
        </w:numPr>
        <w:tabs>
          <w:tab w:val="left" w:pos="426"/>
        </w:tabs>
        <w:ind w:left="426" w:hanging="284"/>
      </w:pPr>
      <w:r w:rsidRPr="00614268">
        <w:t xml:space="preserve">Répertoire des structures sanitaires de la </w:t>
      </w:r>
      <w:proofErr w:type="spellStart"/>
      <w:r w:rsidRPr="00614268">
        <w:t>Guinée</w:t>
      </w:r>
      <w:proofErr w:type="spellEnd"/>
    </w:p>
    <w:p w14:paraId="0BD44EEC" w14:textId="77777777" w:rsidR="0049293E" w:rsidRDefault="0049293E" w:rsidP="0049293E">
      <w:pPr>
        <w:pStyle w:val="ListParagraph"/>
        <w:numPr>
          <w:ilvl w:val="0"/>
          <w:numId w:val="39"/>
        </w:numPr>
        <w:tabs>
          <w:tab w:val="left" w:pos="426"/>
        </w:tabs>
        <w:ind w:left="426" w:hanging="284"/>
      </w:pPr>
      <w:r>
        <w:t xml:space="preserve"> Économie numérique pour l’Afrique (DE4A) : Étude diagnostique de la Guinée Rapport</w:t>
      </w:r>
    </w:p>
    <w:p w14:paraId="6AE46C9A" w14:textId="77777777" w:rsidR="0049293E" w:rsidRDefault="0049293E" w:rsidP="0049293E">
      <w:pPr>
        <w:pStyle w:val="ListParagraph"/>
        <w:numPr>
          <w:ilvl w:val="0"/>
          <w:numId w:val="39"/>
        </w:numPr>
        <w:tabs>
          <w:tab w:val="left" w:pos="426"/>
        </w:tabs>
        <w:ind w:left="426" w:hanging="284"/>
      </w:pPr>
      <w:r>
        <w:t xml:space="preserve"> Politique et stratégie nationale de développement des technologies de l’information et de la communication en Guinée </w:t>
      </w:r>
    </w:p>
    <w:p w14:paraId="58274AFA" w14:textId="77777777" w:rsidR="0049293E" w:rsidRDefault="0049293E" w:rsidP="0049293E">
      <w:pPr>
        <w:pStyle w:val="ListParagraph"/>
        <w:numPr>
          <w:ilvl w:val="0"/>
          <w:numId w:val="39"/>
        </w:numPr>
        <w:tabs>
          <w:tab w:val="left" w:pos="426"/>
        </w:tabs>
        <w:ind w:left="426" w:hanging="284"/>
      </w:pPr>
      <w:r>
        <w:t xml:space="preserve">Loi 2015/018/AN relative aux télécommunications et aux technologies de l’information en République de Guinée </w:t>
      </w:r>
    </w:p>
    <w:p w14:paraId="76743C8C" w14:textId="77777777" w:rsidR="0049293E" w:rsidRDefault="0049293E" w:rsidP="0049293E">
      <w:pPr>
        <w:pStyle w:val="ListParagraph"/>
        <w:numPr>
          <w:ilvl w:val="0"/>
          <w:numId w:val="39"/>
        </w:numPr>
        <w:tabs>
          <w:tab w:val="left" w:pos="426"/>
        </w:tabs>
        <w:ind w:left="426" w:hanging="284"/>
      </w:pPr>
      <w:r>
        <w:t>Loi 2016/037/AN, Relative à la cyber-sécurité et la protection des données à caractère personnel en république de Guinée</w:t>
      </w:r>
    </w:p>
    <w:p w14:paraId="6443BDFE" w14:textId="77777777" w:rsidR="0049293E" w:rsidRDefault="0049293E" w:rsidP="0049293E">
      <w:pPr>
        <w:pStyle w:val="ListParagraph"/>
        <w:numPr>
          <w:ilvl w:val="0"/>
          <w:numId w:val="39"/>
        </w:numPr>
        <w:tabs>
          <w:tab w:val="left" w:pos="426"/>
        </w:tabs>
        <w:ind w:left="426" w:hanging="284"/>
      </w:pPr>
      <w:r>
        <w:t xml:space="preserve">Répertoire des structures sanitaires de la Guinée ; </w:t>
      </w:r>
    </w:p>
    <w:p w14:paraId="15DCB249" w14:textId="77777777" w:rsidR="0049293E" w:rsidRPr="00FD1B9C" w:rsidRDefault="0049293E" w:rsidP="0049293E">
      <w:pPr>
        <w:pStyle w:val="ListParagraph"/>
        <w:numPr>
          <w:ilvl w:val="0"/>
          <w:numId w:val="39"/>
        </w:numPr>
        <w:tabs>
          <w:tab w:val="left" w:pos="426"/>
        </w:tabs>
        <w:ind w:left="426" w:hanging="284"/>
      </w:pPr>
      <w:r>
        <w:t xml:space="preserve"> </w:t>
      </w:r>
      <w:r w:rsidRPr="00FD1B9C">
        <w:t>Liste des structures nationales et partenaires techniques et financiers rencontrés</w:t>
      </w:r>
    </w:p>
    <w:p w14:paraId="4EB05B68" w14:textId="77777777" w:rsidR="0049293E" w:rsidRDefault="0049293E" w:rsidP="0049293E">
      <w:pPr>
        <w:pStyle w:val="ListParagraph"/>
        <w:tabs>
          <w:tab w:val="left" w:pos="426"/>
        </w:tabs>
        <w:ind w:left="426"/>
      </w:pPr>
    </w:p>
    <w:p w14:paraId="5EAF8A28" w14:textId="768072B8" w:rsidR="0049293E" w:rsidRDefault="0049293E" w:rsidP="0049293E">
      <w:pPr>
        <w:pStyle w:val="Heading2"/>
        <w:rPr>
          <w:rFonts w:ascii="Arial" w:hAnsi="Arial" w:cs="Arial"/>
          <w:i/>
          <w:iCs/>
          <w:color w:val="000000" w:themeColor="text1"/>
          <w:sz w:val="24"/>
          <w:szCs w:val="24"/>
        </w:rPr>
      </w:pPr>
      <w:bookmarkStart w:id="51" w:name="_Toc95081932"/>
      <w:bookmarkStart w:id="52" w:name="_Toc95082865"/>
      <w:r w:rsidRPr="00A45512">
        <w:rPr>
          <w:rFonts w:ascii="Arial" w:hAnsi="Arial" w:cs="Arial"/>
          <w:i/>
          <w:iCs/>
          <w:color w:val="000000" w:themeColor="text1"/>
          <w:sz w:val="24"/>
          <w:szCs w:val="24"/>
        </w:rPr>
        <w:t xml:space="preserve">Annexe </w:t>
      </w:r>
      <w:r>
        <w:rPr>
          <w:rFonts w:ascii="Arial" w:hAnsi="Arial" w:cs="Arial"/>
          <w:i/>
          <w:iCs/>
          <w:color w:val="000000" w:themeColor="text1"/>
          <w:sz w:val="24"/>
          <w:szCs w:val="24"/>
        </w:rPr>
        <w:t>2</w:t>
      </w:r>
      <w:r w:rsidRPr="00A45512">
        <w:rPr>
          <w:rFonts w:ascii="Arial" w:hAnsi="Arial" w:cs="Arial"/>
          <w:i/>
          <w:iCs/>
          <w:color w:val="000000" w:themeColor="text1"/>
          <w:sz w:val="24"/>
          <w:szCs w:val="24"/>
        </w:rPr>
        <w:t> :</w:t>
      </w:r>
      <w:bookmarkEnd w:id="51"/>
      <w:r w:rsidRPr="00A45512">
        <w:rPr>
          <w:rFonts w:ascii="Arial" w:hAnsi="Arial" w:cs="Arial"/>
          <w:i/>
          <w:iCs/>
          <w:color w:val="000000" w:themeColor="text1"/>
          <w:sz w:val="24"/>
          <w:szCs w:val="24"/>
        </w:rPr>
        <w:t xml:space="preserve">  </w:t>
      </w:r>
      <w:proofErr w:type="spellStart"/>
      <w:r w:rsidR="0021723B">
        <w:rPr>
          <w:rFonts w:ascii="Arial" w:hAnsi="Arial" w:cs="Arial"/>
          <w:i/>
          <w:iCs/>
          <w:color w:val="000000" w:themeColor="text1"/>
          <w:sz w:val="24"/>
          <w:szCs w:val="24"/>
        </w:rPr>
        <w:t>TDRs</w:t>
      </w:r>
      <w:proofErr w:type="spellEnd"/>
      <w:r w:rsidR="0021723B">
        <w:rPr>
          <w:rFonts w:ascii="Arial" w:hAnsi="Arial" w:cs="Arial"/>
          <w:i/>
          <w:iCs/>
          <w:color w:val="000000" w:themeColor="text1"/>
          <w:sz w:val="24"/>
          <w:szCs w:val="24"/>
        </w:rPr>
        <w:t>, document d’orientation et canevas de collecte</w:t>
      </w:r>
      <w:bookmarkEnd w:id="52"/>
      <w:r w:rsidR="00A6308D">
        <w:rPr>
          <w:rFonts w:ascii="Arial" w:hAnsi="Arial" w:cs="Arial"/>
          <w:i/>
          <w:iCs/>
          <w:color w:val="000000" w:themeColor="text1"/>
          <w:sz w:val="24"/>
          <w:szCs w:val="24"/>
        </w:rPr>
        <w:t xml:space="preserve"> des données</w:t>
      </w:r>
    </w:p>
    <w:p w14:paraId="020D48F1" w14:textId="77777777" w:rsidR="00807493" w:rsidRDefault="00807493" w:rsidP="00807493">
      <w:pPr>
        <w:pStyle w:val="ListParagraph"/>
        <w:numPr>
          <w:ilvl w:val="0"/>
          <w:numId w:val="46"/>
        </w:numPr>
      </w:pPr>
      <w:r>
        <w:t xml:space="preserve"> Canevas de collecte des données</w:t>
      </w:r>
    </w:p>
    <w:p w14:paraId="52B3E458" w14:textId="77777777" w:rsidR="00807493" w:rsidRDefault="00807493" w:rsidP="00807493">
      <w:pPr>
        <w:pStyle w:val="ListParagraph"/>
        <w:numPr>
          <w:ilvl w:val="0"/>
          <w:numId w:val="46"/>
        </w:numPr>
        <w:spacing w:after="0" w:line="240" w:lineRule="auto"/>
      </w:pPr>
      <w:r w:rsidRPr="00897391">
        <w:t>Termes de références de la mission</w:t>
      </w:r>
    </w:p>
    <w:p w14:paraId="5A4BF6E9" w14:textId="77777777" w:rsidR="00807493" w:rsidRPr="00897391" w:rsidRDefault="00807493" w:rsidP="00807493">
      <w:pPr>
        <w:pStyle w:val="ListParagraph"/>
        <w:numPr>
          <w:ilvl w:val="0"/>
          <w:numId w:val="46"/>
        </w:numPr>
        <w:spacing w:after="0" w:line="240" w:lineRule="auto"/>
      </w:pPr>
      <w:r>
        <w:t>D</w:t>
      </w:r>
      <w:r w:rsidRPr="00250F55">
        <w:t xml:space="preserve">ocument d’orientation sur les caractéristiques du Data Center  </w:t>
      </w:r>
    </w:p>
    <w:p w14:paraId="177C2BEF" w14:textId="77777777" w:rsidR="0049293E" w:rsidRPr="0057424D" w:rsidRDefault="0049293E" w:rsidP="0049293E"/>
    <w:p w14:paraId="11AE3656" w14:textId="7921559E" w:rsidR="0049293E" w:rsidRDefault="0049293E" w:rsidP="0049293E">
      <w:pPr>
        <w:pStyle w:val="Heading2"/>
        <w:rPr>
          <w:rFonts w:ascii="Arial" w:hAnsi="Arial" w:cs="Arial"/>
          <w:i/>
          <w:iCs/>
          <w:color w:val="000000" w:themeColor="text1"/>
          <w:sz w:val="24"/>
          <w:szCs w:val="24"/>
        </w:rPr>
      </w:pPr>
      <w:bookmarkStart w:id="53" w:name="_Toc95081933"/>
      <w:bookmarkStart w:id="54" w:name="_Toc95082866"/>
      <w:r w:rsidRPr="00A45512">
        <w:rPr>
          <w:rFonts w:ascii="Arial" w:hAnsi="Arial" w:cs="Arial"/>
          <w:i/>
          <w:iCs/>
          <w:color w:val="000000" w:themeColor="text1"/>
          <w:sz w:val="24"/>
          <w:szCs w:val="24"/>
        </w:rPr>
        <w:t>Annexe 3 :</w:t>
      </w:r>
      <w:bookmarkEnd w:id="53"/>
      <w:r w:rsidRPr="00A45512">
        <w:rPr>
          <w:rFonts w:ascii="Arial" w:hAnsi="Arial" w:cs="Arial"/>
          <w:i/>
          <w:iCs/>
          <w:color w:val="000000" w:themeColor="text1"/>
          <w:sz w:val="24"/>
          <w:szCs w:val="24"/>
        </w:rPr>
        <w:t xml:space="preserve"> </w:t>
      </w:r>
      <w:r w:rsidR="0021723B">
        <w:rPr>
          <w:rFonts w:ascii="Arial" w:hAnsi="Arial" w:cs="Arial"/>
          <w:i/>
          <w:iCs/>
          <w:color w:val="000000" w:themeColor="text1"/>
          <w:sz w:val="24"/>
          <w:szCs w:val="24"/>
        </w:rPr>
        <w:t>Propositions financières et technique</w:t>
      </w:r>
      <w:bookmarkEnd w:id="54"/>
    </w:p>
    <w:p w14:paraId="636731CB" w14:textId="77777777" w:rsidR="0049293E" w:rsidRPr="00FD1B9C" w:rsidRDefault="0049293E" w:rsidP="0049293E">
      <w:pPr>
        <w:pStyle w:val="Heading2"/>
        <w:numPr>
          <w:ilvl w:val="0"/>
          <w:numId w:val="47"/>
        </w:numPr>
        <w:tabs>
          <w:tab w:val="num" w:pos="360"/>
        </w:tabs>
        <w:ind w:left="0" w:firstLine="0"/>
        <w:rPr>
          <w:rFonts w:asciiTheme="minorHAnsi" w:eastAsiaTheme="minorHAnsi" w:hAnsiTheme="minorHAnsi" w:cstheme="minorBidi"/>
          <w:color w:val="auto"/>
          <w:sz w:val="22"/>
          <w:szCs w:val="22"/>
        </w:rPr>
      </w:pPr>
      <w:bookmarkStart w:id="55" w:name="_Toc95081934"/>
      <w:bookmarkStart w:id="56" w:name="_Toc95082867"/>
      <w:r w:rsidRPr="00FD1B9C">
        <w:rPr>
          <w:rFonts w:asciiTheme="minorHAnsi" w:eastAsiaTheme="minorHAnsi" w:hAnsiTheme="minorHAnsi" w:cstheme="minorBidi"/>
          <w:color w:val="auto"/>
          <w:sz w:val="22"/>
          <w:szCs w:val="22"/>
        </w:rPr>
        <w:t>Offre technique pour le Data Center</w:t>
      </w:r>
      <w:r>
        <w:rPr>
          <w:rFonts w:asciiTheme="minorHAnsi" w:eastAsiaTheme="minorHAnsi" w:hAnsiTheme="minorHAnsi" w:cstheme="minorBidi"/>
          <w:color w:val="auto"/>
          <w:sz w:val="22"/>
          <w:szCs w:val="22"/>
        </w:rPr>
        <w:t xml:space="preserve"> (</w:t>
      </w:r>
      <w:r w:rsidRPr="00FD1B9C">
        <w:rPr>
          <w:rFonts w:asciiTheme="minorHAnsi" w:eastAsiaTheme="minorHAnsi" w:hAnsiTheme="minorHAnsi" w:cstheme="minorBidi"/>
          <w:color w:val="auto"/>
          <w:sz w:val="22"/>
          <w:szCs w:val="22"/>
        </w:rPr>
        <w:t>MTN</w:t>
      </w:r>
      <w:r>
        <w:rPr>
          <w:rFonts w:asciiTheme="minorHAnsi" w:eastAsiaTheme="minorHAnsi" w:hAnsiTheme="minorHAnsi" w:cstheme="minorBidi"/>
          <w:color w:val="auto"/>
          <w:sz w:val="22"/>
          <w:szCs w:val="22"/>
        </w:rPr>
        <w:t>)</w:t>
      </w:r>
      <w:bookmarkEnd w:id="55"/>
      <w:bookmarkEnd w:id="56"/>
    </w:p>
    <w:p w14:paraId="08EE2D90" w14:textId="77777777" w:rsidR="0049293E" w:rsidRPr="00FD1B9C" w:rsidRDefault="0049293E" w:rsidP="0049293E">
      <w:pPr>
        <w:pStyle w:val="Heading2"/>
        <w:numPr>
          <w:ilvl w:val="0"/>
          <w:numId w:val="47"/>
        </w:numPr>
        <w:tabs>
          <w:tab w:val="num" w:pos="360"/>
        </w:tabs>
        <w:ind w:left="0" w:firstLine="0"/>
        <w:rPr>
          <w:rFonts w:asciiTheme="minorHAnsi" w:eastAsiaTheme="minorHAnsi" w:hAnsiTheme="minorHAnsi" w:cstheme="minorBidi"/>
          <w:color w:val="auto"/>
          <w:sz w:val="22"/>
          <w:szCs w:val="22"/>
        </w:rPr>
      </w:pPr>
      <w:bookmarkStart w:id="57" w:name="_Toc95081935"/>
      <w:bookmarkStart w:id="58" w:name="_Toc95082868"/>
      <w:r w:rsidRPr="00FD1B9C">
        <w:rPr>
          <w:rFonts w:asciiTheme="minorHAnsi" w:eastAsiaTheme="minorHAnsi" w:hAnsiTheme="minorHAnsi" w:cstheme="minorBidi"/>
          <w:color w:val="auto"/>
          <w:sz w:val="22"/>
          <w:szCs w:val="22"/>
        </w:rPr>
        <w:t>Offre financière pour la collocation d'un Data Center</w:t>
      </w:r>
      <w:r>
        <w:rPr>
          <w:rFonts w:asciiTheme="minorHAnsi" w:eastAsiaTheme="minorHAnsi" w:hAnsiTheme="minorHAnsi" w:cstheme="minorBidi"/>
          <w:color w:val="auto"/>
          <w:sz w:val="22"/>
          <w:szCs w:val="22"/>
        </w:rPr>
        <w:t xml:space="preserve"> (</w:t>
      </w:r>
      <w:r w:rsidRPr="00FD1B9C">
        <w:rPr>
          <w:rFonts w:asciiTheme="minorHAnsi" w:eastAsiaTheme="minorHAnsi" w:hAnsiTheme="minorHAnsi" w:cstheme="minorBidi"/>
          <w:color w:val="auto"/>
          <w:sz w:val="22"/>
          <w:szCs w:val="22"/>
        </w:rPr>
        <w:t>MTN</w:t>
      </w:r>
      <w:r>
        <w:rPr>
          <w:rFonts w:asciiTheme="minorHAnsi" w:eastAsiaTheme="minorHAnsi" w:hAnsiTheme="minorHAnsi" w:cstheme="minorBidi"/>
          <w:color w:val="auto"/>
          <w:sz w:val="22"/>
          <w:szCs w:val="22"/>
        </w:rPr>
        <w:t>)</w:t>
      </w:r>
      <w:bookmarkEnd w:id="57"/>
      <w:bookmarkEnd w:id="58"/>
      <w:r w:rsidRPr="00FD1B9C">
        <w:rPr>
          <w:rFonts w:asciiTheme="minorHAnsi" w:eastAsiaTheme="minorHAnsi" w:hAnsiTheme="minorHAnsi" w:cstheme="minorBidi"/>
          <w:color w:val="auto"/>
          <w:sz w:val="22"/>
          <w:szCs w:val="22"/>
        </w:rPr>
        <w:t xml:space="preserve"> </w:t>
      </w:r>
    </w:p>
    <w:p w14:paraId="3456A79C" w14:textId="77777777" w:rsidR="0049293E" w:rsidRPr="00FD1B9C" w:rsidRDefault="0049293E" w:rsidP="0049293E">
      <w:pPr>
        <w:pStyle w:val="Heading2"/>
        <w:numPr>
          <w:ilvl w:val="0"/>
          <w:numId w:val="47"/>
        </w:numPr>
        <w:tabs>
          <w:tab w:val="num" w:pos="360"/>
        </w:tabs>
        <w:ind w:left="0" w:firstLine="0"/>
        <w:rPr>
          <w:rFonts w:asciiTheme="minorHAnsi" w:eastAsiaTheme="minorHAnsi" w:hAnsiTheme="minorHAnsi" w:cstheme="minorBidi"/>
          <w:color w:val="auto"/>
          <w:sz w:val="22"/>
          <w:szCs w:val="22"/>
        </w:rPr>
      </w:pPr>
      <w:bookmarkStart w:id="59" w:name="_Toc95081936"/>
      <w:bookmarkStart w:id="60" w:name="_Toc95082869"/>
      <w:r w:rsidRPr="00FD1B9C">
        <w:rPr>
          <w:rFonts w:asciiTheme="minorHAnsi" w:eastAsiaTheme="minorHAnsi" w:hAnsiTheme="minorHAnsi" w:cstheme="minorBidi"/>
          <w:color w:val="auto"/>
          <w:sz w:val="22"/>
          <w:szCs w:val="22"/>
        </w:rPr>
        <w:t>Offre financière pour le dépl</w:t>
      </w:r>
      <w:r>
        <w:rPr>
          <w:rFonts w:asciiTheme="minorHAnsi" w:eastAsiaTheme="minorHAnsi" w:hAnsiTheme="minorHAnsi" w:cstheme="minorBidi"/>
          <w:color w:val="auto"/>
          <w:sz w:val="22"/>
          <w:szCs w:val="22"/>
        </w:rPr>
        <w:t>o</w:t>
      </w:r>
      <w:r w:rsidRPr="00FD1B9C">
        <w:rPr>
          <w:rFonts w:asciiTheme="minorHAnsi" w:eastAsiaTheme="minorHAnsi" w:hAnsiTheme="minorHAnsi" w:cstheme="minorBidi"/>
          <w:color w:val="auto"/>
          <w:sz w:val="22"/>
          <w:szCs w:val="22"/>
        </w:rPr>
        <w:t>iement de la connexion internet</w:t>
      </w:r>
      <w:r>
        <w:rPr>
          <w:rFonts w:asciiTheme="minorHAnsi" w:eastAsiaTheme="minorHAnsi" w:hAnsiTheme="minorHAnsi" w:cstheme="minorBidi"/>
          <w:color w:val="auto"/>
          <w:sz w:val="22"/>
          <w:szCs w:val="22"/>
        </w:rPr>
        <w:t xml:space="preserve"> (</w:t>
      </w:r>
      <w:r w:rsidRPr="00FD1B9C">
        <w:rPr>
          <w:rFonts w:asciiTheme="minorHAnsi" w:eastAsiaTheme="minorHAnsi" w:hAnsiTheme="minorHAnsi" w:cstheme="minorBidi"/>
          <w:color w:val="auto"/>
          <w:sz w:val="22"/>
          <w:szCs w:val="22"/>
        </w:rPr>
        <w:t>MTN</w:t>
      </w:r>
      <w:r>
        <w:rPr>
          <w:rFonts w:asciiTheme="minorHAnsi" w:eastAsiaTheme="minorHAnsi" w:hAnsiTheme="minorHAnsi" w:cstheme="minorBidi"/>
          <w:color w:val="auto"/>
          <w:sz w:val="22"/>
          <w:szCs w:val="22"/>
        </w:rPr>
        <w:t>)</w:t>
      </w:r>
      <w:bookmarkEnd w:id="59"/>
      <w:bookmarkEnd w:id="60"/>
      <w:r w:rsidRPr="00FD1B9C">
        <w:rPr>
          <w:rFonts w:asciiTheme="minorHAnsi" w:eastAsiaTheme="minorHAnsi" w:hAnsiTheme="minorHAnsi" w:cstheme="minorBidi"/>
          <w:color w:val="auto"/>
          <w:sz w:val="22"/>
          <w:szCs w:val="22"/>
        </w:rPr>
        <w:t xml:space="preserve"> </w:t>
      </w:r>
    </w:p>
    <w:p w14:paraId="3A408189" w14:textId="14EDAC61" w:rsidR="0089227C" w:rsidRPr="009E1007" w:rsidRDefault="0089227C" w:rsidP="0089227C">
      <w:pPr>
        <w:widowControl w:val="0"/>
        <w:autoSpaceDE w:val="0"/>
        <w:autoSpaceDN w:val="0"/>
        <w:adjustRightInd w:val="0"/>
        <w:spacing w:after="0" w:line="360" w:lineRule="auto"/>
        <w:ind w:left="1135" w:right="4081"/>
        <w:jc w:val="center"/>
        <w:rPr>
          <w:rFonts w:ascii="Arial" w:hAnsi="Arial" w:cs="Arial"/>
          <w:sz w:val="24"/>
          <w:szCs w:val="24"/>
        </w:rPr>
      </w:pPr>
    </w:p>
    <w:p w14:paraId="57B63CCF" w14:textId="77777777" w:rsidR="0089227C" w:rsidRPr="009E1007" w:rsidRDefault="0089227C" w:rsidP="0089227C">
      <w:pPr>
        <w:spacing w:line="360" w:lineRule="auto"/>
        <w:ind w:left="787"/>
        <w:jc w:val="center"/>
        <w:rPr>
          <w:rFonts w:ascii="Arial" w:hAnsi="Arial" w:cs="Arial"/>
          <w:sz w:val="24"/>
          <w:szCs w:val="24"/>
        </w:rPr>
      </w:pPr>
    </w:p>
    <w:p w14:paraId="0547BB74" w14:textId="77777777" w:rsidR="00441835" w:rsidRPr="009E1007" w:rsidRDefault="00441835" w:rsidP="0089227C">
      <w:pPr>
        <w:ind w:left="787"/>
        <w:jc w:val="center"/>
        <w:rPr>
          <w:rFonts w:ascii="Arial" w:hAnsi="Arial" w:cs="Arial"/>
          <w:sz w:val="24"/>
          <w:szCs w:val="24"/>
        </w:rPr>
      </w:pPr>
    </w:p>
    <w:p w14:paraId="31B9FF34" w14:textId="77777777" w:rsidR="00124131" w:rsidRPr="009E1007" w:rsidRDefault="00124131" w:rsidP="00124131">
      <w:pPr>
        <w:rPr>
          <w:rFonts w:ascii="Arial" w:hAnsi="Arial" w:cs="Arial"/>
          <w:sz w:val="24"/>
          <w:szCs w:val="24"/>
        </w:rPr>
      </w:pPr>
    </w:p>
    <w:sectPr w:rsidR="00124131" w:rsidRPr="009E10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948D" w14:textId="77777777" w:rsidR="006F7F7D" w:rsidRDefault="006F7F7D" w:rsidP="009E1007">
      <w:pPr>
        <w:spacing w:after="0" w:line="240" w:lineRule="auto"/>
      </w:pPr>
      <w:r>
        <w:separator/>
      </w:r>
    </w:p>
  </w:endnote>
  <w:endnote w:type="continuationSeparator" w:id="0">
    <w:p w14:paraId="6D2F89EE" w14:textId="77777777" w:rsidR="006F7F7D" w:rsidRDefault="006F7F7D" w:rsidP="009E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altName w:val="Helvetica 45 Light"/>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334391"/>
      <w:docPartObj>
        <w:docPartGallery w:val="Page Numbers (Bottom of Page)"/>
        <w:docPartUnique/>
      </w:docPartObj>
    </w:sdtPr>
    <w:sdtEndPr>
      <w:rPr>
        <w:rStyle w:val="PageNumber"/>
      </w:rPr>
    </w:sdtEndPr>
    <w:sdtContent>
      <w:p w14:paraId="4E31DE03" w14:textId="439640E3" w:rsidR="00EC285A" w:rsidRDefault="00EC285A" w:rsidP="00EC28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D9CB6" w14:textId="77777777" w:rsidR="00EC285A" w:rsidRDefault="00EC285A" w:rsidP="00C03D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901800"/>
      <w:docPartObj>
        <w:docPartGallery w:val="Page Numbers (Bottom of Page)"/>
        <w:docPartUnique/>
      </w:docPartObj>
    </w:sdtPr>
    <w:sdtEndPr>
      <w:rPr>
        <w:rStyle w:val="PageNumber"/>
      </w:rPr>
    </w:sdtEndPr>
    <w:sdtContent>
      <w:p w14:paraId="0C061D67" w14:textId="015D9802" w:rsidR="00EC285A" w:rsidRDefault="00EC285A" w:rsidP="00EC28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6DA5">
          <w:rPr>
            <w:rStyle w:val="PageNumber"/>
            <w:noProof/>
          </w:rPr>
          <w:t>3</w:t>
        </w:r>
        <w:r>
          <w:rPr>
            <w:rStyle w:val="PageNumber"/>
          </w:rPr>
          <w:fldChar w:fldCharType="end"/>
        </w:r>
      </w:p>
    </w:sdtContent>
  </w:sdt>
  <w:p w14:paraId="1C30825E" w14:textId="023F1182" w:rsidR="00EC285A" w:rsidRDefault="00EC285A" w:rsidP="00C03D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DFDD" w14:textId="77777777" w:rsidR="006F7F7D" w:rsidRDefault="006F7F7D" w:rsidP="009E1007">
      <w:pPr>
        <w:spacing w:after="0" w:line="240" w:lineRule="auto"/>
      </w:pPr>
      <w:r>
        <w:separator/>
      </w:r>
    </w:p>
  </w:footnote>
  <w:footnote w:type="continuationSeparator" w:id="0">
    <w:p w14:paraId="1E807E7A" w14:textId="77777777" w:rsidR="006F7F7D" w:rsidRDefault="006F7F7D" w:rsidP="009E1007">
      <w:pPr>
        <w:spacing w:after="0" w:line="240" w:lineRule="auto"/>
      </w:pPr>
      <w:r>
        <w:continuationSeparator/>
      </w:r>
    </w:p>
  </w:footnote>
  <w:footnote w:id="1">
    <w:p w14:paraId="526C294B" w14:textId="34518C59" w:rsidR="00EC285A" w:rsidRPr="009C57C3" w:rsidRDefault="00EC285A">
      <w:pPr>
        <w:pStyle w:val="FootnoteText"/>
        <w:rPr>
          <w:lang w:val="en-US"/>
        </w:rPr>
      </w:pPr>
      <w:r>
        <w:rPr>
          <w:rStyle w:val="FootnoteReference"/>
        </w:rPr>
        <w:footnoteRef/>
      </w:r>
      <w:r w:rsidRPr="009C57C3">
        <w:rPr>
          <w:lang w:val="en-US"/>
        </w:rPr>
        <w:t xml:space="preserve"> The Data warehouse Toolkit, The D</w:t>
      </w:r>
      <w:r>
        <w:rPr>
          <w:lang w:val="en-US"/>
        </w:rPr>
        <w:t>efinitive Guide to Dimensional modeling, Ralph Kimball and Margy Ross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59A"/>
    <w:multiLevelType w:val="multilevel"/>
    <w:tmpl w:val="0772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3151E"/>
    <w:multiLevelType w:val="multilevel"/>
    <w:tmpl w:val="64DCA210"/>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09FC27FE"/>
    <w:multiLevelType w:val="multilevel"/>
    <w:tmpl w:val="0A6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43933"/>
    <w:multiLevelType w:val="hybridMultilevel"/>
    <w:tmpl w:val="3A2E48B2"/>
    <w:lvl w:ilvl="0" w:tplc="80F48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87293"/>
    <w:multiLevelType w:val="hybridMultilevel"/>
    <w:tmpl w:val="70C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F7E13"/>
    <w:multiLevelType w:val="hybridMultilevel"/>
    <w:tmpl w:val="D7F0B388"/>
    <w:lvl w:ilvl="0" w:tplc="F8B0366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1022259D"/>
    <w:multiLevelType w:val="hybridMultilevel"/>
    <w:tmpl w:val="753CE06A"/>
    <w:lvl w:ilvl="0" w:tplc="274CF3DC">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E06162"/>
    <w:multiLevelType w:val="hybridMultilevel"/>
    <w:tmpl w:val="5BBA77C2"/>
    <w:lvl w:ilvl="0" w:tplc="38CE8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62D"/>
    <w:multiLevelType w:val="hybridMultilevel"/>
    <w:tmpl w:val="FDE84828"/>
    <w:lvl w:ilvl="0" w:tplc="3FEEE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E77FEA"/>
    <w:multiLevelType w:val="hybridMultilevel"/>
    <w:tmpl w:val="FA842D52"/>
    <w:lvl w:ilvl="0" w:tplc="0B3A0C70">
      <w:start w:val="498"/>
      <w:numFmt w:val="bullet"/>
      <w:lvlText w:val="-"/>
      <w:lvlJc w:val="left"/>
      <w:pPr>
        <w:ind w:left="1067" w:hanging="360"/>
      </w:pPr>
      <w:rPr>
        <w:rFonts w:ascii="Calibri" w:eastAsiaTheme="minorHAnsi" w:hAnsi="Calibri" w:cs="Calibri"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0" w15:restartNumberingAfterBreak="0">
    <w:nsid w:val="15F340EA"/>
    <w:multiLevelType w:val="multilevel"/>
    <w:tmpl w:val="64DCA210"/>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15:restartNumberingAfterBreak="0">
    <w:nsid w:val="1AC07A83"/>
    <w:multiLevelType w:val="hybridMultilevel"/>
    <w:tmpl w:val="A63A905E"/>
    <w:lvl w:ilvl="0" w:tplc="DCAA04FE">
      <w:start w:val="1"/>
      <w:numFmt w:val="bullet"/>
      <w:lvlText w:val=""/>
      <w:lvlJc w:val="left"/>
      <w:pPr>
        <w:tabs>
          <w:tab w:val="num" w:pos="720"/>
        </w:tabs>
        <w:ind w:left="720" w:hanging="360"/>
      </w:pPr>
      <w:rPr>
        <w:rFonts w:ascii="Wingdings" w:hAnsi="Wingdings" w:hint="default"/>
      </w:rPr>
    </w:lvl>
    <w:lvl w:ilvl="1" w:tplc="F7168BFC">
      <w:start w:val="1"/>
      <w:numFmt w:val="bullet"/>
      <w:lvlText w:val=""/>
      <w:lvlJc w:val="left"/>
      <w:pPr>
        <w:tabs>
          <w:tab w:val="num" w:pos="1440"/>
        </w:tabs>
        <w:ind w:left="1440" w:hanging="360"/>
      </w:pPr>
      <w:rPr>
        <w:rFonts w:ascii="Wingdings" w:hAnsi="Wingdings" w:hint="default"/>
      </w:rPr>
    </w:lvl>
    <w:lvl w:ilvl="2" w:tplc="CF382FA0" w:tentative="1">
      <w:start w:val="1"/>
      <w:numFmt w:val="bullet"/>
      <w:lvlText w:val=""/>
      <w:lvlJc w:val="left"/>
      <w:pPr>
        <w:tabs>
          <w:tab w:val="num" w:pos="2160"/>
        </w:tabs>
        <w:ind w:left="2160" w:hanging="360"/>
      </w:pPr>
      <w:rPr>
        <w:rFonts w:ascii="Wingdings" w:hAnsi="Wingdings" w:hint="default"/>
      </w:rPr>
    </w:lvl>
    <w:lvl w:ilvl="3" w:tplc="88468334" w:tentative="1">
      <w:start w:val="1"/>
      <w:numFmt w:val="bullet"/>
      <w:lvlText w:val=""/>
      <w:lvlJc w:val="left"/>
      <w:pPr>
        <w:tabs>
          <w:tab w:val="num" w:pos="2880"/>
        </w:tabs>
        <w:ind w:left="2880" w:hanging="360"/>
      </w:pPr>
      <w:rPr>
        <w:rFonts w:ascii="Wingdings" w:hAnsi="Wingdings" w:hint="default"/>
      </w:rPr>
    </w:lvl>
    <w:lvl w:ilvl="4" w:tplc="DFA44CA8" w:tentative="1">
      <w:start w:val="1"/>
      <w:numFmt w:val="bullet"/>
      <w:lvlText w:val=""/>
      <w:lvlJc w:val="left"/>
      <w:pPr>
        <w:tabs>
          <w:tab w:val="num" w:pos="3600"/>
        </w:tabs>
        <w:ind w:left="3600" w:hanging="360"/>
      </w:pPr>
      <w:rPr>
        <w:rFonts w:ascii="Wingdings" w:hAnsi="Wingdings" w:hint="default"/>
      </w:rPr>
    </w:lvl>
    <w:lvl w:ilvl="5" w:tplc="1C5A1C44" w:tentative="1">
      <w:start w:val="1"/>
      <w:numFmt w:val="bullet"/>
      <w:lvlText w:val=""/>
      <w:lvlJc w:val="left"/>
      <w:pPr>
        <w:tabs>
          <w:tab w:val="num" w:pos="4320"/>
        </w:tabs>
        <w:ind w:left="4320" w:hanging="360"/>
      </w:pPr>
      <w:rPr>
        <w:rFonts w:ascii="Wingdings" w:hAnsi="Wingdings" w:hint="default"/>
      </w:rPr>
    </w:lvl>
    <w:lvl w:ilvl="6" w:tplc="B9BE1C30" w:tentative="1">
      <w:start w:val="1"/>
      <w:numFmt w:val="bullet"/>
      <w:lvlText w:val=""/>
      <w:lvlJc w:val="left"/>
      <w:pPr>
        <w:tabs>
          <w:tab w:val="num" w:pos="5040"/>
        </w:tabs>
        <w:ind w:left="5040" w:hanging="360"/>
      </w:pPr>
      <w:rPr>
        <w:rFonts w:ascii="Wingdings" w:hAnsi="Wingdings" w:hint="default"/>
      </w:rPr>
    </w:lvl>
    <w:lvl w:ilvl="7" w:tplc="A606D046" w:tentative="1">
      <w:start w:val="1"/>
      <w:numFmt w:val="bullet"/>
      <w:lvlText w:val=""/>
      <w:lvlJc w:val="left"/>
      <w:pPr>
        <w:tabs>
          <w:tab w:val="num" w:pos="5760"/>
        </w:tabs>
        <w:ind w:left="5760" w:hanging="360"/>
      </w:pPr>
      <w:rPr>
        <w:rFonts w:ascii="Wingdings" w:hAnsi="Wingdings" w:hint="default"/>
      </w:rPr>
    </w:lvl>
    <w:lvl w:ilvl="8" w:tplc="BF4EC2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93760"/>
    <w:multiLevelType w:val="hybridMultilevel"/>
    <w:tmpl w:val="C7EE71DA"/>
    <w:lvl w:ilvl="0" w:tplc="3FEEE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D30A02"/>
    <w:multiLevelType w:val="hybridMultilevel"/>
    <w:tmpl w:val="E32471B4"/>
    <w:lvl w:ilvl="0" w:tplc="784212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17D6A"/>
    <w:multiLevelType w:val="hybridMultilevel"/>
    <w:tmpl w:val="945E7D58"/>
    <w:lvl w:ilvl="0" w:tplc="05A4E52E">
      <w:start w:val="1"/>
      <w:numFmt w:val="decimal"/>
      <w:lvlText w:val="%1."/>
      <w:lvlJc w:val="left"/>
      <w:pPr>
        <w:ind w:left="134" w:hanging="5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15" w15:restartNumberingAfterBreak="0">
    <w:nsid w:val="23553874"/>
    <w:multiLevelType w:val="multilevel"/>
    <w:tmpl w:val="15BE92AC"/>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28D6525A"/>
    <w:multiLevelType w:val="hybridMultilevel"/>
    <w:tmpl w:val="10A6FB2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12C29"/>
    <w:multiLevelType w:val="multilevel"/>
    <w:tmpl w:val="B22609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0E770F"/>
    <w:multiLevelType w:val="hybridMultilevel"/>
    <w:tmpl w:val="769E1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AC63EB"/>
    <w:multiLevelType w:val="hybridMultilevel"/>
    <w:tmpl w:val="F6047830"/>
    <w:lvl w:ilvl="0" w:tplc="274CF3DC">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EF069F"/>
    <w:multiLevelType w:val="hybridMultilevel"/>
    <w:tmpl w:val="4F42079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ED10ABB"/>
    <w:multiLevelType w:val="hybridMultilevel"/>
    <w:tmpl w:val="A7CA77F4"/>
    <w:lvl w:ilvl="0" w:tplc="777A05D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1C279BF"/>
    <w:multiLevelType w:val="hybridMultilevel"/>
    <w:tmpl w:val="CB20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A2BF5"/>
    <w:multiLevelType w:val="hybridMultilevel"/>
    <w:tmpl w:val="C534CEA6"/>
    <w:lvl w:ilvl="0" w:tplc="05A4E52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11DA5"/>
    <w:multiLevelType w:val="hybridMultilevel"/>
    <w:tmpl w:val="15D605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480957F8"/>
    <w:multiLevelType w:val="hybridMultilevel"/>
    <w:tmpl w:val="DE7E377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98113E7"/>
    <w:multiLevelType w:val="hybridMultilevel"/>
    <w:tmpl w:val="583098C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49C07C3B"/>
    <w:multiLevelType w:val="hybridMultilevel"/>
    <w:tmpl w:val="4EBE209A"/>
    <w:lvl w:ilvl="0" w:tplc="274CF3DC">
      <w:start w:val="1"/>
      <w:numFmt w:val="decimal"/>
      <w:lvlText w:val="%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ADE5921"/>
    <w:multiLevelType w:val="hybridMultilevel"/>
    <w:tmpl w:val="3A2E4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EB2CD7"/>
    <w:multiLevelType w:val="hybridMultilevel"/>
    <w:tmpl w:val="C32633BE"/>
    <w:lvl w:ilvl="0" w:tplc="05A4E52E">
      <w:start w:val="1"/>
      <w:numFmt w:val="decimal"/>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A47FE8"/>
    <w:multiLevelType w:val="hybridMultilevel"/>
    <w:tmpl w:val="1638ABD4"/>
    <w:lvl w:ilvl="0" w:tplc="DCAA04FE">
      <w:start w:val="1"/>
      <w:numFmt w:val="bullet"/>
      <w:lvlText w:val=""/>
      <w:lvlJc w:val="left"/>
      <w:pPr>
        <w:ind w:left="676" w:hanging="360"/>
      </w:pPr>
      <w:rPr>
        <w:rFonts w:ascii="Wingdings" w:hAnsi="Wingdings" w:hint="default"/>
      </w:rPr>
    </w:lvl>
    <w:lvl w:ilvl="1" w:tplc="040C0003" w:tentative="1">
      <w:start w:val="1"/>
      <w:numFmt w:val="bullet"/>
      <w:lvlText w:val="o"/>
      <w:lvlJc w:val="left"/>
      <w:pPr>
        <w:ind w:left="1396" w:hanging="360"/>
      </w:pPr>
      <w:rPr>
        <w:rFonts w:ascii="Courier New" w:hAnsi="Courier New" w:cs="Courier New" w:hint="default"/>
      </w:rPr>
    </w:lvl>
    <w:lvl w:ilvl="2" w:tplc="040C0005" w:tentative="1">
      <w:start w:val="1"/>
      <w:numFmt w:val="bullet"/>
      <w:lvlText w:val=""/>
      <w:lvlJc w:val="left"/>
      <w:pPr>
        <w:ind w:left="2116" w:hanging="360"/>
      </w:pPr>
      <w:rPr>
        <w:rFonts w:ascii="Wingdings" w:hAnsi="Wingdings" w:hint="default"/>
      </w:rPr>
    </w:lvl>
    <w:lvl w:ilvl="3" w:tplc="040C0001" w:tentative="1">
      <w:start w:val="1"/>
      <w:numFmt w:val="bullet"/>
      <w:lvlText w:val=""/>
      <w:lvlJc w:val="left"/>
      <w:pPr>
        <w:ind w:left="2836" w:hanging="360"/>
      </w:pPr>
      <w:rPr>
        <w:rFonts w:ascii="Symbol" w:hAnsi="Symbol" w:hint="default"/>
      </w:rPr>
    </w:lvl>
    <w:lvl w:ilvl="4" w:tplc="040C0003" w:tentative="1">
      <w:start w:val="1"/>
      <w:numFmt w:val="bullet"/>
      <w:lvlText w:val="o"/>
      <w:lvlJc w:val="left"/>
      <w:pPr>
        <w:ind w:left="3556" w:hanging="360"/>
      </w:pPr>
      <w:rPr>
        <w:rFonts w:ascii="Courier New" w:hAnsi="Courier New" w:cs="Courier New" w:hint="default"/>
      </w:rPr>
    </w:lvl>
    <w:lvl w:ilvl="5" w:tplc="040C0005" w:tentative="1">
      <w:start w:val="1"/>
      <w:numFmt w:val="bullet"/>
      <w:lvlText w:val=""/>
      <w:lvlJc w:val="left"/>
      <w:pPr>
        <w:ind w:left="4276" w:hanging="360"/>
      </w:pPr>
      <w:rPr>
        <w:rFonts w:ascii="Wingdings" w:hAnsi="Wingdings" w:hint="default"/>
      </w:rPr>
    </w:lvl>
    <w:lvl w:ilvl="6" w:tplc="040C0001" w:tentative="1">
      <w:start w:val="1"/>
      <w:numFmt w:val="bullet"/>
      <w:lvlText w:val=""/>
      <w:lvlJc w:val="left"/>
      <w:pPr>
        <w:ind w:left="4996" w:hanging="360"/>
      </w:pPr>
      <w:rPr>
        <w:rFonts w:ascii="Symbol" w:hAnsi="Symbol" w:hint="default"/>
      </w:rPr>
    </w:lvl>
    <w:lvl w:ilvl="7" w:tplc="040C0003" w:tentative="1">
      <w:start w:val="1"/>
      <w:numFmt w:val="bullet"/>
      <w:lvlText w:val="o"/>
      <w:lvlJc w:val="left"/>
      <w:pPr>
        <w:ind w:left="5716" w:hanging="360"/>
      </w:pPr>
      <w:rPr>
        <w:rFonts w:ascii="Courier New" w:hAnsi="Courier New" w:cs="Courier New" w:hint="default"/>
      </w:rPr>
    </w:lvl>
    <w:lvl w:ilvl="8" w:tplc="040C0005" w:tentative="1">
      <w:start w:val="1"/>
      <w:numFmt w:val="bullet"/>
      <w:lvlText w:val=""/>
      <w:lvlJc w:val="left"/>
      <w:pPr>
        <w:ind w:left="6436" w:hanging="360"/>
      </w:pPr>
      <w:rPr>
        <w:rFonts w:ascii="Wingdings" w:hAnsi="Wingdings" w:hint="default"/>
      </w:rPr>
    </w:lvl>
  </w:abstractNum>
  <w:abstractNum w:abstractNumId="31" w15:restartNumberingAfterBreak="0">
    <w:nsid w:val="4F857303"/>
    <w:multiLevelType w:val="hybridMultilevel"/>
    <w:tmpl w:val="F6801EA4"/>
    <w:lvl w:ilvl="0" w:tplc="0B3A0C70">
      <w:start w:val="498"/>
      <w:numFmt w:val="bullet"/>
      <w:lvlText w:val="-"/>
      <w:lvlJc w:val="left"/>
      <w:pPr>
        <w:ind w:left="1776"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DB58EA"/>
    <w:multiLevelType w:val="hybridMultilevel"/>
    <w:tmpl w:val="3CFE4B2A"/>
    <w:lvl w:ilvl="0" w:tplc="F398A7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087871"/>
    <w:multiLevelType w:val="multilevel"/>
    <w:tmpl w:val="A5BC906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09E0A17"/>
    <w:multiLevelType w:val="hybridMultilevel"/>
    <w:tmpl w:val="6D14FB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A65301"/>
    <w:multiLevelType w:val="hybridMultilevel"/>
    <w:tmpl w:val="93FEF95C"/>
    <w:lvl w:ilvl="0" w:tplc="CB8A10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1556F"/>
    <w:multiLevelType w:val="hybridMultilevel"/>
    <w:tmpl w:val="743A65A4"/>
    <w:lvl w:ilvl="0" w:tplc="70F614C0">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7" w15:restartNumberingAfterBreak="0">
    <w:nsid w:val="6BD212D6"/>
    <w:multiLevelType w:val="multilevel"/>
    <w:tmpl w:val="64DCA210"/>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8" w15:restartNumberingAfterBreak="0">
    <w:nsid w:val="6C4D1683"/>
    <w:multiLevelType w:val="hybridMultilevel"/>
    <w:tmpl w:val="BD1EB18E"/>
    <w:lvl w:ilvl="0" w:tplc="3FEEE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51BFD"/>
    <w:multiLevelType w:val="hybridMultilevel"/>
    <w:tmpl w:val="D84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F48"/>
    <w:multiLevelType w:val="hybridMultilevel"/>
    <w:tmpl w:val="7FCE9426"/>
    <w:lvl w:ilvl="0" w:tplc="A9082A0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104EDB"/>
    <w:multiLevelType w:val="hybridMultilevel"/>
    <w:tmpl w:val="E90277EA"/>
    <w:lvl w:ilvl="0" w:tplc="274CF3DC">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622369"/>
    <w:multiLevelType w:val="hybridMultilevel"/>
    <w:tmpl w:val="3AAA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41EED"/>
    <w:multiLevelType w:val="hybridMultilevel"/>
    <w:tmpl w:val="5A563106"/>
    <w:lvl w:ilvl="0" w:tplc="0C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B066F4"/>
    <w:multiLevelType w:val="hybridMultilevel"/>
    <w:tmpl w:val="0876DC10"/>
    <w:lvl w:ilvl="0" w:tplc="3FEEE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7F5068"/>
    <w:multiLevelType w:val="hybridMultilevel"/>
    <w:tmpl w:val="D3342B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46743"/>
    <w:multiLevelType w:val="multilevel"/>
    <w:tmpl w:val="B22609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45"/>
  </w:num>
  <w:num w:numId="3">
    <w:abstractNumId w:val="32"/>
  </w:num>
  <w:num w:numId="4">
    <w:abstractNumId w:val="37"/>
  </w:num>
  <w:num w:numId="5">
    <w:abstractNumId w:val="41"/>
  </w:num>
  <w:num w:numId="6">
    <w:abstractNumId w:val="26"/>
  </w:num>
  <w:num w:numId="7">
    <w:abstractNumId w:val="2"/>
  </w:num>
  <w:num w:numId="8">
    <w:abstractNumId w:val="33"/>
  </w:num>
  <w:num w:numId="9">
    <w:abstractNumId w:val="43"/>
  </w:num>
  <w:num w:numId="10">
    <w:abstractNumId w:val="10"/>
  </w:num>
  <w:num w:numId="11">
    <w:abstractNumId w:val="36"/>
  </w:num>
  <w:num w:numId="12">
    <w:abstractNumId w:val="24"/>
  </w:num>
  <w:num w:numId="13">
    <w:abstractNumId w:val="30"/>
  </w:num>
  <w:num w:numId="14">
    <w:abstractNumId w:val="4"/>
  </w:num>
  <w:num w:numId="15">
    <w:abstractNumId w:val="39"/>
  </w:num>
  <w:num w:numId="16">
    <w:abstractNumId w:val="22"/>
  </w:num>
  <w:num w:numId="17">
    <w:abstractNumId w:val="34"/>
  </w:num>
  <w:num w:numId="18">
    <w:abstractNumId w:val="11"/>
  </w:num>
  <w:num w:numId="19">
    <w:abstractNumId w:val="1"/>
  </w:num>
  <w:num w:numId="20">
    <w:abstractNumId w:val="44"/>
  </w:num>
  <w:num w:numId="21">
    <w:abstractNumId w:val="8"/>
  </w:num>
  <w:num w:numId="22">
    <w:abstractNumId w:val="38"/>
  </w:num>
  <w:num w:numId="23">
    <w:abstractNumId w:val="12"/>
  </w:num>
  <w:num w:numId="24">
    <w:abstractNumId w:val="31"/>
  </w:num>
  <w:num w:numId="25">
    <w:abstractNumId w:val="9"/>
  </w:num>
  <w:num w:numId="26">
    <w:abstractNumId w:val="40"/>
  </w:num>
  <w:num w:numId="27">
    <w:abstractNumId w:val="27"/>
  </w:num>
  <w:num w:numId="28">
    <w:abstractNumId w:val="6"/>
  </w:num>
  <w:num w:numId="29">
    <w:abstractNumId w:val="19"/>
  </w:num>
  <w:num w:numId="30">
    <w:abstractNumId w:val="25"/>
  </w:num>
  <w:num w:numId="31">
    <w:abstractNumId w:val="20"/>
  </w:num>
  <w:num w:numId="32">
    <w:abstractNumId w:val="15"/>
  </w:num>
  <w:num w:numId="33">
    <w:abstractNumId w:val="7"/>
  </w:num>
  <w:num w:numId="34">
    <w:abstractNumId w:val="35"/>
  </w:num>
  <w:num w:numId="35">
    <w:abstractNumId w:val="13"/>
  </w:num>
  <w:num w:numId="36">
    <w:abstractNumId w:val="42"/>
  </w:num>
  <w:num w:numId="37">
    <w:abstractNumId w:val="23"/>
  </w:num>
  <w:num w:numId="38">
    <w:abstractNumId w:val="29"/>
  </w:num>
  <w:num w:numId="39">
    <w:abstractNumId w:val="14"/>
  </w:num>
  <w:num w:numId="40">
    <w:abstractNumId w:val="17"/>
  </w:num>
  <w:num w:numId="41">
    <w:abstractNumId w:val="46"/>
  </w:num>
  <w:num w:numId="42">
    <w:abstractNumId w:val="0"/>
  </w:num>
  <w:num w:numId="43">
    <w:abstractNumId w:val="3"/>
  </w:num>
  <w:num w:numId="44">
    <w:abstractNumId w:val="28"/>
  </w:num>
  <w:num w:numId="45">
    <w:abstractNumId w:val="16"/>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8A"/>
    <w:rsid w:val="00001E23"/>
    <w:rsid w:val="00004163"/>
    <w:rsid w:val="00007B8E"/>
    <w:rsid w:val="00010FF9"/>
    <w:rsid w:val="000173AA"/>
    <w:rsid w:val="000227B4"/>
    <w:rsid w:val="00026487"/>
    <w:rsid w:val="00041FB4"/>
    <w:rsid w:val="00042103"/>
    <w:rsid w:val="00042316"/>
    <w:rsid w:val="0004496C"/>
    <w:rsid w:val="00045B27"/>
    <w:rsid w:val="00046812"/>
    <w:rsid w:val="00065D4F"/>
    <w:rsid w:val="000704E6"/>
    <w:rsid w:val="000803DE"/>
    <w:rsid w:val="00080922"/>
    <w:rsid w:val="0009594D"/>
    <w:rsid w:val="00097B38"/>
    <w:rsid w:val="000A1DA4"/>
    <w:rsid w:val="000A4552"/>
    <w:rsid w:val="000A4974"/>
    <w:rsid w:val="000B248D"/>
    <w:rsid w:val="000C5A0B"/>
    <w:rsid w:val="000C68B4"/>
    <w:rsid w:val="000D17B8"/>
    <w:rsid w:val="000D43EA"/>
    <w:rsid w:val="000D5435"/>
    <w:rsid w:val="000D79B4"/>
    <w:rsid w:val="000E0F4A"/>
    <w:rsid w:val="000E4C94"/>
    <w:rsid w:val="000E68AA"/>
    <w:rsid w:val="000E77E4"/>
    <w:rsid w:val="000F414B"/>
    <w:rsid w:val="00107834"/>
    <w:rsid w:val="00113DF9"/>
    <w:rsid w:val="0012261E"/>
    <w:rsid w:val="00124131"/>
    <w:rsid w:val="00125E8B"/>
    <w:rsid w:val="001335B9"/>
    <w:rsid w:val="0013411A"/>
    <w:rsid w:val="00147DA6"/>
    <w:rsid w:val="00151C1C"/>
    <w:rsid w:val="00160D8B"/>
    <w:rsid w:val="00167CC2"/>
    <w:rsid w:val="00171D10"/>
    <w:rsid w:val="001761FE"/>
    <w:rsid w:val="001813E5"/>
    <w:rsid w:val="001932C8"/>
    <w:rsid w:val="0019376D"/>
    <w:rsid w:val="001950BE"/>
    <w:rsid w:val="00195A3E"/>
    <w:rsid w:val="001B4839"/>
    <w:rsid w:val="001C06E5"/>
    <w:rsid w:val="001C0993"/>
    <w:rsid w:val="001C39EE"/>
    <w:rsid w:val="001C404A"/>
    <w:rsid w:val="001C4522"/>
    <w:rsid w:val="001C6131"/>
    <w:rsid w:val="001F372C"/>
    <w:rsid w:val="0020133D"/>
    <w:rsid w:val="00202891"/>
    <w:rsid w:val="002053FE"/>
    <w:rsid w:val="00206F19"/>
    <w:rsid w:val="00207DE6"/>
    <w:rsid w:val="00210507"/>
    <w:rsid w:val="0021723B"/>
    <w:rsid w:val="00217641"/>
    <w:rsid w:val="00220B31"/>
    <w:rsid w:val="0022209F"/>
    <w:rsid w:val="0022522F"/>
    <w:rsid w:val="0023485A"/>
    <w:rsid w:val="00244CF9"/>
    <w:rsid w:val="00246D9E"/>
    <w:rsid w:val="002541DF"/>
    <w:rsid w:val="00260DE3"/>
    <w:rsid w:val="0026614E"/>
    <w:rsid w:val="0027061B"/>
    <w:rsid w:val="00270D96"/>
    <w:rsid w:val="002760F7"/>
    <w:rsid w:val="00277FBD"/>
    <w:rsid w:val="00283F3F"/>
    <w:rsid w:val="00284BF5"/>
    <w:rsid w:val="002948BA"/>
    <w:rsid w:val="002A064E"/>
    <w:rsid w:val="002A1E77"/>
    <w:rsid w:val="002A2CD0"/>
    <w:rsid w:val="002A53AA"/>
    <w:rsid w:val="002B67DA"/>
    <w:rsid w:val="002C24E8"/>
    <w:rsid w:val="002C5868"/>
    <w:rsid w:val="002C6EC5"/>
    <w:rsid w:val="002D17E2"/>
    <w:rsid w:val="002D6BDA"/>
    <w:rsid w:val="00303006"/>
    <w:rsid w:val="00311051"/>
    <w:rsid w:val="00321A30"/>
    <w:rsid w:val="00326F71"/>
    <w:rsid w:val="003271DF"/>
    <w:rsid w:val="00331483"/>
    <w:rsid w:val="00336E17"/>
    <w:rsid w:val="00347247"/>
    <w:rsid w:val="00354D10"/>
    <w:rsid w:val="0036488B"/>
    <w:rsid w:val="003665D4"/>
    <w:rsid w:val="003746A3"/>
    <w:rsid w:val="00376CD3"/>
    <w:rsid w:val="00381FEB"/>
    <w:rsid w:val="003854F5"/>
    <w:rsid w:val="00390D85"/>
    <w:rsid w:val="003A35CB"/>
    <w:rsid w:val="003B6BAE"/>
    <w:rsid w:val="003F611B"/>
    <w:rsid w:val="00404BE9"/>
    <w:rsid w:val="00421578"/>
    <w:rsid w:val="00424279"/>
    <w:rsid w:val="0042573E"/>
    <w:rsid w:val="00426FC3"/>
    <w:rsid w:val="00430121"/>
    <w:rsid w:val="00430F70"/>
    <w:rsid w:val="00437E41"/>
    <w:rsid w:val="00441835"/>
    <w:rsid w:val="00443FA2"/>
    <w:rsid w:val="0044657B"/>
    <w:rsid w:val="004507C4"/>
    <w:rsid w:val="00471C4F"/>
    <w:rsid w:val="00474322"/>
    <w:rsid w:val="00481B4A"/>
    <w:rsid w:val="0048483D"/>
    <w:rsid w:val="00492340"/>
    <w:rsid w:val="0049293E"/>
    <w:rsid w:val="00493EE9"/>
    <w:rsid w:val="004957C3"/>
    <w:rsid w:val="004A250F"/>
    <w:rsid w:val="004A5CA7"/>
    <w:rsid w:val="004A71F0"/>
    <w:rsid w:val="004B562D"/>
    <w:rsid w:val="004C1F03"/>
    <w:rsid w:val="004C2C66"/>
    <w:rsid w:val="004C5677"/>
    <w:rsid w:val="004C6A96"/>
    <w:rsid w:val="004D2463"/>
    <w:rsid w:val="004D346A"/>
    <w:rsid w:val="004E11CF"/>
    <w:rsid w:val="004E5D2A"/>
    <w:rsid w:val="004F010A"/>
    <w:rsid w:val="004F1E69"/>
    <w:rsid w:val="004F3736"/>
    <w:rsid w:val="00501D3E"/>
    <w:rsid w:val="00506CDD"/>
    <w:rsid w:val="005202FE"/>
    <w:rsid w:val="00523E9E"/>
    <w:rsid w:val="00526088"/>
    <w:rsid w:val="00527F86"/>
    <w:rsid w:val="005413CE"/>
    <w:rsid w:val="00545947"/>
    <w:rsid w:val="00547192"/>
    <w:rsid w:val="0055138B"/>
    <w:rsid w:val="0055579D"/>
    <w:rsid w:val="0056434D"/>
    <w:rsid w:val="00572DDD"/>
    <w:rsid w:val="0057424D"/>
    <w:rsid w:val="00575348"/>
    <w:rsid w:val="00580B39"/>
    <w:rsid w:val="00585EDA"/>
    <w:rsid w:val="005A2A48"/>
    <w:rsid w:val="005A3E78"/>
    <w:rsid w:val="005B4BAF"/>
    <w:rsid w:val="005D257B"/>
    <w:rsid w:val="005D71FB"/>
    <w:rsid w:val="005E5BB2"/>
    <w:rsid w:val="005E71FF"/>
    <w:rsid w:val="005F58CC"/>
    <w:rsid w:val="005F5E65"/>
    <w:rsid w:val="005F75D8"/>
    <w:rsid w:val="00611D7C"/>
    <w:rsid w:val="00614268"/>
    <w:rsid w:val="006278CE"/>
    <w:rsid w:val="00633F8D"/>
    <w:rsid w:val="00641EB8"/>
    <w:rsid w:val="0064265B"/>
    <w:rsid w:val="00652961"/>
    <w:rsid w:val="00657BE3"/>
    <w:rsid w:val="00672D45"/>
    <w:rsid w:val="00682AAD"/>
    <w:rsid w:val="00683374"/>
    <w:rsid w:val="00686AF0"/>
    <w:rsid w:val="006908E8"/>
    <w:rsid w:val="00693D41"/>
    <w:rsid w:val="00694056"/>
    <w:rsid w:val="006A0234"/>
    <w:rsid w:val="006B27BC"/>
    <w:rsid w:val="006B2DDC"/>
    <w:rsid w:val="006B3846"/>
    <w:rsid w:val="006C2E17"/>
    <w:rsid w:val="006C4237"/>
    <w:rsid w:val="006D3C1B"/>
    <w:rsid w:val="006E0DE8"/>
    <w:rsid w:val="006F08C2"/>
    <w:rsid w:val="006F09A5"/>
    <w:rsid w:val="006F6550"/>
    <w:rsid w:val="006F7F7D"/>
    <w:rsid w:val="00700E57"/>
    <w:rsid w:val="007053E3"/>
    <w:rsid w:val="00712E43"/>
    <w:rsid w:val="00715DEB"/>
    <w:rsid w:val="007234FD"/>
    <w:rsid w:val="00727E01"/>
    <w:rsid w:val="007324A9"/>
    <w:rsid w:val="00733A15"/>
    <w:rsid w:val="00742959"/>
    <w:rsid w:val="00744B0C"/>
    <w:rsid w:val="00745361"/>
    <w:rsid w:val="007466A5"/>
    <w:rsid w:val="00753CA2"/>
    <w:rsid w:val="007570C6"/>
    <w:rsid w:val="00760366"/>
    <w:rsid w:val="00770772"/>
    <w:rsid w:val="007840E6"/>
    <w:rsid w:val="00784554"/>
    <w:rsid w:val="007851CD"/>
    <w:rsid w:val="007C574B"/>
    <w:rsid w:val="007E1709"/>
    <w:rsid w:val="007E1C25"/>
    <w:rsid w:val="007E2C3E"/>
    <w:rsid w:val="007E3704"/>
    <w:rsid w:val="007E746F"/>
    <w:rsid w:val="007F117B"/>
    <w:rsid w:val="00807493"/>
    <w:rsid w:val="00811570"/>
    <w:rsid w:val="00813B99"/>
    <w:rsid w:val="00821DDD"/>
    <w:rsid w:val="00824A7A"/>
    <w:rsid w:val="008250B8"/>
    <w:rsid w:val="00827B95"/>
    <w:rsid w:val="008324FD"/>
    <w:rsid w:val="0083572E"/>
    <w:rsid w:val="00835C11"/>
    <w:rsid w:val="0084294E"/>
    <w:rsid w:val="00842C89"/>
    <w:rsid w:val="00843A92"/>
    <w:rsid w:val="00845111"/>
    <w:rsid w:val="0084788E"/>
    <w:rsid w:val="00850FA5"/>
    <w:rsid w:val="00852212"/>
    <w:rsid w:val="00855C3C"/>
    <w:rsid w:val="00856FDB"/>
    <w:rsid w:val="008607FB"/>
    <w:rsid w:val="0086271F"/>
    <w:rsid w:val="00866594"/>
    <w:rsid w:val="00867577"/>
    <w:rsid w:val="0087539A"/>
    <w:rsid w:val="008760EC"/>
    <w:rsid w:val="0088371D"/>
    <w:rsid w:val="00887DD4"/>
    <w:rsid w:val="0089227C"/>
    <w:rsid w:val="00893016"/>
    <w:rsid w:val="00895A64"/>
    <w:rsid w:val="008B29B4"/>
    <w:rsid w:val="008B3F0A"/>
    <w:rsid w:val="008B5C60"/>
    <w:rsid w:val="008C0DAB"/>
    <w:rsid w:val="008C3EDD"/>
    <w:rsid w:val="008D31E3"/>
    <w:rsid w:val="008D48B9"/>
    <w:rsid w:val="008D61A9"/>
    <w:rsid w:val="008E08AE"/>
    <w:rsid w:val="008F0B38"/>
    <w:rsid w:val="008F45A4"/>
    <w:rsid w:val="00900412"/>
    <w:rsid w:val="00905576"/>
    <w:rsid w:val="0091215B"/>
    <w:rsid w:val="00912448"/>
    <w:rsid w:val="00914C50"/>
    <w:rsid w:val="00915D69"/>
    <w:rsid w:val="00916F9B"/>
    <w:rsid w:val="0092008C"/>
    <w:rsid w:val="00930C71"/>
    <w:rsid w:val="00933CEC"/>
    <w:rsid w:val="00934101"/>
    <w:rsid w:val="0093477C"/>
    <w:rsid w:val="009357FC"/>
    <w:rsid w:val="0094036A"/>
    <w:rsid w:val="00946DA5"/>
    <w:rsid w:val="009474E6"/>
    <w:rsid w:val="00953186"/>
    <w:rsid w:val="00956EF2"/>
    <w:rsid w:val="0097640E"/>
    <w:rsid w:val="00977662"/>
    <w:rsid w:val="00983030"/>
    <w:rsid w:val="00983F22"/>
    <w:rsid w:val="00985DF4"/>
    <w:rsid w:val="00987439"/>
    <w:rsid w:val="00992800"/>
    <w:rsid w:val="00994DA8"/>
    <w:rsid w:val="009952CB"/>
    <w:rsid w:val="00995B30"/>
    <w:rsid w:val="009C57C3"/>
    <w:rsid w:val="009D1661"/>
    <w:rsid w:val="009E1007"/>
    <w:rsid w:val="009E22EA"/>
    <w:rsid w:val="009E641C"/>
    <w:rsid w:val="009E7E20"/>
    <w:rsid w:val="009F0354"/>
    <w:rsid w:val="009F0702"/>
    <w:rsid w:val="00A01EF3"/>
    <w:rsid w:val="00A134C3"/>
    <w:rsid w:val="00A13B82"/>
    <w:rsid w:val="00A16838"/>
    <w:rsid w:val="00A21152"/>
    <w:rsid w:val="00A23D1B"/>
    <w:rsid w:val="00A3113E"/>
    <w:rsid w:val="00A328A0"/>
    <w:rsid w:val="00A406A2"/>
    <w:rsid w:val="00A45512"/>
    <w:rsid w:val="00A46449"/>
    <w:rsid w:val="00A46919"/>
    <w:rsid w:val="00A54759"/>
    <w:rsid w:val="00A601EE"/>
    <w:rsid w:val="00A6308D"/>
    <w:rsid w:val="00A633D8"/>
    <w:rsid w:val="00A65DB6"/>
    <w:rsid w:val="00A92070"/>
    <w:rsid w:val="00A94868"/>
    <w:rsid w:val="00AA3F14"/>
    <w:rsid w:val="00AA4BC0"/>
    <w:rsid w:val="00AD19E0"/>
    <w:rsid w:val="00AD5747"/>
    <w:rsid w:val="00AF0379"/>
    <w:rsid w:val="00AF722B"/>
    <w:rsid w:val="00B00A9F"/>
    <w:rsid w:val="00B01430"/>
    <w:rsid w:val="00B40B7A"/>
    <w:rsid w:val="00B41E1F"/>
    <w:rsid w:val="00B475CF"/>
    <w:rsid w:val="00B51B97"/>
    <w:rsid w:val="00B67E7D"/>
    <w:rsid w:val="00B7025F"/>
    <w:rsid w:val="00B775E4"/>
    <w:rsid w:val="00B82FE3"/>
    <w:rsid w:val="00B920A2"/>
    <w:rsid w:val="00BA0DFC"/>
    <w:rsid w:val="00BB2709"/>
    <w:rsid w:val="00BB5EBC"/>
    <w:rsid w:val="00BC2CBE"/>
    <w:rsid w:val="00BC2E4E"/>
    <w:rsid w:val="00BD48C8"/>
    <w:rsid w:val="00BE19C5"/>
    <w:rsid w:val="00BE3CA1"/>
    <w:rsid w:val="00C002A3"/>
    <w:rsid w:val="00C030FC"/>
    <w:rsid w:val="00C031FC"/>
    <w:rsid w:val="00C03D37"/>
    <w:rsid w:val="00C04B02"/>
    <w:rsid w:val="00C07D8A"/>
    <w:rsid w:val="00C10C10"/>
    <w:rsid w:val="00C1258A"/>
    <w:rsid w:val="00C13D15"/>
    <w:rsid w:val="00C1782B"/>
    <w:rsid w:val="00C23AFB"/>
    <w:rsid w:val="00C31120"/>
    <w:rsid w:val="00C40445"/>
    <w:rsid w:val="00C46ADF"/>
    <w:rsid w:val="00C51600"/>
    <w:rsid w:val="00C76B4C"/>
    <w:rsid w:val="00C82DD1"/>
    <w:rsid w:val="00C87D4F"/>
    <w:rsid w:val="00C906FC"/>
    <w:rsid w:val="00C95E40"/>
    <w:rsid w:val="00C96CFB"/>
    <w:rsid w:val="00CA6036"/>
    <w:rsid w:val="00CA73CD"/>
    <w:rsid w:val="00CB197B"/>
    <w:rsid w:val="00CC36CD"/>
    <w:rsid w:val="00CC556F"/>
    <w:rsid w:val="00CC7ADF"/>
    <w:rsid w:val="00CD041D"/>
    <w:rsid w:val="00D067E2"/>
    <w:rsid w:val="00D10A27"/>
    <w:rsid w:val="00D153BA"/>
    <w:rsid w:val="00D20842"/>
    <w:rsid w:val="00D22720"/>
    <w:rsid w:val="00D2554A"/>
    <w:rsid w:val="00D26431"/>
    <w:rsid w:val="00D27482"/>
    <w:rsid w:val="00D316A0"/>
    <w:rsid w:val="00D324E7"/>
    <w:rsid w:val="00D51D3D"/>
    <w:rsid w:val="00D57747"/>
    <w:rsid w:val="00D62274"/>
    <w:rsid w:val="00D6442B"/>
    <w:rsid w:val="00D64758"/>
    <w:rsid w:val="00D65A1E"/>
    <w:rsid w:val="00D65BDA"/>
    <w:rsid w:val="00D65DCA"/>
    <w:rsid w:val="00D75273"/>
    <w:rsid w:val="00D77746"/>
    <w:rsid w:val="00D777B0"/>
    <w:rsid w:val="00D8603C"/>
    <w:rsid w:val="00D90200"/>
    <w:rsid w:val="00DA0516"/>
    <w:rsid w:val="00DA1945"/>
    <w:rsid w:val="00DA5575"/>
    <w:rsid w:val="00DA7E8B"/>
    <w:rsid w:val="00DC3CDE"/>
    <w:rsid w:val="00DC55DF"/>
    <w:rsid w:val="00DD3862"/>
    <w:rsid w:val="00DE3580"/>
    <w:rsid w:val="00DE5871"/>
    <w:rsid w:val="00DF0614"/>
    <w:rsid w:val="00DF5129"/>
    <w:rsid w:val="00DF5F06"/>
    <w:rsid w:val="00E01350"/>
    <w:rsid w:val="00E0421B"/>
    <w:rsid w:val="00E05A4C"/>
    <w:rsid w:val="00E10159"/>
    <w:rsid w:val="00E15E65"/>
    <w:rsid w:val="00E2434B"/>
    <w:rsid w:val="00E25DB4"/>
    <w:rsid w:val="00E30CB9"/>
    <w:rsid w:val="00E32BC7"/>
    <w:rsid w:val="00E5554E"/>
    <w:rsid w:val="00E57919"/>
    <w:rsid w:val="00E64DF4"/>
    <w:rsid w:val="00E6541D"/>
    <w:rsid w:val="00E73F76"/>
    <w:rsid w:val="00E95A42"/>
    <w:rsid w:val="00EA1A4D"/>
    <w:rsid w:val="00EA57FE"/>
    <w:rsid w:val="00EB10A6"/>
    <w:rsid w:val="00EB30A7"/>
    <w:rsid w:val="00EB6444"/>
    <w:rsid w:val="00EC25FB"/>
    <w:rsid w:val="00EC285A"/>
    <w:rsid w:val="00ED0FF6"/>
    <w:rsid w:val="00EE612A"/>
    <w:rsid w:val="00EF5DF7"/>
    <w:rsid w:val="00EF6775"/>
    <w:rsid w:val="00F03528"/>
    <w:rsid w:val="00F122F7"/>
    <w:rsid w:val="00F16850"/>
    <w:rsid w:val="00F24172"/>
    <w:rsid w:val="00F30916"/>
    <w:rsid w:val="00F40ED4"/>
    <w:rsid w:val="00F44B84"/>
    <w:rsid w:val="00F47E1F"/>
    <w:rsid w:val="00F56F61"/>
    <w:rsid w:val="00F65103"/>
    <w:rsid w:val="00F66D94"/>
    <w:rsid w:val="00F67700"/>
    <w:rsid w:val="00F77F0B"/>
    <w:rsid w:val="00F82374"/>
    <w:rsid w:val="00FA60CD"/>
    <w:rsid w:val="00FB1A71"/>
    <w:rsid w:val="00FC01B4"/>
    <w:rsid w:val="00FC1E2B"/>
    <w:rsid w:val="00FC24D5"/>
    <w:rsid w:val="00FC4C74"/>
    <w:rsid w:val="00FD39A9"/>
    <w:rsid w:val="00FE481F"/>
    <w:rsid w:val="00FF09DB"/>
    <w:rsid w:val="00FF53CF"/>
    <w:rsid w:val="00FF6666"/>
    <w:rsid w:val="00FF7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23963"/>
  <w15:docId w15:val="{BF44141B-D046-A94E-B438-C0B6AC1D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4A"/>
  </w:style>
  <w:style w:type="paragraph" w:styleId="Heading1">
    <w:name w:val="heading 1"/>
    <w:basedOn w:val="Normal"/>
    <w:next w:val="Normal"/>
    <w:link w:val="Heading1Char"/>
    <w:uiPriority w:val="9"/>
    <w:qFormat/>
    <w:rsid w:val="00A46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4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02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07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umbered List Paragraph,Bullets,ReferencesCxSpLast,Bullet List,FooterText,Colorful List Accent 1,numbered,????,????1,Bulletr List Paragraph,List Paragraph21,Párrafo de lista1,Parágrafo da Lista1,?????1,Plan,Dot pt"/>
    <w:basedOn w:val="Normal"/>
    <w:link w:val="ListParagraphChar"/>
    <w:uiPriority w:val="34"/>
    <w:qFormat/>
    <w:rsid w:val="00124131"/>
    <w:pPr>
      <w:ind w:left="720"/>
      <w:contextualSpacing/>
    </w:pPr>
  </w:style>
  <w:style w:type="table" w:styleId="TableGrid">
    <w:name w:val="Table Grid"/>
    <w:basedOn w:val="TableNormal"/>
    <w:uiPriority w:val="39"/>
    <w:rsid w:val="000227B4"/>
    <w:pPr>
      <w:spacing w:after="0" w:line="240" w:lineRule="auto"/>
    </w:pPr>
    <w:rPr>
      <w:rFonts w:ascii="Cambria" w:eastAsia="Times New Roman"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69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E1007"/>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1007"/>
  </w:style>
  <w:style w:type="paragraph" w:styleId="Footer">
    <w:name w:val="footer"/>
    <w:basedOn w:val="Normal"/>
    <w:link w:val="FooterChar"/>
    <w:uiPriority w:val="99"/>
    <w:unhideWhenUsed/>
    <w:rsid w:val="009E100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1007"/>
  </w:style>
  <w:style w:type="paragraph" w:styleId="TOCHeading">
    <w:name w:val="TOC Heading"/>
    <w:basedOn w:val="Heading1"/>
    <w:next w:val="Normal"/>
    <w:uiPriority w:val="39"/>
    <w:unhideWhenUsed/>
    <w:qFormat/>
    <w:rsid w:val="004F3736"/>
    <w:pPr>
      <w:outlineLvl w:val="9"/>
    </w:pPr>
  </w:style>
  <w:style w:type="paragraph" w:styleId="TOC1">
    <w:name w:val="toc 1"/>
    <w:basedOn w:val="Normal"/>
    <w:next w:val="Normal"/>
    <w:autoRedefine/>
    <w:uiPriority w:val="39"/>
    <w:unhideWhenUsed/>
    <w:rsid w:val="007F117B"/>
    <w:pPr>
      <w:tabs>
        <w:tab w:val="right" w:leader="dot" w:pos="9062"/>
      </w:tabs>
      <w:spacing w:before="120" w:after="0" w:line="360" w:lineRule="auto"/>
    </w:pPr>
    <w:rPr>
      <w:rFonts w:ascii="Arial" w:hAnsi="Arial" w:cs="Arial"/>
      <w:b/>
      <w:bCs/>
      <w:noProof/>
      <w:sz w:val="24"/>
      <w:szCs w:val="24"/>
    </w:rPr>
  </w:style>
  <w:style w:type="paragraph" w:styleId="TOC2">
    <w:name w:val="toc 2"/>
    <w:basedOn w:val="Normal"/>
    <w:next w:val="Normal"/>
    <w:autoRedefine/>
    <w:uiPriority w:val="39"/>
    <w:unhideWhenUsed/>
    <w:rsid w:val="00742959"/>
    <w:pPr>
      <w:tabs>
        <w:tab w:val="right" w:leader="dot" w:pos="9062"/>
      </w:tabs>
      <w:spacing w:before="120" w:after="0" w:line="480" w:lineRule="auto"/>
      <w:ind w:left="220"/>
    </w:pPr>
    <w:rPr>
      <w:rFonts w:cstheme="minorHAnsi"/>
      <w:b/>
      <w:bCs/>
    </w:rPr>
  </w:style>
  <w:style w:type="character" w:styleId="Hyperlink">
    <w:name w:val="Hyperlink"/>
    <w:basedOn w:val="DefaultParagraphFont"/>
    <w:uiPriority w:val="99"/>
    <w:unhideWhenUsed/>
    <w:rsid w:val="004F3736"/>
    <w:rPr>
      <w:color w:val="0563C1" w:themeColor="hyperlink"/>
      <w:u w:val="single"/>
    </w:rPr>
  </w:style>
  <w:style w:type="paragraph" w:customStyle="1" w:styleId="StyleCorpsFranklinGothicBook105ptAvant6ptInterli">
    <w:name w:val="Style +Corps (Franklin Gothic Book) 105 pt Avant : 6 pt Interli..."/>
    <w:basedOn w:val="Normal"/>
    <w:rsid w:val="007234FD"/>
    <w:pPr>
      <w:spacing w:before="120" w:after="0" w:line="288" w:lineRule="auto"/>
    </w:pPr>
    <w:rPr>
      <w:rFonts w:ascii="Franklin Gothic Book" w:eastAsia="Times New Roman" w:hAnsi="Franklin Gothic Book" w:cs="Times New Roman"/>
      <w:sz w:val="21"/>
      <w:szCs w:val="20"/>
      <w:lang w:eastAsia="fr-FR"/>
    </w:rPr>
  </w:style>
  <w:style w:type="character" w:customStyle="1" w:styleId="Heading2Char">
    <w:name w:val="Heading 2 Char"/>
    <w:basedOn w:val="DefaultParagraphFont"/>
    <w:link w:val="Heading2"/>
    <w:uiPriority w:val="9"/>
    <w:rsid w:val="007234FD"/>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956EF2"/>
    <w:pPr>
      <w:spacing w:before="120" w:after="200" w:line="288" w:lineRule="auto"/>
    </w:pPr>
    <w:rPr>
      <w:i/>
      <w:iCs/>
      <w:color w:val="44546A" w:themeColor="text2"/>
      <w:sz w:val="18"/>
      <w:szCs w:val="18"/>
    </w:rPr>
  </w:style>
  <w:style w:type="character" w:styleId="CommentReference">
    <w:name w:val="annotation reference"/>
    <w:basedOn w:val="DefaultParagraphFont"/>
    <w:uiPriority w:val="99"/>
    <w:semiHidden/>
    <w:unhideWhenUsed/>
    <w:rsid w:val="00956EF2"/>
    <w:rPr>
      <w:sz w:val="16"/>
      <w:szCs w:val="16"/>
    </w:rPr>
  </w:style>
  <w:style w:type="paragraph" w:styleId="CommentText">
    <w:name w:val="annotation text"/>
    <w:basedOn w:val="Normal"/>
    <w:link w:val="CommentTextChar"/>
    <w:uiPriority w:val="99"/>
    <w:semiHidden/>
    <w:unhideWhenUsed/>
    <w:rsid w:val="00956EF2"/>
    <w:pPr>
      <w:spacing w:before="120" w:after="0" w:line="288" w:lineRule="auto"/>
    </w:pPr>
    <w:rPr>
      <w:color w:val="000000" w:themeColor="text1"/>
      <w:sz w:val="20"/>
      <w:szCs w:val="20"/>
    </w:rPr>
  </w:style>
  <w:style w:type="character" w:customStyle="1" w:styleId="CommentTextChar">
    <w:name w:val="Comment Text Char"/>
    <w:basedOn w:val="DefaultParagraphFont"/>
    <w:link w:val="CommentText"/>
    <w:uiPriority w:val="99"/>
    <w:semiHidden/>
    <w:rsid w:val="00956EF2"/>
    <w:rPr>
      <w:color w:val="000000" w:themeColor="text1"/>
      <w:sz w:val="20"/>
      <w:szCs w:val="20"/>
    </w:rPr>
  </w:style>
  <w:style w:type="table" w:customStyle="1" w:styleId="GridTable5Dark-Accent31">
    <w:name w:val="Grid Table 5 Dark - Accent 31"/>
    <w:basedOn w:val="TableNormal"/>
    <w:uiPriority w:val="50"/>
    <w:rsid w:val="00956EF2"/>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Grille5Fonc-Accentuation31">
    <w:name w:val="Tableau Grille 5 Foncé - Accentuation 31"/>
    <w:basedOn w:val="TableNormal"/>
    <w:next w:val="GridTable5Dark-Accent31"/>
    <w:uiPriority w:val="50"/>
    <w:rsid w:val="00A23D1B"/>
    <w:pPr>
      <w:spacing w:after="0" w:line="240" w:lineRule="auto"/>
    </w:pPr>
    <w:rPr>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5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1D0D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1D0D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1D0D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1D0DD"/>
      </w:tcPr>
    </w:tblStylePr>
    <w:tblStylePr w:type="band1Vert">
      <w:tblPr/>
      <w:tcPr>
        <w:shd w:val="clear" w:color="auto" w:fill="B9ECF1"/>
      </w:tcPr>
    </w:tblStylePr>
    <w:tblStylePr w:type="band1Horz">
      <w:tblPr/>
      <w:tcPr>
        <w:shd w:val="clear" w:color="auto" w:fill="B9ECF1"/>
      </w:tcPr>
    </w:tblStylePr>
  </w:style>
  <w:style w:type="table" w:customStyle="1" w:styleId="TableauGrille5Fonc-Accentuation311">
    <w:name w:val="Tableau Grille 5 Foncé - Accentuation 311"/>
    <w:basedOn w:val="TableNormal"/>
    <w:next w:val="GridTable5Dark-Accent31"/>
    <w:uiPriority w:val="50"/>
    <w:rsid w:val="00493EE9"/>
    <w:pPr>
      <w:spacing w:after="0" w:line="240" w:lineRule="auto"/>
    </w:pPr>
    <w:rPr>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5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1D0D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1D0D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1D0D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1D0DD"/>
      </w:tcPr>
    </w:tblStylePr>
    <w:tblStylePr w:type="band1Vert">
      <w:tblPr/>
      <w:tcPr>
        <w:shd w:val="clear" w:color="auto" w:fill="B9ECF1"/>
      </w:tcPr>
    </w:tblStylePr>
    <w:tblStylePr w:type="band1Horz">
      <w:tblPr/>
      <w:tcPr>
        <w:shd w:val="clear" w:color="auto" w:fill="B9ECF1"/>
      </w:tcPr>
    </w:tblStylePr>
  </w:style>
  <w:style w:type="paragraph" w:customStyle="1" w:styleId="SubtitleHere">
    <w:name w:val="SubtitleHere"/>
    <w:basedOn w:val="Normal"/>
    <w:autoRedefine/>
    <w:qFormat/>
    <w:rsid w:val="00953186"/>
    <w:pPr>
      <w:spacing w:before="120" w:after="0" w:line="216" w:lineRule="auto"/>
    </w:pPr>
    <w:rPr>
      <w:rFonts w:cs="Calibri"/>
      <w:bCs/>
      <w:color w:val="000000" w:themeColor="text1"/>
      <w:sz w:val="36"/>
      <w:szCs w:val="31"/>
    </w:rPr>
  </w:style>
  <w:style w:type="character" w:customStyle="1" w:styleId="Heading3Char">
    <w:name w:val="Heading 3 Char"/>
    <w:basedOn w:val="DefaultParagraphFont"/>
    <w:link w:val="Heading3"/>
    <w:uiPriority w:val="9"/>
    <w:rsid w:val="00D902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0772"/>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167CC2"/>
    <w:pPr>
      <w:spacing w:before="120" w:after="0" w:line="288" w:lineRule="auto"/>
    </w:pPr>
    <w:rPr>
      <w:rFonts w:ascii="Franklin Gothic Book" w:hAnsi="Franklin Gothic Book"/>
      <w:color w:val="000000" w:themeColor="text1"/>
      <w:sz w:val="20"/>
      <w:szCs w:val="20"/>
    </w:rPr>
  </w:style>
  <w:style w:type="character" w:customStyle="1" w:styleId="FootnoteTextChar">
    <w:name w:val="Footnote Text Char"/>
    <w:basedOn w:val="DefaultParagraphFont"/>
    <w:link w:val="FootnoteText"/>
    <w:uiPriority w:val="99"/>
    <w:semiHidden/>
    <w:rsid w:val="00167CC2"/>
    <w:rPr>
      <w:rFonts w:ascii="Franklin Gothic Book" w:hAnsi="Franklin Gothic Book"/>
      <w:color w:val="000000" w:themeColor="text1"/>
      <w:sz w:val="20"/>
      <w:szCs w:val="20"/>
    </w:rPr>
  </w:style>
  <w:style w:type="character" w:styleId="FootnoteReference">
    <w:name w:val="footnote reference"/>
    <w:aliases w:val="ftref,16 Point,Superscript 6 Point, Car Car Char Car Char Car Car Char Car Char Char, Car Car Car Car Car Car Car Car Char Car Car Char Car Car Car Char Car Char Char Char,Car Car Char Car Char Car Car Char Car Char Char,SUPERS"/>
    <w:basedOn w:val="DefaultParagraphFont"/>
    <w:uiPriority w:val="99"/>
    <w:unhideWhenUsed/>
    <w:qFormat/>
    <w:rsid w:val="00167CC2"/>
    <w:rPr>
      <w:vertAlign w:val="superscript"/>
    </w:rPr>
  </w:style>
  <w:style w:type="table" w:customStyle="1" w:styleId="GridTable4-Accent11">
    <w:name w:val="Grid Table 4 - Accent 11"/>
    <w:basedOn w:val="TableNormal"/>
    <w:uiPriority w:val="49"/>
    <w:rsid w:val="00167CC2"/>
    <w:pPr>
      <w:spacing w:after="0" w:line="240" w:lineRule="auto"/>
    </w:pPr>
    <w:rPr>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11">
    <w:name w:val="List Table 4 - Accent 11"/>
    <w:basedOn w:val="TableNormal"/>
    <w:uiPriority w:val="49"/>
    <w:rsid w:val="00167CC2"/>
    <w:pPr>
      <w:spacing w:after="0" w:line="240" w:lineRule="auto"/>
    </w:pPr>
    <w:rPr>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E10159"/>
    <w:pPr>
      <w:spacing w:after="0"/>
      <w:ind w:left="440"/>
    </w:pPr>
    <w:rPr>
      <w:rFonts w:cstheme="minorHAnsi"/>
      <w:sz w:val="20"/>
      <w:szCs w:val="20"/>
    </w:rPr>
  </w:style>
  <w:style w:type="paragraph" w:styleId="TOC4">
    <w:name w:val="toc 4"/>
    <w:basedOn w:val="Normal"/>
    <w:next w:val="Normal"/>
    <w:autoRedefine/>
    <w:uiPriority w:val="39"/>
    <w:unhideWhenUsed/>
    <w:rsid w:val="00E10159"/>
    <w:pPr>
      <w:spacing w:after="0"/>
      <w:ind w:left="660"/>
    </w:pPr>
    <w:rPr>
      <w:rFonts w:cstheme="minorHAnsi"/>
      <w:sz w:val="20"/>
      <w:szCs w:val="20"/>
    </w:rPr>
  </w:style>
  <w:style w:type="paragraph" w:styleId="TOC5">
    <w:name w:val="toc 5"/>
    <w:basedOn w:val="Normal"/>
    <w:next w:val="Normal"/>
    <w:autoRedefine/>
    <w:uiPriority w:val="39"/>
    <w:unhideWhenUsed/>
    <w:rsid w:val="00E10159"/>
    <w:pPr>
      <w:spacing w:after="0"/>
      <w:ind w:left="880"/>
    </w:pPr>
    <w:rPr>
      <w:rFonts w:cstheme="minorHAnsi"/>
      <w:sz w:val="20"/>
      <w:szCs w:val="20"/>
    </w:rPr>
  </w:style>
  <w:style w:type="paragraph" w:styleId="TOC6">
    <w:name w:val="toc 6"/>
    <w:basedOn w:val="Normal"/>
    <w:next w:val="Normal"/>
    <w:autoRedefine/>
    <w:uiPriority w:val="39"/>
    <w:unhideWhenUsed/>
    <w:rsid w:val="00E10159"/>
    <w:pPr>
      <w:spacing w:after="0"/>
      <w:ind w:left="1100"/>
    </w:pPr>
    <w:rPr>
      <w:rFonts w:cstheme="minorHAnsi"/>
      <w:sz w:val="20"/>
      <w:szCs w:val="20"/>
    </w:rPr>
  </w:style>
  <w:style w:type="paragraph" w:styleId="TOC7">
    <w:name w:val="toc 7"/>
    <w:basedOn w:val="Normal"/>
    <w:next w:val="Normal"/>
    <w:autoRedefine/>
    <w:uiPriority w:val="39"/>
    <w:unhideWhenUsed/>
    <w:rsid w:val="00E10159"/>
    <w:pPr>
      <w:spacing w:after="0"/>
      <w:ind w:left="1320"/>
    </w:pPr>
    <w:rPr>
      <w:rFonts w:cstheme="minorHAnsi"/>
      <w:sz w:val="20"/>
      <w:szCs w:val="20"/>
    </w:rPr>
  </w:style>
  <w:style w:type="paragraph" w:styleId="TOC8">
    <w:name w:val="toc 8"/>
    <w:basedOn w:val="Normal"/>
    <w:next w:val="Normal"/>
    <w:autoRedefine/>
    <w:uiPriority w:val="39"/>
    <w:unhideWhenUsed/>
    <w:rsid w:val="00E10159"/>
    <w:pPr>
      <w:spacing w:after="0"/>
      <w:ind w:left="1540"/>
    </w:pPr>
    <w:rPr>
      <w:rFonts w:cstheme="minorHAnsi"/>
      <w:sz w:val="20"/>
      <w:szCs w:val="20"/>
    </w:rPr>
  </w:style>
  <w:style w:type="paragraph" w:styleId="TOC9">
    <w:name w:val="toc 9"/>
    <w:basedOn w:val="Normal"/>
    <w:next w:val="Normal"/>
    <w:autoRedefine/>
    <w:uiPriority w:val="39"/>
    <w:unhideWhenUsed/>
    <w:rsid w:val="00E10159"/>
    <w:pPr>
      <w:spacing w:after="0"/>
      <w:ind w:left="1760"/>
    </w:pPr>
    <w:rPr>
      <w:rFonts w:cstheme="minorHAnsi"/>
      <w:sz w:val="20"/>
      <w:szCs w:val="20"/>
    </w:rPr>
  </w:style>
  <w:style w:type="paragraph" w:styleId="CommentSubject">
    <w:name w:val="annotation subject"/>
    <w:basedOn w:val="CommentText"/>
    <w:next w:val="CommentText"/>
    <w:link w:val="CommentSubjectChar"/>
    <w:uiPriority w:val="99"/>
    <w:semiHidden/>
    <w:unhideWhenUsed/>
    <w:rsid w:val="009474E6"/>
    <w:pPr>
      <w:spacing w:before="0" w:after="160" w:line="240" w:lineRule="auto"/>
    </w:pPr>
    <w:rPr>
      <w:b/>
      <w:bCs/>
      <w:color w:val="auto"/>
    </w:rPr>
  </w:style>
  <w:style w:type="character" w:customStyle="1" w:styleId="CommentSubjectChar">
    <w:name w:val="Comment Subject Char"/>
    <w:basedOn w:val="CommentTextChar"/>
    <w:link w:val="CommentSubject"/>
    <w:uiPriority w:val="99"/>
    <w:semiHidden/>
    <w:rsid w:val="009474E6"/>
    <w:rPr>
      <w:b/>
      <w:bCs/>
      <w:color w:val="000000" w:themeColor="text1"/>
      <w:sz w:val="20"/>
      <w:szCs w:val="20"/>
    </w:rPr>
  </w:style>
  <w:style w:type="paragraph" w:styleId="Revision">
    <w:name w:val="Revision"/>
    <w:hidden/>
    <w:uiPriority w:val="99"/>
    <w:semiHidden/>
    <w:rsid w:val="009474E6"/>
    <w:pPr>
      <w:spacing w:after="0" w:line="240" w:lineRule="auto"/>
    </w:pPr>
  </w:style>
  <w:style w:type="paragraph" w:styleId="BalloonText">
    <w:name w:val="Balloon Text"/>
    <w:basedOn w:val="Normal"/>
    <w:link w:val="BalloonTextChar"/>
    <w:uiPriority w:val="99"/>
    <w:semiHidden/>
    <w:unhideWhenUsed/>
    <w:rsid w:val="0094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E6"/>
    <w:rPr>
      <w:rFonts w:ascii="Segoe UI" w:hAnsi="Segoe UI" w:cs="Segoe UI"/>
      <w:sz w:val="18"/>
      <w:szCs w:val="18"/>
    </w:rPr>
  </w:style>
  <w:style w:type="character" w:customStyle="1" w:styleId="ListParagraphChar">
    <w:name w:val="List Paragraph Char"/>
    <w:aliases w:val="References Char,Numbered List Paragraph Char,Bullets Char,ReferencesCxSpLast Char,Bullet List Char,FooterText Char,Colorful List Accent 1 Char,numbered Char,???? Char,????1 Char,Bulletr List Paragraph Char,List Paragraph21 Char"/>
    <w:basedOn w:val="DefaultParagraphFont"/>
    <w:link w:val="ListParagraph"/>
    <w:uiPriority w:val="34"/>
    <w:locked/>
    <w:rsid w:val="00065D4F"/>
  </w:style>
  <w:style w:type="character" w:styleId="PageNumber">
    <w:name w:val="page number"/>
    <w:basedOn w:val="DefaultParagraphFont"/>
    <w:uiPriority w:val="99"/>
    <w:semiHidden/>
    <w:unhideWhenUsed/>
    <w:rsid w:val="00C03D37"/>
  </w:style>
  <w:style w:type="paragraph" w:styleId="EndnoteText">
    <w:name w:val="endnote text"/>
    <w:basedOn w:val="Normal"/>
    <w:link w:val="EndnoteTextChar"/>
    <w:uiPriority w:val="99"/>
    <w:semiHidden/>
    <w:unhideWhenUsed/>
    <w:rsid w:val="009C57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7C3"/>
    <w:rPr>
      <w:sz w:val="20"/>
      <w:szCs w:val="20"/>
    </w:rPr>
  </w:style>
  <w:style w:type="character" w:styleId="EndnoteReference">
    <w:name w:val="endnote reference"/>
    <w:basedOn w:val="DefaultParagraphFont"/>
    <w:uiPriority w:val="99"/>
    <w:semiHidden/>
    <w:unhideWhenUsed/>
    <w:rsid w:val="009C57C3"/>
    <w:rPr>
      <w:vertAlign w:val="superscript"/>
    </w:rPr>
  </w:style>
  <w:style w:type="character" w:styleId="Strong">
    <w:name w:val="Strong"/>
    <w:basedOn w:val="DefaultParagraphFont"/>
    <w:uiPriority w:val="22"/>
    <w:qFormat/>
    <w:rsid w:val="005F5E65"/>
    <w:rPr>
      <w:b/>
      <w:bCs/>
    </w:rPr>
  </w:style>
  <w:style w:type="paragraph" w:customStyle="1" w:styleId="gt-block">
    <w:name w:val="gt-block"/>
    <w:basedOn w:val="Normal"/>
    <w:rsid w:val="00A32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5475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ableofFigures">
    <w:name w:val="table of figures"/>
    <w:basedOn w:val="Normal"/>
    <w:next w:val="Normal"/>
    <w:uiPriority w:val="99"/>
    <w:unhideWhenUsed/>
    <w:rsid w:val="006B2D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847134544">
      <w:bodyDiv w:val="1"/>
      <w:marLeft w:val="0"/>
      <w:marRight w:val="0"/>
      <w:marTop w:val="0"/>
      <w:marBottom w:val="0"/>
      <w:divBdr>
        <w:top w:val="none" w:sz="0" w:space="0" w:color="auto"/>
        <w:left w:val="none" w:sz="0" w:space="0" w:color="auto"/>
        <w:bottom w:val="none" w:sz="0" w:space="0" w:color="auto"/>
        <w:right w:val="none" w:sz="0" w:space="0" w:color="auto"/>
      </w:divBdr>
    </w:div>
    <w:div w:id="1063601538">
      <w:bodyDiv w:val="1"/>
      <w:marLeft w:val="0"/>
      <w:marRight w:val="0"/>
      <w:marTop w:val="0"/>
      <w:marBottom w:val="0"/>
      <w:divBdr>
        <w:top w:val="none" w:sz="0" w:space="0" w:color="auto"/>
        <w:left w:val="none" w:sz="0" w:space="0" w:color="auto"/>
        <w:bottom w:val="none" w:sz="0" w:space="0" w:color="auto"/>
        <w:right w:val="none" w:sz="0" w:space="0" w:color="auto"/>
      </w:divBdr>
    </w:div>
    <w:div w:id="1282229336">
      <w:bodyDiv w:val="1"/>
      <w:marLeft w:val="0"/>
      <w:marRight w:val="0"/>
      <w:marTop w:val="0"/>
      <w:marBottom w:val="0"/>
      <w:divBdr>
        <w:top w:val="none" w:sz="0" w:space="0" w:color="auto"/>
        <w:left w:val="none" w:sz="0" w:space="0" w:color="auto"/>
        <w:bottom w:val="none" w:sz="0" w:space="0" w:color="auto"/>
        <w:right w:val="none" w:sz="0" w:space="0" w:color="auto"/>
      </w:divBdr>
    </w:div>
    <w:div w:id="1285699299">
      <w:bodyDiv w:val="1"/>
      <w:marLeft w:val="0"/>
      <w:marRight w:val="0"/>
      <w:marTop w:val="0"/>
      <w:marBottom w:val="0"/>
      <w:divBdr>
        <w:top w:val="none" w:sz="0" w:space="0" w:color="auto"/>
        <w:left w:val="none" w:sz="0" w:space="0" w:color="auto"/>
        <w:bottom w:val="none" w:sz="0" w:space="0" w:color="auto"/>
        <w:right w:val="none" w:sz="0" w:space="0" w:color="auto"/>
      </w:divBdr>
    </w:div>
    <w:div w:id="1307782898">
      <w:bodyDiv w:val="1"/>
      <w:marLeft w:val="0"/>
      <w:marRight w:val="0"/>
      <w:marTop w:val="0"/>
      <w:marBottom w:val="0"/>
      <w:divBdr>
        <w:top w:val="none" w:sz="0" w:space="0" w:color="auto"/>
        <w:left w:val="none" w:sz="0" w:space="0" w:color="auto"/>
        <w:bottom w:val="none" w:sz="0" w:space="0" w:color="auto"/>
        <w:right w:val="none" w:sz="0" w:space="0" w:color="auto"/>
      </w:divBdr>
    </w:div>
    <w:div w:id="1313296054">
      <w:bodyDiv w:val="1"/>
      <w:marLeft w:val="0"/>
      <w:marRight w:val="0"/>
      <w:marTop w:val="0"/>
      <w:marBottom w:val="0"/>
      <w:divBdr>
        <w:top w:val="none" w:sz="0" w:space="0" w:color="auto"/>
        <w:left w:val="none" w:sz="0" w:space="0" w:color="auto"/>
        <w:bottom w:val="none" w:sz="0" w:space="0" w:color="auto"/>
        <w:right w:val="none" w:sz="0" w:space="0" w:color="auto"/>
      </w:divBdr>
    </w:div>
    <w:div w:id="1327980736">
      <w:bodyDiv w:val="1"/>
      <w:marLeft w:val="0"/>
      <w:marRight w:val="0"/>
      <w:marTop w:val="0"/>
      <w:marBottom w:val="0"/>
      <w:divBdr>
        <w:top w:val="none" w:sz="0" w:space="0" w:color="auto"/>
        <w:left w:val="none" w:sz="0" w:space="0" w:color="auto"/>
        <w:bottom w:val="none" w:sz="0" w:space="0" w:color="auto"/>
        <w:right w:val="none" w:sz="0" w:space="0" w:color="auto"/>
      </w:divBdr>
    </w:div>
    <w:div w:id="1459104297">
      <w:bodyDiv w:val="1"/>
      <w:marLeft w:val="0"/>
      <w:marRight w:val="0"/>
      <w:marTop w:val="0"/>
      <w:marBottom w:val="0"/>
      <w:divBdr>
        <w:top w:val="none" w:sz="0" w:space="0" w:color="auto"/>
        <w:left w:val="none" w:sz="0" w:space="0" w:color="auto"/>
        <w:bottom w:val="none" w:sz="0" w:space="0" w:color="auto"/>
        <w:right w:val="none" w:sz="0" w:space="0" w:color="auto"/>
      </w:divBdr>
    </w:div>
    <w:div w:id="1463575390">
      <w:bodyDiv w:val="1"/>
      <w:marLeft w:val="0"/>
      <w:marRight w:val="0"/>
      <w:marTop w:val="0"/>
      <w:marBottom w:val="0"/>
      <w:divBdr>
        <w:top w:val="none" w:sz="0" w:space="0" w:color="auto"/>
        <w:left w:val="none" w:sz="0" w:space="0" w:color="auto"/>
        <w:bottom w:val="none" w:sz="0" w:space="0" w:color="auto"/>
        <w:right w:val="none" w:sz="0" w:space="0" w:color="auto"/>
      </w:divBdr>
    </w:div>
    <w:div w:id="1548372294">
      <w:bodyDiv w:val="1"/>
      <w:marLeft w:val="0"/>
      <w:marRight w:val="0"/>
      <w:marTop w:val="0"/>
      <w:marBottom w:val="0"/>
      <w:divBdr>
        <w:top w:val="none" w:sz="0" w:space="0" w:color="auto"/>
        <w:left w:val="none" w:sz="0" w:space="0" w:color="auto"/>
        <w:bottom w:val="none" w:sz="0" w:space="0" w:color="auto"/>
        <w:right w:val="none" w:sz="0" w:space="0" w:color="auto"/>
      </w:divBdr>
    </w:div>
    <w:div w:id="1598754404">
      <w:bodyDiv w:val="1"/>
      <w:marLeft w:val="0"/>
      <w:marRight w:val="0"/>
      <w:marTop w:val="0"/>
      <w:marBottom w:val="0"/>
      <w:divBdr>
        <w:top w:val="none" w:sz="0" w:space="0" w:color="auto"/>
        <w:left w:val="none" w:sz="0" w:space="0" w:color="auto"/>
        <w:bottom w:val="none" w:sz="0" w:space="0" w:color="auto"/>
        <w:right w:val="none" w:sz="0" w:space="0" w:color="auto"/>
      </w:divBdr>
    </w:div>
    <w:div w:id="1609192257">
      <w:bodyDiv w:val="1"/>
      <w:marLeft w:val="0"/>
      <w:marRight w:val="0"/>
      <w:marTop w:val="0"/>
      <w:marBottom w:val="0"/>
      <w:divBdr>
        <w:top w:val="none" w:sz="0" w:space="0" w:color="auto"/>
        <w:left w:val="none" w:sz="0" w:space="0" w:color="auto"/>
        <w:bottom w:val="none" w:sz="0" w:space="0" w:color="auto"/>
        <w:right w:val="none" w:sz="0" w:space="0" w:color="auto"/>
      </w:divBdr>
    </w:div>
    <w:div w:id="1619533642">
      <w:bodyDiv w:val="1"/>
      <w:marLeft w:val="0"/>
      <w:marRight w:val="0"/>
      <w:marTop w:val="0"/>
      <w:marBottom w:val="0"/>
      <w:divBdr>
        <w:top w:val="none" w:sz="0" w:space="0" w:color="auto"/>
        <w:left w:val="none" w:sz="0" w:space="0" w:color="auto"/>
        <w:bottom w:val="none" w:sz="0" w:space="0" w:color="auto"/>
        <w:right w:val="none" w:sz="0" w:space="0" w:color="auto"/>
      </w:divBdr>
    </w:div>
    <w:div w:id="17154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837F-61E3-4661-A712-67B17E1D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7704</Words>
  <Characters>43919</Characters>
  <Application>Microsoft Office Word</Application>
  <DocSecurity>0</DocSecurity>
  <Lines>365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Boukary Ouedraogo</cp:lastModifiedBy>
  <cp:revision>2</cp:revision>
  <dcterms:created xsi:type="dcterms:W3CDTF">2022-03-29T17:24:00Z</dcterms:created>
  <dcterms:modified xsi:type="dcterms:W3CDTF">2022-03-29T17:24:00Z</dcterms:modified>
</cp:coreProperties>
</file>