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663" w:rsidRPr="002875EC" w:rsidRDefault="006F3663" w:rsidP="006F3663">
      <w:pPr>
        <w:spacing w:after="0" w:line="240" w:lineRule="auto"/>
        <w:rPr>
          <w:rFonts w:ascii="Maiandra GD" w:eastAsia="Times New Roman" w:hAnsi="Maiandra GD" w:cs="Calibri"/>
          <w:b/>
          <w:bCs/>
          <w:sz w:val="24"/>
          <w:szCs w:val="24"/>
          <w:lang w:eastAsia="fr-FR"/>
        </w:rPr>
      </w:pPr>
      <w:bookmarkStart w:id="0" w:name="_GoBack"/>
      <w:bookmarkEnd w:id="0"/>
      <w:r>
        <w:rPr>
          <w:rFonts w:ascii="Maiandra GD" w:eastAsia="Times New Roman" w:hAnsi="Maiandra GD" w:cs="Calibri"/>
          <w:b/>
          <w:bCs/>
          <w:sz w:val="24"/>
          <w:szCs w:val="24"/>
          <w:lang w:eastAsia="fr-FR"/>
        </w:rPr>
        <w:t xml:space="preserve">     </w:t>
      </w:r>
      <w:r w:rsidRPr="002875EC">
        <w:rPr>
          <w:rFonts w:ascii="Maiandra GD" w:eastAsia="Times New Roman" w:hAnsi="Maiandra GD" w:cs="Calibri"/>
          <w:b/>
          <w:bCs/>
          <w:sz w:val="24"/>
          <w:szCs w:val="24"/>
          <w:lang w:eastAsia="fr-FR"/>
        </w:rPr>
        <w:t>REPUBLIQUE DE GUINEE</w:t>
      </w:r>
    </w:p>
    <w:p w:rsidR="006F3663" w:rsidRPr="002875EC" w:rsidRDefault="006F3663" w:rsidP="006F3663">
      <w:pPr>
        <w:tabs>
          <w:tab w:val="left" w:pos="3882"/>
        </w:tabs>
      </w:pPr>
      <w:r w:rsidRPr="002875EC">
        <w:tab/>
      </w:r>
    </w:p>
    <w:p w:rsidR="006F3663" w:rsidRPr="002875EC" w:rsidRDefault="006F3663" w:rsidP="006F3663">
      <w:pPr>
        <w:tabs>
          <w:tab w:val="left" w:pos="3882"/>
        </w:tabs>
      </w:pPr>
      <w:r w:rsidRPr="002875EC">
        <w:rPr>
          <w:noProof/>
          <w:lang w:eastAsia="fr-FR"/>
        </w:rPr>
        <w:drawing>
          <wp:inline distT="0" distB="0" distL="0" distR="0">
            <wp:extent cx="1045845" cy="106807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45" cy="1068070"/>
                    </a:xfrm>
                    <a:prstGeom prst="rect">
                      <a:avLst/>
                    </a:prstGeom>
                    <a:noFill/>
                    <a:ln>
                      <a:noFill/>
                    </a:ln>
                  </pic:spPr>
                </pic:pic>
              </a:graphicData>
            </a:graphic>
          </wp:inline>
        </w:drawing>
      </w:r>
    </w:p>
    <w:p w:rsidR="006F3663" w:rsidRPr="002875EC" w:rsidRDefault="006F3663" w:rsidP="006F3663">
      <w:pPr>
        <w:spacing w:after="0" w:line="240" w:lineRule="auto"/>
        <w:rPr>
          <w:rFonts w:ascii="Maiandra GD" w:eastAsia="Times New Roman" w:hAnsi="Maiandra GD" w:cs="Calibri"/>
          <w:b/>
          <w:bCs/>
          <w:sz w:val="24"/>
          <w:szCs w:val="24"/>
          <w:lang w:eastAsia="fr-FR"/>
        </w:rPr>
      </w:pPr>
      <w:r w:rsidRPr="002875EC">
        <w:rPr>
          <w:rFonts w:ascii="Maiandra GD" w:eastAsia="Times New Roman" w:hAnsi="Maiandra GD" w:cs="Calibri"/>
          <w:b/>
          <w:bCs/>
          <w:sz w:val="24"/>
          <w:szCs w:val="24"/>
          <w:lang w:eastAsia="fr-FR"/>
        </w:rPr>
        <w:t xml:space="preserve">       Ministère de la Santé </w:t>
      </w:r>
    </w:p>
    <w:p w:rsidR="006F3663" w:rsidRPr="002875EC" w:rsidRDefault="006F3663" w:rsidP="006F3663"/>
    <w:p w:rsidR="002C0B7E" w:rsidRPr="002875EC" w:rsidRDefault="002C0B7E" w:rsidP="006F3663"/>
    <w:tbl>
      <w:tblPr>
        <w:tblStyle w:val="Grilledutableau"/>
        <w:tblpPr w:leftFromText="141" w:rightFromText="141" w:vertAnchor="text" w:horzAnchor="margin" w:tblpY="-53"/>
        <w:tblW w:w="9095" w:type="dxa"/>
        <w:tblLook w:val="04A0" w:firstRow="1" w:lastRow="0" w:firstColumn="1" w:lastColumn="0" w:noHBand="0" w:noVBand="1"/>
      </w:tblPr>
      <w:tblGrid>
        <w:gridCol w:w="9095"/>
      </w:tblGrid>
      <w:tr w:rsidR="006F3663" w:rsidRPr="002875EC" w:rsidTr="006F3663">
        <w:trPr>
          <w:trHeight w:val="2060"/>
        </w:trPr>
        <w:tc>
          <w:tcPr>
            <w:tcW w:w="9095" w:type="dxa"/>
            <w:tcBorders>
              <w:top w:val="single" w:sz="4" w:space="0" w:color="auto"/>
              <w:left w:val="single" w:sz="4" w:space="0" w:color="auto"/>
              <w:bottom w:val="single" w:sz="4" w:space="0" w:color="auto"/>
              <w:right w:val="single" w:sz="4" w:space="0" w:color="auto"/>
            </w:tcBorders>
          </w:tcPr>
          <w:p w:rsidR="006F3663" w:rsidRPr="002875EC" w:rsidRDefault="006F3663">
            <w:pPr>
              <w:rPr>
                <w:rFonts w:ascii="Arial" w:hAnsi="Arial" w:cs="Arial"/>
                <w:b/>
              </w:rPr>
            </w:pPr>
          </w:p>
          <w:p w:rsidR="006F3663" w:rsidRPr="002875EC" w:rsidRDefault="006F3663">
            <w:pPr>
              <w:rPr>
                <w:rFonts w:ascii="Arial" w:hAnsi="Arial" w:cs="Arial"/>
                <w:b/>
              </w:rPr>
            </w:pPr>
          </w:p>
          <w:p w:rsidR="006F3663" w:rsidRPr="002875EC" w:rsidRDefault="006F3663">
            <w:pPr>
              <w:rPr>
                <w:rFonts w:ascii="Arial" w:hAnsi="Arial" w:cs="Arial"/>
                <w:b/>
              </w:rPr>
            </w:pPr>
          </w:p>
          <w:p w:rsidR="006F3663" w:rsidRPr="002875EC" w:rsidRDefault="006F3663">
            <w:pPr>
              <w:rPr>
                <w:rFonts w:ascii="Arial" w:hAnsi="Arial" w:cs="Arial"/>
                <w:b/>
              </w:rPr>
            </w:pPr>
            <w:bookmarkStart w:id="1" w:name="_Hlk99724439"/>
            <w:r w:rsidRPr="002875EC">
              <w:rPr>
                <w:rFonts w:ascii="Arial" w:hAnsi="Arial" w:cs="Arial"/>
                <w:b/>
              </w:rPr>
              <w:t xml:space="preserve">TERME DE REFERENCE </w:t>
            </w:r>
            <w:r w:rsidR="00444020" w:rsidRPr="002875EC">
              <w:rPr>
                <w:rFonts w:ascii="Arial" w:hAnsi="Arial" w:cs="Arial"/>
                <w:b/>
              </w:rPr>
              <w:t>« </w:t>
            </w:r>
            <w:r w:rsidRPr="002875EC">
              <w:rPr>
                <w:rFonts w:ascii="Arial" w:hAnsi="Arial" w:cs="Arial"/>
                <w:b/>
              </w:rPr>
              <w:t xml:space="preserve">ATELIER DE FINALISATION ET DE VALIDATION DU </w:t>
            </w:r>
          </w:p>
          <w:p w:rsidR="006F3663" w:rsidRPr="002875EC" w:rsidRDefault="006F3663">
            <w:pPr>
              <w:rPr>
                <w:rFonts w:ascii="Arial" w:hAnsi="Arial" w:cs="Arial"/>
                <w:b/>
              </w:rPr>
            </w:pPr>
            <w:r w:rsidRPr="002875EC">
              <w:rPr>
                <w:rFonts w:ascii="Arial" w:hAnsi="Arial" w:cs="Arial"/>
                <w:b/>
              </w:rPr>
              <w:t xml:space="preserve">PLAN STRATEGIQUE POUR LES CINQ PROCHAINES ANNEES DU SERVICE GENRE </w:t>
            </w:r>
          </w:p>
          <w:p w:rsidR="006F3663" w:rsidRPr="002875EC" w:rsidRDefault="006F3663">
            <w:pPr>
              <w:jc w:val="center"/>
              <w:rPr>
                <w:rFonts w:ascii="Arial" w:hAnsi="Arial" w:cs="Arial"/>
                <w:b/>
              </w:rPr>
            </w:pPr>
            <w:r w:rsidRPr="002875EC">
              <w:rPr>
                <w:rFonts w:ascii="Arial" w:hAnsi="Arial" w:cs="Arial"/>
                <w:b/>
              </w:rPr>
              <w:t>ET EQUITE DU MINISTERE DE LA SANTE</w:t>
            </w:r>
            <w:r w:rsidR="00AD33E8" w:rsidRPr="002875EC">
              <w:rPr>
                <w:rFonts w:ascii="Arial" w:hAnsi="Arial" w:cs="Arial"/>
                <w:b/>
              </w:rPr>
              <w:t xml:space="preserve"> </w:t>
            </w:r>
            <w:r w:rsidR="00444020" w:rsidRPr="002875EC">
              <w:rPr>
                <w:rFonts w:ascii="Arial" w:hAnsi="Arial" w:cs="Arial"/>
                <w:b/>
              </w:rPr>
              <w:t>–</w:t>
            </w:r>
            <w:r w:rsidR="00AD33E8" w:rsidRPr="002875EC">
              <w:rPr>
                <w:rFonts w:ascii="Arial" w:hAnsi="Arial" w:cs="Arial"/>
                <w:b/>
              </w:rPr>
              <w:t xml:space="preserve"> </w:t>
            </w:r>
            <w:r w:rsidR="00444020" w:rsidRPr="002875EC">
              <w:rPr>
                <w:rFonts w:ascii="Arial" w:hAnsi="Arial" w:cs="Arial"/>
                <w:b/>
              </w:rPr>
              <w:t>Fin Avril 2022</w:t>
            </w:r>
          </w:p>
          <w:p w:rsidR="00444020" w:rsidRPr="002875EC" w:rsidRDefault="00444020">
            <w:pPr>
              <w:jc w:val="center"/>
              <w:rPr>
                <w:rFonts w:ascii="Arial" w:hAnsi="Arial" w:cs="Arial"/>
                <w:b/>
              </w:rPr>
            </w:pPr>
            <w:proofErr w:type="spellStart"/>
            <w:r w:rsidRPr="002875EC">
              <w:rPr>
                <w:rFonts w:ascii="Arial" w:hAnsi="Arial" w:cs="Arial"/>
                <w:b/>
              </w:rPr>
              <w:t>2</w:t>
            </w:r>
            <w:r w:rsidRPr="002875EC">
              <w:rPr>
                <w:rFonts w:ascii="Arial" w:hAnsi="Arial" w:cs="Arial"/>
                <w:b/>
                <w:vertAlign w:val="superscript"/>
              </w:rPr>
              <w:t>ième</w:t>
            </w:r>
            <w:proofErr w:type="spellEnd"/>
            <w:r w:rsidRPr="002875EC">
              <w:rPr>
                <w:rFonts w:ascii="Arial" w:hAnsi="Arial" w:cs="Arial"/>
                <w:b/>
              </w:rPr>
              <w:t xml:space="preserve"> Edition</w:t>
            </w:r>
          </w:p>
          <w:bookmarkEnd w:id="1"/>
          <w:p w:rsidR="006F3663" w:rsidRPr="002875EC" w:rsidRDefault="006F3663"/>
        </w:tc>
      </w:tr>
    </w:tbl>
    <w:p w:rsidR="006F3663" w:rsidRPr="002875EC" w:rsidRDefault="006F3663" w:rsidP="006F3663"/>
    <w:p w:rsidR="006F3663" w:rsidRPr="002875EC" w:rsidRDefault="006F3663" w:rsidP="006F3663"/>
    <w:p w:rsidR="006F3663" w:rsidRPr="002875EC" w:rsidRDefault="006F3663" w:rsidP="006F3663"/>
    <w:p w:rsidR="006F3663" w:rsidRPr="002875EC" w:rsidRDefault="006F3663" w:rsidP="006F3663"/>
    <w:p w:rsidR="006F3663" w:rsidRPr="002875EC" w:rsidRDefault="006F3663" w:rsidP="006F3663"/>
    <w:p w:rsidR="006F3663" w:rsidRPr="002875EC" w:rsidRDefault="006F3663" w:rsidP="006F3663"/>
    <w:p w:rsidR="006F3663" w:rsidRPr="002875EC" w:rsidRDefault="006F3663" w:rsidP="006F3663"/>
    <w:p w:rsidR="006F3663" w:rsidRPr="002875EC" w:rsidRDefault="006F3663" w:rsidP="006F3663"/>
    <w:p w:rsidR="006F3663" w:rsidRPr="002875EC" w:rsidRDefault="00285BCD" w:rsidP="006F3663">
      <w:pPr>
        <w:rPr>
          <w:b/>
          <w:i/>
        </w:rPr>
      </w:pPr>
      <w:r w:rsidRPr="002875EC">
        <w:rPr>
          <w:b/>
          <w:i/>
        </w:rPr>
        <w:t xml:space="preserve">Avril </w:t>
      </w:r>
      <w:r w:rsidR="006F3663" w:rsidRPr="002875EC">
        <w:rPr>
          <w:b/>
          <w:i/>
        </w:rPr>
        <w:t>202</w:t>
      </w:r>
      <w:r w:rsidRPr="002875EC">
        <w:rPr>
          <w:b/>
          <w:i/>
        </w:rPr>
        <w:t>2</w:t>
      </w:r>
    </w:p>
    <w:p w:rsidR="002C0B7E" w:rsidRPr="002875EC" w:rsidRDefault="002C0B7E" w:rsidP="003820BD">
      <w:pPr>
        <w:rPr>
          <w:rFonts w:ascii="Arial" w:hAnsi="Arial" w:cs="Arial"/>
          <w:b/>
        </w:rPr>
      </w:pPr>
    </w:p>
    <w:p w:rsidR="002C0B7E" w:rsidRPr="002875EC" w:rsidRDefault="002C0B7E" w:rsidP="003820BD">
      <w:pPr>
        <w:rPr>
          <w:rFonts w:ascii="Arial" w:hAnsi="Arial" w:cs="Arial"/>
          <w:b/>
        </w:rPr>
      </w:pPr>
    </w:p>
    <w:p w:rsidR="002A3046" w:rsidRPr="002875EC" w:rsidRDefault="002A3046" w:rsidP="003820BD">
      <w:pPr>
        <w:rPr>
          <w:rFonts w:ascii="Arial" w:hAnsi="Arial" w:cs="Arial"/>
          <w:b/>
        </w:rPr>
      </w:pPr>
      <w:r w:rsidRPr="002875EC">
        <w:rPr>
          <w:rFonts w:ascii="Arial" w:hAnsi="Arial" w:cs="Arial"/>
          <w:b/>
        </w:rPr>
        <w:br w:type="page"/>
      </w:r>
    </w:p>
    <w:p w:rsidR="003820BD" w:rsidRPr="002875EC" w:rsidRDefault="003820BD" w:rsidP="003820BD">
      <w:pPr>
        <w:rPr>
          <w:rFonts w:ascii="Arial" w:hAnsi="Arial" w:cs="Arial"/>
          <w:b/>
        </w:rPr>
      </w:pPr>
      <w:r w:rsidRPr="002875EC">
        <w:rPr>
          <w:rFonts w:ascii="Arial" w:hAnsi="Arial" w:cs="Arial"/>
          <w:b/>
        </w:rPr>
        <w:lastRenderedPageBreak/>
        <w:t xml:space="preserve">TERME DE REFERENCE DE L’ATELIER DE FINALISATION ET DE VALIDATION DU </w:t>
      </w:r>
    </w:p>
    <w:p w:rsidR="003820BD" w:rsidRPr="002875EC" w:rsidRDefault="003820BD" w:rsidP="003820BD">
      <w:pPr>
        <w:rPr>
          <w:rFonts w:ascii="Arial" w:hAnsi="Arial" w:cs="Arial"/>
          <w:b/>
        </w:rPr>
      </w:pPr>
      <w:r w:rsidRPr="002875EC">
        <w:rPr>
          <w:rFonts w:ascii="Arial" w:hAnsi="Arial" w:cs="Arial"/>
          <w:b/>
        </w:rPr>
        <w:t xml:space="preserve">PLAN STRATEGIQUE POUR LES CINQ PROCHAINES ANNEES DU SERVICE GENRE </w:t>
      </w:r>
    </w:p>
    <w:p w:rsidR="003820BD" w:rsidRPr="002875EC" w:rsidRDefault="003820BD" w:rsidP="003820BD">
      <w:pPr>
        <w:jc w:val="center"/>
        <w:rPr>
          <w:rFonts w:ascii="Arial" w:hAnsi="Arial" w:cs="Arial"/>
          <w:b/>
        </w:rPr>
      </w:pPr>
      <w:r w:rsidRPr="002875EC">
        <w:rPr>
          <w:rFonts w:ascii="Arial" w:hAnsi="Arial" w:cs="Arial"/>
          <w:b/>
        </w:rPr>
        <w:t>ET EQUITE DU MINISTERE DE LA SANTE</w:t>
      </w:r>
      <w:r w:rsidR="00444020" w:rsidRPr="002875EC">
        <w:rPr>
          <w:rFonts w:ascii="Arial" w:hAnsi="Arial" w:cs="Arial"/>
          <w:b/>
        </w:rPr>
        <w:t xml:space="preserve"> – </w:t>
      </w:r>
      <w:proofErr w:type="spellStart"/>
      <w:r w:rsidR="00444020" w:rsidRPr="002875EC">
        <w:rPr>
          <w:rFonts w:ascii="Arial" w:hAnsi="Arial" w:cs="Arial"/>
          <w:b/>
        </w:rPr>
        <w:t>2ieme</w:t>
      </w:r>
      <w:proofErr w:type="spellEnd"/>
      <w:r w:rsidR="00444020" w:rsidRPr="002875EC">
        <w:rPr>
          <w:rFonts w:ascii="Arial" w:hAnsi="Arial" w:cs="Arial"/>
          <w:b/>
        </w:rPr>
        <w:t xml:space="preserve"> édition</w:t>
      </w:r>
    </w:p>
    <w:p w:rsidR="00BC16D1" w:rsidRDefault="00BC16D1">
      <w:pPr>
        <w:rPr>
          <w:rFonts w:ascii="Arial" w:hAnsi="Arial" w:cs="Arial"/>
          <w:b/>
        </w:rPr>
      </w:pPr>
    </w:p>
    <w:p w:rsidR="002875EC" w:rsidRDefault="002875EC">
      <w:pPr>
        <w:rPr>
          <w:rFonts w:ascii="Arial" w:hAnsi="Arial" w:cs="Arial"/>
          <w:b/>
        </w:rPr>
      </w:pPr>
      <w:r>
        <w:rPr>
          <w:rFonts w:ascii="Arial" w:hAnsi="Arial" w:cs="Arial"/>
          <w:b/>
        </w:rPr>
        <w:t>Table de matière</w:t>
      </w:r>
    </w:p>
    <w:p w:rsidR="002875EC" w:rsidRDefault="002875EC">
      <w:pPr>
        <w:pStyle w:val="TM1"/>
        <w:tabs>
          <w:tab w:val="left" w:pos="440"/>
          <w:tab w:val="right" w:leader="dot" w:pos="9062"/>
        </w:tabs>
        <w:rPr>
          <w:noProof/>
        </w:rPr>
      </w:pPr>
      <w:r>
        <w:rPr>
          <w:rFonts w:ascii="Arial" w:hAnsi="Arial" w:cs="Arial"/>
          <w:b/>
        </w:rPr>
        <w:fldChar w:fldCharType="begin"/>
      </w:r>
      <w:r>
        <w:rPr>
          <w:rFonts w:ascii="Arial" w:hAnsi="Arial" w:cs="Arial"/>
          <w:b/>
        </w:rPr>
        <w:instrText xml:space="preserve"> TOC \o "1-2" \h \z \u </w:instrText>
      </w:r>
      <w:r>
        <w:rPr>
          <w:rFonts w:ascii="Arial" w:hAnsi="Arial" w:cs="Arial"/>
          <w:b/>
        </w:rPr>
        <w:fldChar w:fldCharType="separate"/>
      </w:r>
      <w:hyperlink w:anchor="_Toc99723776" w:history="1">
        <w:r w:rsidRPr="004B0CC9">
          <w:rPr>
            <w:rStyle w:val="Lienhypertexte"/>
            <w:noProof/>
          </w:rPr>
          <w:t>1.</w:t>
        </w:r>
        <w:r>
          <w:rPr>
            <w:noProof/>
          </w:rPr>
          <w:tab/>
        </w:r>
        <w:r w:rsidRPr="004B0CC9">
          <w:rPr>
            <w:rStyle w:val="Lienhypertexte"/>
            <w:noProof/>
          </w:rPr>
          <w:t>CONTEXTE</w:t>
        </w:r>
        <w:r>
          <w:rPr>
            <w:noProof/>
            <w:webHidden/>
          </w:rPr>
          <w:tab/>
        </w:r>
        <w:r>
          <w:rPr>
            <w:noProof/>
            <w:webHidden/>
          </w:rPr>
          <w:fldChar w:fldCharType="begin"/>
        </w:r>
        <w:r>
          <w:rPr>
            <w:noProof/>
            <w:webHidden/>
          </w:rPr>
          <w:instrText xml:space="preserve"> PAGEREF _Toc99723776 \h </w:instrText>
        </w:r>
        <w:r>
          <w:rPr>
            <w:noProof/>
            <w:webHidden/>
          </w:rPr>
        </w:r>
        <w:r>
          <w:rPr>
            <w:noProof/>
            <w:webHidden/>
          </w:rPr>
          <w:fldChar w:fldCharType="separate"/>
        </w:r>
        <w:r>
          <w:rPr>
            <w:noProof/>
            <w:webHidden/>
          </w:rPr>
          <w:t>2</w:t>
        </w:r>
        <w:r>
          <w:rPr>
            <w:noProof/>
            <w:webHidden/>
          </w:rPr>
          <w:fldChar w:fldCharType="end"/>
        </w:r>
      </w:hyperlink>
    </w:p>
    <w:p w:rsidR="002875EC" w:rsidRDefault="00CA6EDB">
      <w:pPr>
        <w:pStyle w:val="TM2"/>
        <w:tabs>
          <w:tab w:val="right" w:leader="dot" w:pos="9062"/>
        </w:tabs>
        <w:rPr>
          <w:noProof/>
        </w:rPr>
      </w:pPr>
      <w:hyperlink w:anchor="_Toc99723777" w:history="1">
        <w:r w:rsidR="002875EC" w:rsidRPr="004B0CC9">
          <w:rPr>
            <w:rStyle w:val="Lienhypertexte"/>
            <w:noProof/>
          </w:rPr>
          <w:t>MOTIVATION</w:t>
        </w:r>
        <w:r w:rsidR="002875EC">
          <w:rPr>
            <w:noProof/>
            <w:webHidden/>
          </w:rPr>
          <w:tab/>
        </w:r>
        <w:r w:rsidR="002875EC">
          <w:rPr>
            <w:noProof/>
            <w:webHidden/>
          </w:rPr>
          <w:fldChar w:fldCharType="begin"/>
        </w:r>
        <w:r w:rsidR="002875EC">
          <w:rPr>
            <w:noProof/>
            <w:webHidden/>
          </w:rPr>
          <w:instrText xml:space="preserve"> PAGEREF _Toc99723777 \h </w:instrText>
        </w:r>
        <w:r w:rsidR="002875EC">
          <w:rPr>
            <w:noProof/>
            <w:webHidden/>
          </w:rPr>
        </w:r>
        <w:r w:rsidR="002875EC">
          <w:rPr>
            <w:noProof/>
            <w:webHidden/>
          </w:rPr>
          <w:fldChar w:fldCharType="separate"/>
        </w:r>
        <w:r w:rsidR="002875EC">
          <w:rPr>
            <w:noProof/>
            <w:webHidden/>
          </w:rPr>
          <w:t>5</w:t>
        </w:r>
        <w:r w:rsidR="002875EC">
          <w:rPr>
            <w:noProof/>
            <w:webHidden/>
          </w:rPr>
          <w:fldChar w:fldCharType="end"/>
        </w:r>
      </w:hyperlink>
    </w:p>
    <w:p w:rsidR="002875EC" w:rsidRDefault="00CA6EDB">
      <w:pPr>
        <w:pStyle w:val="TM1"/>
        <w:tabs>
          <w:tab w:val="left" w:pos="440"/>
          <w:tab w:val="right" w:leader="dot" w:pos="9062"/>
        </w:tabs>
        <w:rPr>
          <w:noProof/>
        </w:rPr>
      </w:pPr>
      <w:hyperlink w:anchor="_Toc99723778" w:history="1">
        <w:r w:rsidR="002875EC" w:rsidRPr="004B0CC9">
          <w:rPr>
            <w:rStyle w:val="Lienhypertexte"/>
            <w:noProof/>
          </w:rPr>
          <w:t>2.</w:t>
        </w:r>
        <w:r w:rsidR="002875EC">
          <w:rPr>
            <w:noProof/>
          </w:rPr>
          <w:tab/>
        </w:r>
        <w:r w:rsidR="002875EC" w:rsidRPr="004B0CC9">
          <w:rPr>
            <w:rStyle w:val="Lienhypertexte"/>
            <w:noProof/>
          </w:rPr>
          <w:t>OBJECTIFS</w:t>
        </w:r>
        <w:r w:rsidR="002875EC">
          <w:rPr>
            <w:noProof/>
            <w:webHidden/>
          </w:rPr>
          <w:tab/>
        </w:r>
        <w:r w:rsidR="002875EC">
          <w:rPr>
            <w:noProof/>
            <w:webHidden/>
          </w:rPr>
          <w:fldChar w:fldCharType="begin"/>
        </w:r>
        <w:r w:rsidR="002875EC">
          <w:rPr>
            <w:noProof/>
            <w:webHidden/>
          </w:rPr>
          <w:instrText xml:space="preserve"> PAGEREF _Toc99723778 \h </w:instrText>
        </w:r>
        <w:r w:rsidR="002875EC">
          <w:rPr>
            <w:noProof/>
            <w:webHidden/>
          </w:rPr>
        </w:r>
        <w:r w:rsidR="002875EC">
          <w:rPr>
            <w:noProof/>
            <w:webHidden/>
          </w:rPr>
          <w:fldChar w:fldCharType="separate"/>
        </w:r>
        <w:r w:rsidR="002875EC">
          <w:rPr>
            <w:noProof/>
            <w:webHidden/>
          </w:rPr>
          <w:t>6</w:t>
        </w:r>
        <w:r w:rsidR="002875EC">
          <w:rPr>
            <w:noProof/>
            <w:webHidden/>
          </w:rPr>
          <w:fldChar w:fldCharType="end"/>
        </w:r>
      </w:hyperlink>
    </w:p>
    <w:p w:rsidR="002875EC" w:rsidRDefault="00CA6EDB">
      <w:pPr>
        <w:pStyle w:val="TM1"/>
        <w:tabs>
          <w:tab w:val="left" w:pos="440"/>
          <w:tab w:val="right" w:leader="dot" w:pos="9062"/>
        </w:tabs>
        <w:rPr>
          <w:noProof/>
        </w:rPr>
      </w:pPr>
      <w:hyperlink w:anchor="_Toc99723779" w:history="1">
        <w:r w:rsidR="002875EC" w:rsidRPr="004B0CC9">
          <w:rPr>
            <w:rStyle w:val="Lienhypertexte"/>
            <w:noProof/>
          </w:rPr>
          <w:t>3.</w:t>
        </w:r>
        <w:r w:rsidR="002875EC">
          <w:rPr>
            <w:noProof/>
          </w:rPr>
          <w:tab/>
        </w:r>
        <w:r w:rsidR="002875EC" w:rsidRPr="004B0CC9">
          <w:rPr>
            <w:rStyle w:val="Lienhypertexte"/>
            <w:noProof/>
          </w:rPr>
          <w:t>RESULTATS ATTENDUS</w:t>
        </w:r>
        <w:r w:rsidR="002875EC">
          <w:rPr>
            <w:noProof/>
            <w:webHidden/>
          </w:rPr>
          <w:tab/>
        </w:r>
        <w:r w:rsidR="002875EC">
          <w:rPr>
            <w:noProof/>
            <w:webHidden/>
          </w:rPr>
          <w:fldChar w:fldCharType="begin"/>
        </w:r>
        <w:r w:rsidR="002875EC">
          <w:rPr>
            <w:noProof/>
            <w:webHidden/>
          </w:rPr>
          <w:instrText xml:space="preserve"> PAGEREF _Toc99723779 \h </w:instrText>
        </w:r>
        <w:r w:rsidR="002875EC">
          <w:rPr>
            <w:noProof/>
            <w:webHidden/>
          </w:rPr>
        </w:r>
        <w:r w:rsidR="002875EC">
          <w:rPr>
            <w:noProof/>
            <w:webHidden/>
          </w:rPr>
          <w:fldChar w:fldCharType="separate"/>
        </w:r>
        <w:r w:rsidR="002875EC">
          <w:rPr>
            <w:noProof/>
            <w:webHidden/>
          </w:rPr>
          <w:t>6</w:t>
        </w:r>
        <w:r w:rsidR="002875EC">
          <w:rPr>
            <w:noProof/>
            <w:webHidden/>
          </w:rPr>
          <w:fldChar w:fldCharType="end"/>
        </w:r>
      </w:hyperlink>
    </w:p>
    <w:p w:rsidR="002875EC" w:rsidRDefault="00CA6EDB">
      <w:pPr>
        <w:pStyle w:val="TM1"/>
        <w:tabs>
          <w:tab w:val="left" w:pos="440"/>
          <w:tab w:val="right" w:leader="dot" w:pos="9062"/>
        </w:tabs>
        <w:rPr>
          <w:noProof/>
        </w:rPr>
      </w:pPr>
      <w:hyperlink w:anchor="_Toc99723780" w:history="1">
        <w:r w:rsidR="002875EC" w:rsidRPr="004B0CC9">
          <w:rPr>
            <w:rStyle w:val="Lienhypertexte"/>
            <w:noProof/>
          </w:rPr>
          <w:t>4.</w:t>
        </w:r>
        <w:r w:rsidR="002875EC">
          <w:rPr>
            <w:noProof/>
          </w:rPr>
          <w:tab/>
        </w:r>
        <w:r w:rsidR="002875EC" w:rsidRPr="004B0CC9">
          <w:rPr>
            <w:rStyle w:val="Lienhypertexte"/>
            <w:noProof/>
          </w:rPr>
          <w:t>METHODOLOGIE</w:t>
        </w:r>
        <w:r w:rsidR="002875EC">
          <w:rPr>
            <w:noProof/>
            <w:webHidden/>
          </w:rPr>
          <w:tab/>
        </w:r>
        <w:r w:rsidR="002875EC">
          <w:rPr>
            <w:noProof/>
            <w:webHidden/>
          </w:rPr>
          <w:fldChar w:fldCharType="begin"/>
        </w:r>
        <w:r w:rsidR="002875EC">
          <w:rPr>
            <w:noProof/>
            <w:webHidden/>
          </w:rPr>
          <w:instrText xml:space="preserve"> PAGEREF _Toc99723780 \h </w:instrText>
        </w:r>
        <w:r w:rsidR="002875EC">
          <w:rPr>
            <w:noProof/>
            <w:webHidden/>
          </w:rPr>
        </w:r>
        <w:r w:rsidR="002875EC">
          <w:rPr>
            <w:noProof/>
            <w:webHidden/>
          </w:rPr>
          <w:fldChar w:fldCharType="separate"/>
        </w:r>
        <w:r w:rsidR="002875EC">
          <w:rPr>
            <w:noProof/>
            <w:webHidden/>
          </w:rPr>
          <w:t>6</w:t>
        </w:r>
        <w:r w:rsidR="002875EC">
          <w:rPr>
            <w:noProof/>
            <w:webHidden/>
          </w:rPr>
          <w:fldChar w:fldCharType="end"/>
        </w:r>
      </w:hyperlink>
    </w:p>
    <w:p w:rsidR="002875EC" w:rsidRDefault="00CA6EDB">
      <w:pPr>
        <w:pStyle w:val="TM2"/>
        <w:tabs>
          <w:tab w:val="right" w:leader="dot" w:pos="9062"/>
        </w:tabs>
        <w:rPr>
          <w:noProof/>
        </w:rPr>
      </w:pPr>
      <w:hyperlink w:anchor="_Toc99723781" w:history="1">
        <w:r w:rsidR="002875EC" w:rsidRPr="004B0CC9">
          <w:rPr>
            <w:rStyle w:val="Lienhypertexte"/>
            <w:noProof/>
          </w:rPr>
          <w:t>AGENDA DE L’ATELIER</w:t>
        </w:r>
        <w:r w:rsidR="002875EC">
          <w:rPr>
            <w:noProof/>
            <w:webHidden/>
          </w:rPr>
          <w:tab/>
        </w:r>
        <w:r w:rsidR="002875EC">
          <w:rPr>
            <w:noProof/>
            <w:webHidden/>
          </w:rPr>
          <w:fldChar w:fldCharType="begin"/>
        </w:r>
        <w:r w:rsidR="002875EC">
          <w:rPr>
            <w:noProof/>
            <w:webHidden/>
          </w:rPr>
          <w:instrText xml:space="preserve"> PAGEREF _Toc99723781 \h </w:instrText>
        </w:r>
        <w:r w:rsidR="002875EC">
          <w:rPr>
            <w:noProof/>
            <w:webHidden/>
          </w:rPr>
        </w:r>
        <w:r w:rsidR="002875EC">
          <w:rPr>
            <w:noProof/>
            <w:webHidden/>
          </w:rPr>
          <w:fldChar w:fldCharType="separate"/>
        </w:r>
        <w:r w:rsidR="002875EC">
          <w:rPr>
            <w:noProof/>
            <w:webHidden/>
          </w:rPr>
          <w:t>7</w:t>
        </w:r>
        <w:r w:rsidR="002875EC">
          <w:rPr>
            <w:noProof/>
            <w:webHidden/>
          </w:rPr>
          <w:fldChar w:fldCharType="end"/>
        </w:r>
      </w:hyperlink>
    </w:p>
    <w:p w:rsidR="002875EC" w:rsidRDefault="00CA6EDB">
      <w:pPr>
        <w:pStyle w:val="TM2"/>
        <w:tabs>
          <w:tab w:val="right" w:leader="dot" w:pos="9062"/>
        </w:tabs>
        <w:rPr>
          <w:noProof/>
        </w:rPr>
      </w:pPr>
      <w:hyperlink w:anchor="_Toc99723782" w:history="1">
        <w:r w:rsidR="002875EC" w:rsidRPr="004B0CC9">
          <w:rPr>
            <w:rStyle w:val="Lienhypertexte"/>
            <w:noProof/>
          </w:rPr>
          <w:t>Liste des Participants</w:t>
        </w:r>
        <w:r w:rsidR="002875EC">
          <w:rPr>
            <w:noProof/>
            <w:webHidden/>
          </w:rPr>
          <w:tab/>
        </w:r>
        <w:r w:rsidR="002875EC">
          <w:rPr>
            <w:noProof/>
            <w:webHidden/>
          </w:rPr>
          <w:fldChar w:fldCharType="begin"/>
        </w:r>
        <w:r w:rsidR="002875EC">
          <w:rPr>
            <w:noProof/>
            <w:webHidden/>
          </w:rPr>
          <w:instrText xml:space="preserve"> PAGEREF _Toc99723782 \h </w:instrText>
        </w:r>
        <w:r w:rsidR="002875EC">
          <w:rPr>
            <w:noProof/>
            <w:webHidden/>
          </w:rPr>
        </w:r>
        <w:r w:rsidR="002875EC">
          <w:rPr>
            <w:noProof/>
            <w:webHidden/>
          </w:rPr>
          <w:fldChar w:fldCharType="separate"/>
        </w:r>
        <w:r w:rsidR="002875EC">
          <w:rPr>
            <w:noProof/>
            <w:webHidden/>
          </w:rPr>
          <w:t>7</w:t>
        </w:r>
        <w:r w:rsidR="002875EC">
          <w:rPr>
            <w:noProof/>
            <w:webHidden/>
          </w:rPr>
          <w:fldChar w:fldCharType="end"/>
        </w:r>
      </w:hyperlink>
    </w:p>
    <w:p w:rsidR="002875EC" w:rsidRDefault="00CA6EDB">
      <w:pPr>
        <w:pStyle w:val="TM1"/>
        <w:tabs>
          <w:tab w:val="left" w:pos="440"/>
          <w:tab w:val="right" w:leader="dot" w:pos="9062"/>
        </w:tabs>
        <w:rPr>
          <w:noProof/>
        </w:rPr>
      </w:pPr>
      <w:hyperlink w:anchor="_Toc99723783" w:history="1">
        <w:r w:rsidR="002875EC" w:rsidRPr="004B0CC9">
          <w:rPr>
            <w:rStyle w:val="Lienhypertexte"/>
            <w:noProof/>
          </w:rPr>
          <w:t>5.</w:t>
        </w:r>
        <w:r w:rsidR="002875EC">
          <w:rPr>
            <w:noProof/>
          </w:rPr>
          <w:tab/>
        </w:r>
        <w:r w:rsidR="002875EC" w:rsidRPr="004B0CC9">
          <w:rPr>
            <w:rStyle w:val="Lienhypertexte"/>
            <w:noProof/>
          </w:rPr>
          <w:t>ANNEXE</w:t>
        </w:r>
        <w:r w:rsidR="002875EC">
          <w:rPr>
            <w:noProof/>
            <w:webHidden/>
          </w:rPr>
          <w:tab/>
        </w:r>
        <w:r w:rsidR="002875EC">
          <w:rPr>
            <w:noProof/>
            <w:webHidden/>
          </w:rPr>
          <w:fldChar w:fldCharType="begin"/>
        </w:r>
        <w:r w:rsidR="002875EC">
          <w:rPr>
            <w:noProof/>
            <w:webHidden/>
          </w:rPr>
          <w:instrText xml:space="preserve"> PAGEREF _Toc99723783 \h </w:instrText>
        </w:r>
        <w:r w:rsidR="002875EC">
          <w:rPr>
            <w:noProof/>
            <w:webHidden/>
          </w:rPr>
        </w:r>
        <w:r w:rsidR="002875EC">
          <w:rPr>
            <w:noProof/>
            <w:webHidden/>
          </w:rPr>
          <w:fldChar w:fldCharType="separate"/>
        </w:r>
        <w:r w:rsidR="002875EC">
          <w:rPr>
            <w:noProof/>
            <w:webHidden/>
          </w:rPr>
          <w:t>9</w:t>
        </w:r>
        <w:r w:rsidR="002875EC">
          <w:rPr>
            <w:noProof/>
            <w:webHidden/>
          </w:rPr>
          <w:fldChar w:fldCharType="end"/>
        </w:r>
      </w:hyperlink>
    </w:p>
    <w:p w:rsidR="002875EC" w:rsidRDefault="00CA6EDB">
      <w:pPr>
        <w:pStyle w:val="TM2"/>
        <w:tabs>
          <w:tab w:val="right" w:leader="dot" w:pos="9062"/>
        </w:tabs>
        <w:rPr>
          <w:noProof/>
        </w:rPr>
      </w:pPr>
      <w:hyperlink w:anchor="_Toc99723784" w:history="1">
        <w:r w:rsidR="002875EC" w:rsidRPr="004B0CC9">
          <w:rPr>
            <w:rStyle w:val="Lienhypertexte"/>
            <w:noProof/>
          </w:rPr>
          <w:t>Présentation du service Genre et Équite (SGE)</w:t>
        </w:r>
        <w:r w:rsidR="002875EC">
          <w:rPr>
            <w:noProof/>
            <w:webHidden/>
          </w:rPr>
          <w:tab/>
        </w:r>
        <w:r w:rsidR="002875EC">
          <w:rPr>
            <w:noProof/>
            <w:webHidden/>
          </w:rPr>
          <w:fldChar w:fldCharType="begin"/>
        </w:r>
        <w:r w:rsidR="002875EC">
          <w:rPr>
            <w:noProof/>
            <w:webHidden/>
          </w:rPr>
          <w:instrText xml:space="preserve"> PAGEREF _Toc99723784 \h </w:instrText>
        </w:r>
        <w:r w:rsidR="002875EC">
          <w:rPr>
            <w:noProof/>
            <w:webHidden/>
          </w:rPr>
        </w:r>
        <w:r w:rsidR="002875EC">
          <w:rPr>
            <w:noProof/>
            <w:webHidden/>
          </w:rPr>
          <w:fldChar w:fldCharType="separate"/>
        </w:r>
        <w:r w:rsidR="002875EC">
          <w:rPr>
            <w:noProof/>
            <w:webHidden/>
          </w:rPr>
          <w:t>9</w:t>
        </w:r>
        <w:r w:rsidR="002875EC">
          <w:rPr>
            <w:noProof/>
            <w:webHidden/>
          </w:rPr>
          <w:fldChar w:fldCharType="end"/>
        </w:r>
      </w:hyperlink>
    </w:p>
    <w:p w:rsidR="002875EC" w:rsidRDefault="002875EC">
      <w:pPr>
        <w:rPr>
          <w:rFonts w:ascii="Arial" w:hAnsi="Arial" w:cs="Arial"/>
          <w:b/>
        </w:rPr>
      </w:pPr>
      <w:r>
        <w:rPr>
          <w:rFonts w:ascii="Arial" w:hAnsi="Arial" w:cs="Arial"/>
          <w:b/>
        </w:rPr>
        <w:fldChar w:fldCharType="end"/>
      </w:r>
    </w:p>
    <w:p w:rsidR="002875EC" w:rsidRDefault="002875EC">
      <w:pPr>
        <w:rPr>
          <w:rFonts w:ascii="Arial" w:hAnsi="Arial" w:cs="Arial"/>
          <w:b/>
        </w:rPr>
      </w:pPr>
    </w:p>
    <w:p w:rsidR="00C43F7B" w:rsidRPr="002875EC" w:rsidRDefault="00C43F7B" w:rsidP="00FF7F2C">
      <w:pPr>
        <w:pStyle w:val="Titre1"/>
        <w:numPr>
          <w:ilvl w:val="0"/>
          <w:numId w:val="13"/>
        </w:numPr>
      </w:pPr>
      <w:bookmarkStart w:id="2" w:name="_Toc99723776"/>
      <w:r w:rsidRPr="002875EC">
        <w:t>CONTEXTE</w:t>
      </w:r>
      <w:bookmarkEnd w:id="2"/>
    </w:p>
    <w:p w:rsidR="00C43F7B" w:rsidRPr="002875EC" w:rsidRDefault="00C43F7B" w:rsidP="00C43F7B">
      <w:pPr>
        <w:pStyle w:val="texte"/>
        <w:shd w:val="clear" w:color="auto" w:fill="FFFFFF"/>
        <w:spacing w:before="120" w:beforeAutospacing="0" w:after="120" w:afterAutospacing="0"/>
        <w:jc w:val="both"/>
        <w:rPr>
          <w:rFonts w:ascii="Arial" w:hAnsi="Arial" w:cs="Arial"/>
          <w:color w:val="353535"/>
          <w:sz w:val="22"/>
          <w:szCs w:val="22"/>
        </w:rPr>
      </w:pPr>
      <w:r w:rsidRPr="002875EC">
        <w:rPr>
          <w:rFonts w:ascii="Arial" w:hAnsi="Arial" w:cs="Arial"/>
          <w:color w:val="353535"/>
          <w:sz w:val="22"/>
          <w:szCs w:val="22"/>
        </w:rPr>
        <w:t>Le Rapport mondial sur le développement humain a toujours défini l’objectif fondamental du développement comme étant celui d’un élargissement de la palette de choix offerte aux êtres humains. Trois éléments essentiels constituent le cœur de ce concept :</w:t>
      </w:r>
    </w:p>
    <w:p w:rsidR="00C43F7B" w:rsidRPr="002875EC" w:rsidRDefault="00C43F7B" w:rsidP="00C43F7B">
      <w:pPr>
        <w:pStyle w:val="texte"/>
        <w:numPr>
          <w:ilvl w:val="0"/>
          <w:numId w:val="1"/>
        </w:numPr>
        <w:shd w:val="clear" w:color="auto" w:fill="FFFFFF"/>
        <w:spacing w:before="0" w:beforeAutospacing="0" w:after="0" w:afterAutospacing="0"/>
        <w:ind w:left="360"/>
        <w:rPr>
          <w:rFonts w:ascii="Arial" w:hAnsi="Arial" w:cs="Arial"/>
          <w:color w:val="353535"/>
          <w:sz w:val="22"/>
          <w:szCs w:val="22"/>
        </w:rPr>
      </w:pPr>
      <w:r w:rsidRPr="002875EC">
        <w:rPr>
          <w:rFonts w:ascii="Arial" w:hAnsi="Arial" w:cs="Arial"/>
          <w:color w:val="353535"/>
          <w:sz w:val="22"/>
          <w:szCs w:val="22"/>
        </w:rPr>
        <w:t>égalité des chances pour toutes les personnes dans la société ;</w:t>
      </w:r>
    </w:p>
    <w:p w:rsidR="00C43F7B" w:rsidRPr="002875EC" w:rsidRDefault="00C43F7B" w:rsidP="00C43F7B">
      <w:pPr>
        <w:pStyle w:val="texte"/>
        <w:numPr>
          <w:ilvl w:val="0"/>
          <w:numId w:val="1"/>
        </w:numPr>
        <w:shd w:val="clear" w:color="auto" w:fill="FFFFFF"/>
        <w:spacing w:before="0" w:beforeAutospacing="0" w:after="0" w:afterAutospacing="0"/>
        <w:ind w:left="360"/>
        <w:rPr>
          <w:rFonts w:ascii="Arial" w:hAnsi="Arial" w:cs="Arial"/>
          <w:color w:val="353535"/>
          <w:sz w:val="22"/>
          <w:szCs w:val="22"/>
        </w:rPr>
      </w:pPr>
      <w:r w:rsidRPr="002875EC">
        <w:rPr>
          <w:rFonts w:ascii="Arial" w:hAnsi="Arial" w:cs="Arial"/>
          <w:color w:val="353535"/>
          <w:sz w:val="22"/>
          <w:szCs w:val="22"/>
        </w:rPr>
        <w:t>maintien de ces chances d’une génération à l’autre ;</w:t>
      </w:r>
    </w:p>
    <w:p w:rsidR="00C43F7B" w:rsidRPr="002875EC" w:rsidRDefault="00C43F7B" w:rsidP="00C43F7B">
      <w:pPr>
        <w:pStyle w:val="texte"/>
        <w:numPr>
          <w:ilvl w:val="0"/>
          <w:numId w:val="1"/>
        </w:numPr>
        <w:shd w:val="clear" w:color="auto" w:fill="FFFFFF"/>
        <w:spacing w:before="0" w:beforeAutospacing="0" w:after="0" w:afterAutospacing="0"/>
        <w:ind w:left="360"/>
        <w:rPr>
          <w:rFonts w:ascii="Arial" w:hAnsi="Arial" w:cs="Arial"/>
          <w:color w:val="353535"/>
          <w:sz w:val="22"/>
          <w:szCs w:val="22"/>
        </w:rPr>
      </w:pPr>
      <w:r w:rsidRPr="002875EC">
        <w:rPr>
          <w:rFonts w:ascii="Arial" w:hAnsi="Arial" w:cs="Arial"/>
          <w:color w:val="353535"/>
          <w:sz w:val="22"/>
          <w:szCs w:val="22"/>
        </w:rPr>
        <w:t>accession des personnes au contrôle de leur destinée afin qu’elles participent aux processus de développement et qu’elles en tirent parti.</w:t>
      </w:r>
    </w:p>
    <w:p w:rsidR="001474CD" w:rsidRPr="002875EC" w:rsidRDefault="001474CD" w:rsidP="002A3046">
      <w:pPr>
        <w:pStyle w:val="texte"/>
        <w:shd w:val="clear" w:color="auto" w:fill="FFFFFF"/>
        <w:spacing w:before="0" w:beforeAutospacing="0" w:after="0" w:afterAutospacing="0"/>
        <w:rPr>
          <w:rFonts w:ascii="Arial" w:hAnsi="Arial" w:cs="Arial"/>
          <w:color w:val="353535"/>
          <w:sz w:val="22"/>
          <w:szCs w:val="22"/>
        </w:rPr>
      </w:pPr>
    </w:p>
    <w:p w:rsidR="001474CD" w:rsidRPr="002875EC" w:rsidRDefault="001474CD" w:rsidP="001474CD">
      <w:pPr>
        <w:rPr>
          <w:rFonts w:ascii="Arial" w:hAnsi="Arial" w:cs="Arial"/>
        </w:rPr>
      </w:pPr>
      <w:r w:rsidRPr="002875EC">
        <w:rPr>
          <w:rFonts w:ascii="Arial" w:hAnsi="Arial" w:cs="Arial"/>
        </w:rPr>
        <w:t xml:space="preserve">Les initiatives développées par le Gouvernement à travers le Ministère des Affaires Sociales, de la Promotion Féminine et de l’Enfance et des personnes handicapées pour l’éradication des disparités entre les hommes et les femmes en Guinée, n’auront d’effets que dans une synergie d’actions et une approche systémique des questions genre, qui impliqueront tous les secteurs et acteurs clés du développement socioéconomique du pays. </w:t>
      </w:r>
    </w:p>
    <w:p w:rsidR="001474CD" w:rsidRPr="002875EC" w:rsidRDefault="001474CD" w:rsidP="001474CD">
      <w:pPr>
        <w:rPr>
          <w:rFonts w:ascii="Arial" w:hAnsi="Arial" w:cs="Arial"/>
        </w:rPr>
      </w:pPr>
      <w:r w:rsidRPr="002875EC">
        <w:rPr>
          <w:rFonts w:ascii="Arial" w:hAnsi="Arial" w:cs="Arial"/>
        </w:rPr>
        <w:t>L’élaboration du</w:t>
      </w:r>
      <w:r w:rsidR="00891590" w:rsidRPr="002875EC">
        <w:rPr>
          <w:rFonts w:ascii="Arial" w:hAnsi="Arial" w:cs="Arial"/>
        </w:rPr>
        <w:t xml:space="preserve"> </w:t>
      </w:r>
      <w:r w:rsidRPr="002875EC">
        <w:rPr>
          <w:rFonts w:ascii="Arial" w:hAnsi="Arial" w:cs="Arial"/>
        </w:rPr>
        <w:t xml:space="preserve">document </w:t>
      </w:r>
      <w:r w:rsidR="00891590" w:rsidRPr="002875EC">
        <w:rPr>
          <w:rFonts w:ascii="Arial" w:hAnsi="Arial" w:cs="Arial"/>
        </w:rPr>
        <w:t xml:space="preserve">en </w:t>
      </w:r>
      <w:r w:rsidR="0023290F" w:rsidRPr="002875EC">
        <w:rPr>
          <w:rFonts w:ascii="Arial" w:hAnsi="Arial" w:cs="Arial"/>
        </w:rPr>
        <w:t>élaboration- l</w:t>
      </w:r>
      <w:r w:rsidR="00D867AC" w:rsidRPr="002875EC">
        <w:rPr>
          <w:rFonts w:ascii="Arial" w:hAnsi="Arial" w:cs="Arial"/>
        </w:rPr>
        <w:t xml:space="preserve">a </w:t>
      </w:r>
      <w:r w:rsidRPr="002875EC">
        <w:rPr>
          <w:rFonts w:ascii="Arial" w:hAnsi="Arial" w:cs="Arial"/>
        </w:rPr>
        <w:t>Stratégie Nationale Genre et Équité (SGE)</w:t>
      </w:r>
      <w:r w:rsidR="0023290F" w:rsidRPr="002875EC">
        <w:rPr>
          <w:rFonts w:ascii="Arial" w:hAnsi="Arial" w:cs="Arial"/>
        </w:rPr>
        <w:t xml:space="preserve"> - </w:t>
      </w:r>
      <w:r w:rsidRPr="002875EC">
        <w:rPr>
          <w:rFonts w:ascii="Arial" w:hAnsi="Arial" w:cs="Arial"/>
        </w:rPr>
        <w:t xml:space="preserve">non seulement s’inspire de la Politique National Genre mais puise la quintessence de ses orientations stratégiques dans les documents de politiques sectorielles déjà validés par le Gouvernement et ses partenaires au développement, se présente comme l’expression de cette ferme conviction. </w:t>
      </w:r>
    </w:p>
    <w:p w:rsidR="001474CD" w:rsidRPr="002875EC" w:rsidRDefault="001474CD" w:rsidP="001474CD">
      <w:pPr>
        <w:rPr>
          <w:rFonts w:ascii="Arial" w:hAnsi="Arial" w:cs="Arial"/>
        </w:rPr>
      </w:pPr>
      <w:r w:rsidRPr="002875EC">
        <w:rPr>
          <w:rFonts w:ascii="Arial" w:hAnsi="Arial" w:cs="Arial"/>
        </w:rPr>
        <w:t xml:space="preserve">Cette stratégie Nationale Genre et Équité vise également à réaffirmer la volonté du Gouvernement d’honorer ses engagements en donnant une raison d’espérer et une utilité tangible aux instruments juridiques internationaux sur les droits humains qu’il a signés et ratifiés. L’approche de solution trans sectorielle des questions d’équité et d’égalité n’est pas une spécificité guinéenne. </w:t>
      </w:r>
    </w:p>
    <w:p w:rsidR="001474CD" w:rsidRPr="002875EC" w:rsidRDefault="001474CD" w:rsidP="001474CD">
      <w:pPr>
        <w:rPr>
          <w:rFonts w:ascii="Arial" w:hAnsi="Arial" w:cs="Arial"/>
        </w:rPr>
      </w:pPr>
      <w:r w:rsidRPr="002875EC">
        <w:rPr>
          <w:rFonts w:ascii="Arial" w:hAnsi="Arial" w:cs="Arial"/>
        </w:rPr>
        <w:t xml:space="preserve">En effet, au cours de ces deux dernières décennies, plusieurs sommets internationaux ont servi de cadres à des activités de lobbying et de plaidoyer pour dénoncer l’aggravation des disparités sociales en particulier chez les femmes et les couches vulnérables, toutes victimes des conséquences de schémas de développement basés fondamentalement sur l’exclusion et la marginalisation. Il n’y a pas encore longtemps que très peu de gouvernants se préoccupaient de la redistribution équitable et égalitaire des rôles et des responsabilités entre femmes et hommes, filles et garçons au sein de la famille et de la communauté. </w:t>
      </w:r>
    </w:p>
    <w:p w:rsidR="001474CD" w:rsidRPr="002875EC" w:rsidRDefault="001474CD" w:rsidP="001474CD">
      <w:pPr>
        <w:rPr>
          <w:rFonts w:ascii="Arial" w:hAnsi="Arial" w:cs="Arial"/>
        </w:rPr>
      </w:pPr>
      <w:r w:rsidRPr="002875EC">
        <w:rPr>
          <w:rFonts w:ascii="Arial" w:hAnsi="Arial" w:cs="Arial"/>
        </w:rPr>
        <w:t xml:space="preserve">Ainsi, nombreux sont les systèmes de type patrilinéaire à travers le monde qui ont contribué à cette stigmatisation sociale qui confine les femmes dans leurs fonctions originelles et rôles traditionnels de procréation et de maintien du bien-être familial. </w:t>
      </w:r>
    </w:p>
    <w:p w:rsidR="001474CD" w:rsidRPr="002875EC" w:rsidRDefault="001474CD" w:rsidP="001474CD">
      <w:pPr>
        <w:rPr>
          <w:rFonts w:ascii="Arial" w:hAnsi="Arial" w:cs="Arial"/>
        </w:rPr>
      </w:pPr>
      <w:r w:rsidRPr="002875EC">
        <w:rPr>
          <w:rFonts w:ascii="Arial" w:hAnsi="Arial" w:cs="Arial"/>
        </w:rPr>
        <w:t xml:space="preserve">L’intégration de l’approche Genre dans les politiques sectorielles plus particulièrement la santé, du fait de sa vision transversale des questions de développement, constitue, l’une des solutions pour équilibrer et humaniser les rapports de forces entre les hommes et les femmes et résorber les nombreuses difficultés liées à une redistribution équitable et égalitaire des ressources et bénéfices découlant de la mise en œuvre des politiques et programmes. </w:t>
      </w:r>
    </w:p>
    <w:p w:rsidR="001474CD" w:rsidRPr="002875EC" w:rsidRDefault="001474CD" w:rsidP="001474CD">
      <w:pPr>
        <w:rPr>
          <w:rFonts w:ascii="Arial" w:hAnsi="Arial" w:cs="Arial"/>
        </w:rPr>
      </w:pPr>
      <w:r w:rsidRPr="002875EC">
        <w:rPr>
          <w:rFonts w:ascii="Arial" w:hAnsi="Arial" w:cs="Arial"/>
        </w:rPr>
        <w:t xml:space="preserve">Pour marquer son adhésion aux avancées significatives sur les droits humains enregistrées à l’échelle internationale, nombreuses réformes d’ordres politique et institutionnel ont été entreprises en Guinée pour inverser une réalité socioéconomique et politique fortement caractérisée par des disparités grandissantes entre les hommes et les femmes. En dépit de la volonté affichée et les efforts consenti, les séquelles socioculturelles et autres facteurs discriminatoires perdurent et n’ont jusqu’à présent pas permis de juguler ces disparités dont les femmes dans leur grande majorité sont victimes en termes d’accès à l’exercice de pouvoir et de responsabilité. </w:t>
      </w:r>
    </w:p>
    <w:p w:rsidR="001474CD" w:rsidRPr="002875EC" w:rsidRDefault="001474CD" w:rsidP="001474CD"/>
    <w:p w:rsidR="001474CD" w:rsidRPr="002875EC" w:rsidRDefault="001474CD" w:rsidP="0023290F">
      <w:pPr>
        <w:rPr>
          <w:b/>
          <w:sz w:val="24"/>
          <w:szCs w:val="24"/>
        </w:rPr>
      </w:pPr>
      <w:bookmarkStart w:id="3" w:name="_Toc92776535"/>
      <w:bookmarkStart w:id="4" w:name="_Toc92866813"/>
      <w:r w:rsidRPr="002875EC">
        <w:rPr>
          <w:b/>
          <w:sz w:val="24"/>
          <w:szCs w:val="24"/>
        </w:rPr>
        <w:t>Référentiels et principes fondateurs de la stratégie</w:t>
      </w:r>
      <w:bookmarkEnd w:id="3"/>
      <w:bookmarkEnd w:id="4"/>
    </w:p>
    <w:p w:rsidR="001474CD" w:rsidRPr="002875EC" w:rsidRDefault="001474CD" w:rsidP="001474CD">
      <w:pPr>
        <w:rPr>
          <w:rFonts w:ascii="Arial" w:hAnsi="Arial" w:cs="Arial"/>
        </w:rPr>
      </w:pPr>
      <w:r w:rsidRPr="002875EC">
        <w:rPr>
          <w:rFonts w:ascii="Arial" w:hAnsi="Arial" w:cs="Arial"/>
        </w:rPr>
        <w:t xml:space="preserve">En visant la réalisation de l’équité et de l’égalité entre les sexes par l’intégration de l’approche genre, cette stratégie s’appuie sur les référentiels suivants : </w:t>
      </w:r>
    </w:p>
    <w:p w:rsidR="001474CD" w:rsidRPr="002875EC" w:rsidRDefault="001474CD" w:rsidP="001474CD">
      <w:pPr>
        <w:pStyle w:val="Paragraphedeliste"/>
        <w:numPr>
          <w:ilvl w:val="0"/>
          <w:numId w:val="12"/>
        </w:numPr>
        <w:rPr>
          <w:rFonts w:ascii="Arial" w:hAnsi="Arial" w:cs="Arial"/>
        </w:rPr>
      </w:pPr>
      <w:r w:rsidRPr="002875EC">
        <w:rPr>
          <w:rFonts w:ascii="Arial" w:hAnsi="Arial" w:cs="Arial"/>
        </w:rPr>
        <w:t xml:space="preserve">La religion et les considérations coutumières, qui incitent à la justice et à l’équité ; </w:t>
      </w:r>
    </w:p>
    <w:p w:rsidR="001474CD" w:rsidRPr="002875EC" w:rsidRDefault="001474CD" w:rsidP="001474CD">
      <w:pPr>
        <w:pStyle w:val="Paragraphedeliste"/>
        <w:numPr>
          <w:ilvl w:val="0"/>
          <w:numId w:val="12"/>
        </w:numPr>
        <w:rPr>
          <w:rFonts w:ascii="Arial" w:hAnsi="Arial" w:cs="Arial"/>
        </w:rPr>
      </w:pPr>
      <w:r w:rsidRPr="002875EC">
        <w:rPr>
          <w:rFonts w:ascii="Arial" w:hAnsi="Arial" w:cs="Arial"/>
        </w:rPr>
        <w:t xml:space="preserve">La constitution, qui stipule l’égalité entre les sexes dans tous les domaines et l’égalité des citoyens devant la loi ; </w:t>
      </w:r>
    </w:p>
    <w:p w:rsidR="001474CD" w:rsidRPr="002875EC" w:rsidRDefault="001474CD" w:rsidP="001474CD">
      <w:pPr>
        <w:pStyle w:val="Paragraphedeliste"/>
        <w:numPr>
          <w:ilvl w:val="0"/>
          <w:numId w:val="12"/>
        </w:numPr>
        <w:rPr>
          <w:rFonts w:ascii="Arial" w:hAnsi="Arial" w:cs="Arial"/>
        </w:rPr>
      </w:pPr>
      <w:r w:rsidRPr="002875EC">
        <w:rPr>
          <w:rFonts w:ascii="Arial" w:hAnsi="Arial" w:cs="Arial"/>
        </w:rPr>
        <w:t xml:space="preserve">Les directives de l’État plus particulièrement du Ministère de la santé à travers les recommandations de l’OMS pour l’amélioration de la situation des femmes ; </w:t>
      </w:r>
    </w:p>
    <w:p w:rsidR="001474CD" w:rsidRPr="002875EC" w:rsidRDefault="001474CD" w:rsidP="001474CD">
      <w:pPr>
        <w:pStyle w:val="Paragraphedeliste"/>
        <w:numPr>
          <w:ilvl w:val="0"/>
          <w:numId w:val="12"/>
        </w:numPr>
        <w:rPr>
          <w:rFonts w:ascii="Arial" w:hAnsi="Arial" w:cs="Arial"/>
        </w:rPr>
      </w:pPr>
      <w:r w:rsidRPr="002875EC">
        <w:rPr>
          <w:rFonts w:ascii="Arial" w:hAnsi="Arial" w:cs="Arial"/>
        </w:rPr>
        <w:t xml:space="preserve">Les conventions internationales, et plus particulièrement la convention internationale sur l’élimination de toutes les formes de discrimination à l’égard des femmes (CEDAW). Elle se base également sur les fondements suivants : </w:t>
      </w:r>
    </w:p>
    <w:p w:rsidR="001474CD" w:rsidRPr="002875EC" w:rsidRDefault="001474CD" w:rsidP="001474CD">
      <w:pPr>
        <w:pStyle w:val="Paragraphedeliste"/>
        <w:numPr>
          <w:ilvl w:val="0"/>
          <w:numId w:val="12"/>
        </w:numPr>
        <w:rPr>
          <w:rFonts w:ascii="Arial" w:hAnsi="Arial" w:cs="Arial"/>
        </w:rPr>
      </w:pPr>
      <w:r w:rsidRPr="002875EC">
        <w:rPr>
          <w:rFonts w:ascii="Arial" w:hAnsi="Arial" w:cs="Arial"/>
        </w:rPr>
        <w:t xml:space="preserve">Le principe de l’égalité comme valeur universelle et enjeu important pour la construction de la démocratie ; </w:t>
      </w:r>
    </w:p>
    <w:p w:rsidR="001474CD" w:rsidRPr="002875EC" w:rsidRDefault="001474CD" w:rsidP="001474CD">
      <w:pPr>
        <w:pStyle w:val="Paragraphedeliste"/>
        <w:numPr>
          <w:ilvl w:val="0"/>
          <w:numId w:val="12"/>
        </w:numPr>
        <w:rPr>
          <w:rFonts w:ascii="Arial" w:hAnsi="Arial" w:cs="Arial"/>
        </w:rPr>
      </w:pPr>
      <w:r w:rsidRPr="002875EC">
        <w:rPr>
          <w:rFonts w:ascii="Arial" w:hAnsi="Arial" w:cs="Arial"/>
        </w:rPr>
        <w:t xml:space="preserve">L’esprit égalitaire du Code de la Famille ; </w:t>
      </w:r>
    </w:p>
    <w:p w:rsidR="001474CD" w:rsidRPr="002875EC" w:rsidRDefault="001474CD" w:rsidP="001474CD">
      <w:pPr>
        <w:pStyle w:val="Paragraphedeliste"/>
        <w:numPr>
          <w:ilvl w:val="0"/>
          <w:numId w:val="12"/>
        </w:numPr>
        <w:rPr>
          <w:rFonts w:ascii="Arial" w:hAnsi="Arial" w:cs="Arial"/>
        </w:rPr>
      </w:pPr>
      <w:r w:rsidRPr="002875EC">
        <w:rPr>
          <w:rFonts w:ascii="Arial" w:hAnsi="Arial" w:cs="Arial"/>
        </w:rPr>
        <w:t xml:space="preserve">L’Initiative Nationale pour le Développement Humain ; </w:t>
      </w:r>
    </w:p>
    <w:p w:rsidR="001474CD" w:rsidRPr="002875EC" w:rsidRDefault="001474CD" w:rsidP="001474CD">
      <w:pPr>
        <w:pStyle w:val="Paragraphedeliste"/>
        <w:numPr>
          <w:ilvl w:val="0"/>
          <w:numId w:val="12"/>
        </w:numPr>
        <w:rPr>
          <w:rFonts w:ascii="Arial" w:hAnsi="Arial" w:cs="Arial"/>
          <w:i/>
          <w:color w:val="F4B083" w:themeColor="accent2" w:themeTint="99"/>
        </w:rPr>
      </w:pPr>
      <w:r w:rsidRPr="002875EC">
        <w:rPr>
          <w:rFonts w:ascii="Arial" w:hAnsi="Arial" w:cs="Arial"/>
        </w:rPr>
        <w:t>Les Objectifs du Millénaire.</w:t>
      </w:r>
      <w:r w:rsidRPr="002875EC">
        <w:rPr>
          <w:rFonts w:ascii="Arial" w:hAnsi="Arial" w:cs="Arial"/>
          <w:i/>
          <w:color w:val="F4B083" w:themeColor="accent2" w:themeTint="99"/>
        </w:rPr>
        <w:t xml:space="preserve">    </w:t>
      </w:r>
    </w:p>
    <w:p w:rsidR="001474CD" w:rsidRDefault="001474CD" w:rsidP="001474CD">
      <w:pPr>
        <w:rPr>
          <w:rFonts w:ascii="Arial" w:hAnsi="Arial" w:cs="Arial"/>
          <w:color w:val="F4B083" w:themeColor="accent2" w:themeTint="99"/>
        </w:rPr>
      </w:pPr>
    </w:p>
    <w:p w:rsidR="000A5CF1" w:rsidRDefault="000A5CF1" w:rsidP="001474CD">
      <w:pPr>
        <w:rPr>
          <w:rFonts w:ascii="Arial" w:hAnsi="Arial" w:cs="Arial"/>
          <w:color w:val="F4B083" w:themeColor="accent2" w:themeTint="99"/>
        </w:rPr>
      </w:pPr>
    </w:p>
    <w:p w:rsidR="000A5CF1" w:rsidRPr="002875EC" w:rsidRDefault="000A5CF1" w:rsidP="001474CD">
      <w:pPr>
        <w:rPr>
          <w:rFonts w:ascii="Arial" w:hAnsi="Arial" w:cs="Arial"/>
          <w:color w:val="F4B083" w:themeColor="accent2" w:themeTint="99"/>
        </w:rPr>
      </w:pPr>
    </w:p>
    <w:p w:rsidR="001474CD" w:rsidRPr="002875EC" w:rsidRDefault="001474CD" w:rsidP="0023290F">
      <w:pPr>
        <w:rPr>
          <w:b/>
          <w:sz w:val="24"/>
          <w:szCs w:val="24"/>
        </w:rPr>
      </w:pPr>
      <w:bookmarkStart w:id="5" w:name="_Toc92776536"/>
      <w:bookmarkStart w:id="6" w:name="_Toc92866814"/>
      <w:r w:rsidRPr="002875EC">
        <w:rPr>
          <w:b/>
          <w:sz w:val="24"/>
          <w:szCs w:val="24"/>
        </w:rPr>
        <w:t>Le processus d’élaboration de la stratégie</w:t>
      </w:r>
      <w:bookmarkEnd w:id="5"/>
      <w:bookmarkEnd w:id="6"/>
    </w:p>
    <w:p w:rsidR="001474CD" w:rsidRPr="002875EC" w:rsidRDefault="001474CD" w:rsidP="001474CD">
      <w:pPr>
        <w:rPr>
          <w:rFonts w:ascii="Arial" w:hAnsi="Arial" w:cs="Arial"/>
        </w:rPr>
      </w:pPr>
      <w:r w:rsidRPr="002875EC">
        <w:rPr>
          <w:rFonts w:ascii="Arial" w:hAnsi="Arial" w:cs="Arial"/>
        </w:rPr>
        <w:t xml:space="preserve">Élaborée à partir d’une analyse minutieuse des disparités et discriminations réelles observées dans la vie publique et privée, la stratégie s’inspire également des initiatives menées jusqu’à présent pour réduire ces inégalités. Elle s’appuie en outre sur l’état des lieux et les différents travaux réalisés par les organismes nationaux, et internationaux ainsi que les </w:t>
      </w:r>
      <w:proofErr w:type="spellStart"/>
      <w:r w:rsidRPr="002875EC">
        <w:rPr>
          <w:rFonts w:ascii="Arial" w:hAnsi="Arial" w:cs="Arial"/>
        </w:rPr>
        <w:t>ONGs</w:t>
      </w:r>
      <w:proofErr w:type="spellEnd"/>
      <w:r w:rsidRPr="002875EC">
        <w:rPr>
          <w:rFonts w:ascii="Arial" w:hAnsi="Arial" w:cs="Arial"/>
        </w:rPr>
        <w:t>, à travers une revue documentaire.</w:t>
      </w:r>
    </w:p>
    <w:p w:rsidR="001474CD" w:rsidRPr="002875EC" w:rsidRDefault="001474CD" w:rsidP="001474CD">
      <w:pPr>
        <w:rPr>
          <w:rFonts w:ascii="Arial" w:hAnsi="Arial" w:cs="Arial"/>
        </w:rPr>
      </w:pPr>
      <w:r w:rsidRPr="002875EC">
        <w:rPr>
          <w:rFonts w:ascii="Arial" w:hAnsi="Arial" w:cs="Arial"/>
        </w:rPr>
        <w:t xml:space="preserve">La stratégie repose sur une réflexion qui permet, aujourd’hui, de mieux comprendre la façon dont les formes d’inégalités fondées sur le genre, tendent à handicaper les politiques de développement humain et économique et à limiter leur efficacité. </w:t>
      </w:r>
    </w:p>
    <w:p w:rsidR="001474CD" w:rsidRPr="002875EC" w:rsidRDefault="001474CD" w:rsidP="001474CD">
      <w:pPr>
        <w:rPr>
          <w:rFonts w:ascii="Arial" w:hAnsi="Arial" w:cs="Arial"/>
        </w:rPr>
      </w:pPr>
      <w:r w:rsidRPr="002875EC">
        <w:rPr>
          <w:rFonts w:ascii="Arial" w:hAnsi="Arial" w:cs="Arial"/>
        </w:rPr>
        <w:t xml:space="preserve">Conscient de la dimension nationale de cette stratégie, le Ministère de la Santé et de l’Hygiène Publique MSHP a tenu à associer et à faire adhérer un grand nombre d’acteurs (départements ministériels, </w:t>
      </w:r>
      <w:proofErr w:type="spellStart"/>
      <w:r w:rsidRPr="002875EC">
        <w:rPr>
          <w:rFonts w:ascii="Arial" w:hAnsi="Arial" w:cs="Arial"/>
        </w:rPr>
        <w:t>ONGs</w:t>
      </w:r>
      <w:proofErr w:type="spellEnd"/>
      <w:r w:rsidRPr="002875EC">
        <w:rPr>
          <w:rFonts w:ascii="Arial" w:hAnsi="Arial" w:cs="Arial"/>
        </w:rPr>
        <w:t xml:space="preserve">, secteur privé et organismes internationaux) à toutes les phases de son élaboration, afin que le produit final soit le fruit d’une concertation élargie. </w:t>
      </w:r>
    </w:p>
    <w:p w:rsidR="001474CD" w:rsidRPr="002875EC" w:rsidRDefault="001474CD" w:rsidP="001474CD">
      <w:pPr>
        <w:rPr>
          <w:rFonts w:ascii="Arial" w:hAnsi="Arial" w:cs="Arial"/>
        </w:rPr>
      </w:pPr>
      <w:r w:rsidRPr="002875EC">
        <w:rPr>
          <w:rFonts w:ascii="Arial" w:hAnsi="Arial" w:cs="Arial"/>
        </w:rPr>
        <w:t xml:space="preserve">L’élaboration de la stratégie s’est, par conséquent, déroulée en plusieurs étapes : </w:t>
      </w:r>
    </w:p>
    <w:p w:rsidR="001474CD" w:rsidRPr="002875EC" w:rsidRDefault="001474CD" w:rsidP="001474CD">
      <w:pPr>
        <w:rPr>
          <w:rFonts w:ascii="Arial" w:hAnsi="Arial" w:cs="Arial"/>
        </w:rPr>
      </w:pPr>
      <w:r w:rsidRPr="002875EC">
        <w:rPr>
          <w:rFonts w:ascii="Arial" w:hAnsi="Arial" w:cs="Arial"/>
        </w:rPr>
        <w:t xml:space="preserve">1) Production d’un Draft 0 par le SGE </w:t>
      </w:r>
    </w:p>
    <w:p w:rsidR="001474CD" w:rsidRPr="002875EC" w:rsidRDefault="001474CD" w:rsidP="001474CD">
      <w:pPr>
        <w:rPr>
          <w:rFonts w:ascii="Arial" w:hAnsi="Arial" w:cs="Arial"/>
        </w:rPr>
      </w:pPr>
      <w:r w:rsidRPr="002875EC">
        <w:rPr>
          <w:rFonts w:ascii="Arial" w:hAnsi="Arial" w:cs="Arial"/>
        </w:rPr>
        <w:t xml:space="preserve">2) Phase de la validation de la vision, des orientations générales et des objectifs  (Novembre 2021). </w:t>
      </w:r>
    </w:p>
    <w:p w:rsidR="001474CD" w:rsidRPr="002875EC" w:rsidRDefault="001474CD" w:rsidP="001474CD">
      <w:pPr>
        <w:rPr>
          <w:rFonts w:ascii="Arial" w:hAnsi="Arial" w:cs="Arial"/>
        </w:rPr>
      </w:pPr>
      <w:r w:rsidRPr="002875EC">
        <w:rPr>
          <w:rFonts w:ascii="Arial" w:hAnsi="Arial" w:cs="Arial"/>
        </w:rPr>
        <w:t xml:space="preserve">3) Phase de recherche/ revue documentaire (à partir de Novembre 2021 pilotée par la GIZ) : elle doit  porter sur l’élaboration d’une première version qui sera soumise, dans un premier temps, à l’appréciation d’un groupe d’expert(e)s dans les divers domaines couverts par la stratégie. </w:t>
      </w:r>
    </w:p>
    <w:p w:rsidR="001474CD" w:rsidRPr="002875EC" w:rsidRDefault="001474CD" w:rsidP="001474CD">
      <w:pPr>
        <w:rPr>
          <w:rFonts w:ascii="Arial" w:hAnsi="Arial" w:cs="Arial"/>
        </w:rPr>
      </w:pPr>
      <w:r w:rsidRPr="002875EC">
        <w:rPr>
          <w:rFonts w:ascii="Arial" w:hAnsi="Arial" w:cs="Arial"/>
        </w:rPr>
        <w:t>4) Phase d’enrichissement et validation du contenu de la stratégie par les différents acteurs.</w:t>
      </w:r>
    </w:p>
    <w:p w:rsidR="001474CD" w:rsidRPr="002875EC" w:rsidRDefault="001474CD" w:rsidP="001474CD">
      <w:pPr>
        <w:rPr>
          <w:rFonts w:ascii="Arial" w:hAnsi="Arial" w:cs="Arial"/>
        </w:rPr>
      </w:pPr>
      <w:r w:rsidRPr="002875EC">
        <w:rPr>
          <w:rFonts w:ascii="Arial" w:hAnsi="Arial" w:cs="Arial"/>
        </w:rPr>
        <w:t>Dans la sous-région il existent des « Stratégie Nationale pour l'</w:t>
      </w:r>
      <w:proofErr w:type="spellStart"/>
      <w:r w:rsidRPr="002875EC">
        <w:rPr>
          <w:rFonts w:ascii="Arial" w:hAnsi="Arial" w:cs="Arial"/>
        </w:rPr>
        <w:t>Egalité</w:t>
      </w:r>
      <w:proofErr w:type="spellEnd"/>
      <w:r w:rsidRPr="002875EC">
        <w:rPr>
          <w:rFonts w:ascii="Arial" w:hAnsi="Arial" w:cs="Arial"/>
        </w:rPr>
        <w:t xml:space="preserve"> et l'</w:t>
      </w:r>
      <w:proofErr w:type="spellStart"/>
      <w:r w:rsidRPr="002875EC">
        <w:rPr>
          <w:rFonts w:ascii="Arial" w:hAnsi="Arial" w:cs="Arial"/>
        </w:rPr>
        <w:t>Equité</w:t>
      </w:r>
      <w:proofErr w:type="spellEnd"/>
      <w:r w:rsidRPr="002875EC">
        <w:rPr>
          <w:rFonts w:ascii="Arial" w:hAnsi="Arial" w:cs="Arial"/>
        </w:rPr>
        <w:t xml:space="preserve"> de Genre » par exemple du Sénégal SNEEG2 </w:t>
      </w:r>
      <w:r w:rsidRPr="002875EC">
        <w:rPr>
          <w:rFonts w:ascii="Arial" w:hAnsi="Arial" w:cs="Arial"/>
        </w:rPr>
        <w:fldChar w:fldCharType="begin"/>
      </w:r>
      <w:r w:rsidRPr="002875EC">
        <w:rPr>
          <w:rFonts w:ascii="Arial" w:hAnsi="Arial" w:cs="Arial"/>
        </w:rPr>
        <w:instrText xml:space="preserve"> ADDIN ZOTERO_ITEM CSL_CITATION {"citationID":"fBxmpE7W","properties":{"formattedCitation":"(Minist\\uc0\\u232{}re de Femme, de la famille et de l\\uc0\\u8217{}enfance, 2015)","plainCitation":"(Ministère de Femme, de la famille et de l’enfance, 2015)","noteIndex":0},"citationItems":[{"id":1641,"uris":["http://zotero.org/users/7385021/items/9CUKJFHT"],"uri":["http://zotero.org/users/7385021/items/9CUKJFHT"],"itemData":{"id":1641,"type":"article","title":"Stratégie Nationale pour l'Egalité et l'Equité de Genre (S.N.E.E.G) Sénegal 2016 – 2026","URL":"http://www.directiongenre.com/docs/SNEEG%202.pdf","author":[{"family":"Ministère de Femme, de la famille et de l’enfance","given":""}],"issued":{"date-parts":[["2015"]]}}}],"schema":"https://github.com/citation-style-language/schema/raw/master/csl-citation.json"} </w:instrText>
      </w:r>
      <w:r w:rsidRPr="002875EC">
        <w:rPr>
          <w:rFonts w:ascii="Arial" w:hAnsi="Arial" w:cs="Arial"/>
        </w:rPr>
        <w:fldChar w:fldCharType="separate"/>
      </w:r>
      <w:r w:rsidRPr="002875EC">
        <w:rPr>
          <w:rFonts w:ascii="Arial" w:hAnsi="Arial" w:cs="Arial"/>
        </w:rPr>
        <w:t>(Ministère de Femme, de la famille et de l’enfance, 2015)</w:t>
      </w:r>
      <w:r w:rsidRPr="002875EC">
        <w:rPr>
          <w:rFonts w:ascii="Arial" w:hAnsi="Arial" w:cs="Arial"/>
        </w:rPr>
        <w:fldChar w:fldCharType="end"/>
      </w:r>
      <w:r w:rsidRPr="002875EC">
        <w:rPr>
          <w:rFonts w:ascii="Arial" w:hAnsi="Arial" w:cs="Arial"/>
        </w:rPr>
        <w:t xml:space="preserve"> et de la République du Tchad « PNG » </w:t>
      </w:r>
      <w:r w:rsidRPr="002875EC">
        <w:rPr>
          <w:rFonts w:ascii="Arial" w:hAnsi="Arial" w:cs="Arial"/>
        </w:rPr>
        <w:fldChar w:fldCharType="begin"/>
      </w:r>
      <w:r w:rsidRPr="002875EC">
        <w:rPr>
          <w:rFonts w:ascii="Arial" w:hAnsi="Arial" w:cs="Arial"/>
        </w:rPr>
        <w:instrText xml:space="preserve"> ADDIN ZOTERO_ITEM CSL_CITATION {"citationID":"GpBFlAoG","properties":{"formattedCitation":"(Pr\\uc0\\u233{}sidence, Minist\\uc0\\u232{}re de la Femme, Protection de l\\uc0\\u8217{}Enfance et Solidarit\\uc0\\u233{} Nationale, 2018)","plainCitation":"(Présidence, Ministère de la Femme, Protection de l’Enfance et Solidarité Nationale, 2018)","noteIndex":0},"citationItems":[{"id":1640,"uris":["http://zotero.org/users/7385021/items/YVJV6DSY"],"uri":["http://zotero.org/users/7385021/items/YVJV6DSY"],"itemData":{"id":1640,"type":"article-journal","container-title":"de la","language":"fr","page":"49","source":"Zotero","title":"Plan d’Action Quinquennal 2019-2023 (PNG), République du Tchad","author":[{"family":"Présidence, Ministère de la Femme, Protection de l’Enfance et Solidarité Nationale","given":""}],"issued":{"date-parts":[["2018"]]}}}],"schema":"https://github.com/citation-style-language/schema/raw/master/csl-citation.json"} </w:instrText>
      </w:r>
      <w:r w:rsidRPr="002875EC">
        <w:rPr>
          <w:rFonts w:ascii="Arial" w:hAnsi="Arial" w:cs="Arial"/>
        </w:rPr>
        <w:fldChar w:fldCharType="separate"/>
      </w:r>
      <w:r w:rsidRPr="002875EC">
        <w:rPr>
          <w:rFonts w:ascii="Arial" w:hAnsi="Arial" w:cs="Arial"/>
        </w:rPr>
        <w:t>(Présidence, Ministère de la Femme, Protection de l’Enfance et Solidarité Nationale, 2018)</w:t>
      </w:r>
      <w:r w:rsidRPr="002875EC">
        <w:rPr>
          <w:rFonts w:ascii="Arial" w:hAnsi="Arial" w:cs="Arial"/>
        </w:rPr>
        <w:fldChar w:fldCharType="end"/>
      </w:r>
      <w:r w:rsidRPr="002875EC">
        <w:rPr>
          <w:rFonts w:ascii="Arial" w:hAnsi="Arial" w:cs="Arial"/>
        </w:rPr>
        <w:t>, qui pourraient servir d’exemple mais comme ils couvrent toutes les secteurs (nationaux) pour le but de la SGE devrait être adapté spécifiquement au secteur santé. Les activités sont dirigés principalement à 1. la hiérarchie du Ministère de santé, services aux niveau central (directions, programmes, ..) et ses entités déconcentrées (DRS et DPS).  2. Les employés à toutes les niveaux du Ministère de santé, 3. Les usagers des services de santé principalement étatique.</w:t>
      </w:r>
    </w:p>
    <w:p w:rsidR="0023290F" w:rsidRPr="002875EC" w:rsidRDefault="001474CD" w:rsidP="001474CD">
      <w:pPr>
        <w:rPr>
          <w:rFonts w:ascii="Arial" w:hAnsi="Arial" w:cs="Arial"/>
        </w:rPr>
      </w:pPr>
      <w:r w:rsidRPr="002875EC">
        <w:rPr>
          <w:rFonts w:ascii="Arial" w:hAnsi="Arial" w:cs="Arial"/>
        </w:rPr>
        <w:t xml:space="preserve">Dans la conjoncture actuelle du sous-financement de l’état l’appui et collaboration des partenaires (UNFPA, UNICEF, OMS, FM, UE, BM, USAID/JHPIEGO, Enabel, GIZ et autres) est important pour exploiter les complémentarités et s’entendre sur des activités prioritaires. </w:t>
      </w:r>
    </w:p>
    <w:p w:rsidR="001474CD" w:rsidRPr="002875EC" w:rsidRDefault="0023290F" w:rsidP="0023290F">
      <w:pPr>
        <w:rPr>
          <w:rFonts w:ascii="Arial" w:hAnsi="Arial" w:cs="Arial"/>
          <w:b/>
        </w:rPr>
      </w:pPr>
      <w:r w:rsidRPr="002875EC">
        <w:rPr>
          <w:rFonts w:ascii="Arial" w:hAnsi="Arial" w:cs="Arial"/>
          <w:b/>
        </w:rPr>
        <w:t xml:space="preserve">Documents disponible </w:t>
      </w:r>
      <w:proofErr w:type="spellStart"/>
      <w:r w:rsidRPr="002875EC">
        <w:rPr>
          <w:rFonts w:ascii="Arial" w:hAnsi="Arial" w:cs="Arial"/>
          <w:b/>
        </w:rPr>
        <w:t>pout</w:t>
      </w:r>
      <w:proofErr w:type="spellEnd"/>
      <w:r w:rsidRPr="002875EC">
        <w:rPr>
          <w:rFonts w:ascii="Arial" w:hAnsi="Arial" w:cs="Arial"/>
          <w:b/>
        </w:rPr>
        <w:t xml:space="preserve"> l’étape suivante « Finalisation et de validation du plan </w:t>
      </w:r>
      <w:proofErr w:type="spellStart"/>
      <w:r w:rsidRPr="002875EC">
        <w:rPr>
          <w:rFonts w:ascii="Arial" w:hAnsi="Arial" w:cs="Arial"/>
          <w:b/>
        </w:rPr>
        <w:t>strategique</w:t>
      </w:r>
      <w:proofErr w:type="spellEnd"/>
      <w:r w:rsidRPr="002875EC">
        <w:rPr>
          <w:rFonts w:ascii="Arial" w:hAnsi="Arial" w:cs="Arial"/>
          <w:b/>
        </w:rPr>
        <w:t xml:space="preserve"> pour les cinq prochaines </w:t>
      </w:r>
      <w:proofErr w:type="spellStart"/>
      <w:r w:rsidRPr="002875EC">
        <w:rPr>
          <w:rFonts w:ascii="Arial" w:hAnsi="Arial" w:cs="Arial"/>
          <w:b/>
        </w:rPr>
        <w:t>annees</w:t>
      </w:r>
      <w:proofErr w:type="spellEnd"/>
      <w:r w:rsidRPr="002875EC">
        <w:rPr>
          <w:rFonts w:ascii="Arial" w:hAnsi="Arial" w:cs="Arial"/>
          <w:b/>
        </w:rPr>
        <w:t xml:space="preserve"> SGE MSP</w:t>
      </w:r>
    </w:p>
    <w:p w:rsidR="00A31C57" w:rsidRPr="002875EC" w:rsidRDefault="00AD33E8" w:rsidP="00063596">
      <w:pPr>
        <w:pStyle w:val="texte"/>
        <w:shd w:val="clear" w:color="auto" w:fill="FFFFFF"/>
        <w:spacing w:before="120" w:beforeAutospacing="0" w:after="120" w:afterAutospacing="0"/>
        <w:jc w:val="both"/>
        <w:rPr>
          <w:rFonts w:ascii="Arial" w:hAnsi="Arial" w:cs="Arial"/>
          <w:color w:val="353535"/>
          <w:sz w:val="22"/>
          <w:szCs w:val="22"/>
        </w:rPr>
      </w:pPr>
      <w:r w:rsidRPr="002875EC">
        <w:rPr>
          <w:rFonts w:ascii="Arial" w:hAnsi="Arial" w:cs="Arial"/>
          <w:color w:val="353535"/>
          <w:sz w:val="22"/>
          <w:szCs w:val="22"/>
        </w:rPr>
        <w:t xml:space="preserve">Après le dernier </w:t>
      </w:r>
      <w:r w:rsidR="00444020" w:rsidRPr="002875EC">
        <w:rPr>
          <w:rFonts w:ascii="Arial" w:hAnsi="Arial" w:cs="Arial"/>
          <w:color w:val="353535"/>
          <w:sz w:val="22"/>
          <w:szCs w:val="22"/>
        </w:rPr>
        <w:t xml:space="preserve">atelier le </w:t>
      </w:r>
      <w:r w:rsidRPr="002875EC">
        <w:rPr>
          <w:rFonts w:ascii="Arial" w:hAnsi="Arial" w:cs="Arial"/>
          <w:color w:val="353535"/>
          <w:sz w:val="22"/>
          <w:szCs w:val="22"/>
        </w:rPr>
        <w:t>07 au 08 Octobre</w:t>
      </w:r>
      <w:r w:rsidR="00444020" w:rsidRPr="002875EC">
        <w:rPr>
          <w:rFonts w:ascii="Arial" w:hAnsi="Arial" w:cs="Arial"/>
          <w:color w:val="353535"/>
          <w:sz w:val="22"/>
          <w:szCs w:val="22"/>
        </w:rPr>
        <w:t xml:space="preserve"> </w:t>
      </w:r>
      <w:r w:rsidRPr="002875EC">
        <w:rPr>
          <w:rFonts w:ascii="Arial" w:hAnsi="Arial" w:cs="Arial"/>
          <w:color w:val="353535"/>
          <w:sz w:val="22"/>
          <w:szCs w:val="22"/>
        </w:rPr>
        <w:t>2021</w:t>
      </w:r>
      <w:r w:rsidR="00444020" w:rsidRPr="002875EC">
        <w:rPr>
          <w:rFonts w:ascii="Arial" w:hAnsi="Arial" w:cs="Arial"/>
          <w:color w:val="353535"/>
          <w:sz w:val="22"/>
          <w:szCs w:val="22"/>
        </w:rPr>
        <w:t xml:space="preserve"> </w:t>
      </w:r>
      <w:r w:rsidR="0023290F" w:rsidRPr="002875EC">
        <w:rPr>
          <w:rFonts w:ascii="Arial" w:hAnsi="Arial" w:cs="Arial"/>
          <w:color w:val="353535"/>
          <w:sz w:val="22"/>
          <w:szCs w:val="22"/>
        </w:rPr>
        <w:t xml:space="preserve">les 2 documents suivants avaient été élaboré sur la base des </w:t>
      </w:r>
      <w:proofErr w:type="spellStart"/>
      <w:r w:rsidR="0023290F" w:rsidRPr="002875EC">
        <w:rPr>
          <w:rFonts w:ascii="Arial" w:hAnsi="Arial" w:cs="Arial"/>
          <w:color w:val="353535"/>
          <w:sz w:val="22"/>
          <w:szCs w:val="22"/>
        </w:rPr>
        <w:t>resultats</w:t>
      </w:r>
      <w:proofErr w:type="spellEnd"/>
      <w:r w:rsidR="0023290F" w:rsidRPr="002875EC">
        <w:rPr>
          <w:rFonts w:ascii="Arial" w:hAnsi="Arial" w:cs="Arial"/>
          <w:color w:val="353535"/>
          <w:sz w:val="22"/>
          <w:szCs w:val="22"/>
        </w:rPr>
        <w:t xml:space="preserve"> du </w:t>
      </w:r>
      <w:proofErr w:type="spellStart"/>
      <w:r w:rsidR="0023290F" w:rsidRPr="002875EC">
        <w:rPr>
          <w:rFonts w:ascii="Arial" w:hAnsi="Arial" w:cs="Arial"/>
          <w:color w:val="353535"/>
          <w:sz w:val="22"/>
          <w:szCs w:val="22"/>
        </w:rPr>
        <w:t>premièr</w:t>
      </w:r>
      <w:proofErr w:type="spellEnd"/>
      <w:r w:rsidR="0023290F" w:rsidRPr="002875EC">
        <w:rPr>
          <w:rFonts w:ascii="Arial" w:hAnsi="Arial" w:cs="Arial"/>
          <w:color w:val="353535"/>
          <w:sz w:val="22"/>
          <w:szCs w:val="22"/>
        </w:rPr>
        <w:t xml:space="preserve"> atelier tenu le 07 au 08 Octobre 2021, regroupant 28 participants : </w:t>
      </w:r>
    </w:p>
    <w:p w:rsidR="00A31C57" w:rsidRPr="002875EC" w:rsidRDefault="00A31C57" w:rsidP="00FF7F2C">
      <w:pPr>
        <w:pStyle w:val="texte"/>
        <w:shd w:val="clear" w:color="auto" w:fill="FFFFFF"/>
        <w:spacing w:before="0" w:beforeAutospacing="0" w:after="60" w:afterAutospacing="0"/>
        <w:jc w:val="both"/>
        <w:rPr>
          <w:rFonts w:ascii="Arial" w:hAnsi="Arial" w:cs="Arial"/>
          <w:color w:val="353535"/>
          <w:sz w:val="22"/>
          <w:szCs w:val="22"/>
        </w:rPr>
      </w:pPr>
      <w:r w:rsidRPr="002875EC">
        <w:rPr>
          <w:rFonts w:ascii="Arial" w:hAnsi="Arial" w:cs="Arial"/>
          <w:color w:val="353535"/>
          <w:sz w:val="22"/>
          <w:szCs w:val="22"/>
        </w:rPr>
        <w:t>1.</w:t>
      </w:r>
      <w:r w:rsidR="00FF7F2C" w:rsidRPr="002875EC">
        <w:rPr>
          <w:rFonts w:ascii="Arial" w:hAnsi="Arial" w:cs="Arial"/>
          <w:color w:val="353535"/>
          <w:sz w:val="22"/>
          <w:szCs w:val="22"/>
        </w:rPr>
        <w:t xml:space="preserve"> </w:t>
      </w:r>
      <w:r w:rsidRPr="002875EC">
        <w:rPr>
          <w:rFonts w:ascii="Arial" w:hAnsi="Arial" w:cs="Arial"/>
          <w:color w:val="353535"/>
          <w:sz w:val="22"/>
          <w:szCs w:val="22"/>
        </w:rPr>
        <w:t>Draft/compilation Activités Stratégie Équité Genre MSP Guinée 2022 – 2025</w:t>
      </w:r>
    </w:p>
    <w:p w:rsidR="00A31C57" w:rsidRPr="002875EC" w:rsidRDefault="00A31C57" w:rsidP="00FF7F2C">
      <w:pPr>
        <w:pStyle w:val="texte"/>
        <w:shd w:val="clear" w:color="auto" w:fill="FFFFFF"/>
        <w:spacing w:before="0" w:beforeAutospacing="0" w:after="60" w:afterAutospacing="0"/>
        <w:jc w:val="both"/>
        <w:rPr>
          <w:rFonts w:ascii="Arial" w:hAnsi="Arial" w:cs="Arial"/>
          <w:color w:val="353535"/>
          <w:sz w:val="22"/>
          <w:szCs w:val="22"/>
        </w:rPr>
      </w:pPr>
      <w:r w:rsidRPr="002875EC">
        <w:rPr>
          <w:rFonts w:ascii="Arial" w:hAnsi="Arial" w:cs="Arial"/>
          <w:color w:val="353535"/>
          <w:sz w:val="22"/>
          <w:szCs w:val="22"/>
        </w:rPr>
        <w:t>2.</w:t>
      </w:r>
      <w:r w:rsidR="00FF7F2C" w:rsidRPr="002875EC">
        <w:rPr>
          <w:rFonts w:ascii="Arial" w:hAnsi="Arial" w:cs="Arial"/>
          <w:color w:val="353535"/>
          <w:sz w:val="22"/>
          <w:szCs w:val="22"/>
        </w:rPr>
        <w:t xml:space="preserve"> </w:t>
      </w:r>
      <w:r w:rsidRPr="002875EC">
        <w:rPr>
          <w:rFonts w:ascii="Arial" w:hAnsi="Arial" w:cs="Arial"/>
          <w:color w:val="353535"/>
          <w:sz w:val="22"/>
          <w:szCs w:val="22"/>
        </w:rPr>
        <w:t xml:space="preserve">Extrait du Draft (12.01.2022) du « Plan stratégique du service genre et équité du ministère de la sante pour les cinq 5 prochaines années 2021 – 2025, Service Genre et </w:t>
      </w:r>
      <w:proofErr w:type="spellStart"/>
      <w:r w:rsidRPr="002875EC">
        <w:rPr>
          <w:rFonts w:ascii="Arial" w:hAnsi="Arial" w:cs="Arial"/>
          <w:color w:val="353535"/>
          <w:sz w:val="22"/>
          <w:szCs w:val="22"/>
        </w:rPr>
        <w:t>Equité</w:t>
      </w:r>
      <w:proofErr w:type="spellEnd"/>
      <w:r w:rsidRPr="002875EC">
        <w:rPr>
          <w:rFonts w:ascii="Arial" w:hAnsi="Arial" w:cs="Arial"/>
          <w:color w:val="353535"/>
          <w:sz w:val="22"/>
          <w:szCs w:val="22"/>
        </w:rPr>
        <w:t xml:space="preserve"> (SGE), MSP GN »</w:t>
      </w:r>
    </w:p>
    <w:p w:rsidR="00C43F7B" w:rsidRPr="002875EC" w:rsidRDefault="00C43F7B" w:rsidP="00FF7F2C">
      <w:pPr>
        <w:pStyle w:val="Titre2"/>
      </w:pPr>
      <w:bookmarkStart w:id="7" w:name="_Toc99723777"/>
      <w:r w:rsidRPr="002875EC">
        <w:t>MOTIVATION</w:t>
      </w:r>
      <w:bookmarkEnd w:id="7"/>
    </w:p>
    <w:p w:rsidR="00D0390D" w:rsidRPr="002875EC" w:rsidRDefault="00D0390D">
      <w:pPr>
        <w:rPr>
          <w:rFonts w:ascii="Arial" w:hAnsi="Arial" w:cs="Arial"/>
        </w:rPr>
      </w:pPr>
      <w:r w:rsidRPr="002875EC">
        <w:rPr>
          <w:rFonts w:ascii="Arial" w:hAnsi="Arial" w:cs="Arial"/>
        </w:rPr>
        <w:t>La mise en place d’un « Service genre et équité » permettra d’œuvrer à la promotion et à l’intégration systématique du genre dans tous les programmes de développement et plus particulièrement dans les programmes de santé en vue de repositionner résolument les femmes dans le développement politique, économique et social du pays.</w:t>
      </w:r>
    </w:p>
    <w:p w:rsidR="000A5CF1" w:rsidRDefault="000A5CF1">
      <w:pPr>
        <w:rPr>
          <w:rFonts w:ascii="Arial" w:hAnsi="Arial" w:cs="Arial"/>
          <w:b/>
        </w:rPr>
      </w:pPr>
    </w:p>
    <w:p w:rsidR="00FF7F2C" w:rsidRPr="002875EC" w:rsidRDefault="00FF7F2C">
      <w:pPr>
        <w:rPr>
          <w:rFonts w:ascii="Arial" w:hAnsi="Arial" w:cs="Arial"/>
          <w:b/>
        </w:rPr>
      </w:pPr>
    </w:p>
    <w:p w:rsidR="00C43F7B" w:rsidRPr="002875EC" w:rsidRDefault="00C43F7B" w:rsidP="00FF7F2C">
      <w:pPr>
        <w:pStyle w:val="Titre1"/>
        <w:numPr>
          <w:ilvl w:val="0"/>
          <w:numId w:val="13"/>
        </w:numPr>
      </w:pPr>
      <w:bookmarkStart w:id="8" w:name="_Toc99723778"/>
      <w:r w:rsidRPr="002875EC">
        <w:t>OBJECTIF</w:t>
      </w:r>
      <w:r w:rsidR="00FF7F2C" w:rsidRPr="002875EC">
        <w:t>S</w:t>
      </w:r>
      <w:bookmarkEnd w:id="8"/>
    </w:p>
    <w:p w:rsidR="00FF7F2C" w:rsidRPr="002875EC" w:rsidRDefault="00FF7F2C">
      <w:pPr>
        <w:rPr>
          <w:rFonts w:ascii="Arial" w:hAnsi="Arial" w:cs="Arial"/>
          <w:b/>
        </w:rPr>
      </w:pPr>
      <w:r w:rsidRPr="002875EC">
        <w:rPr>
          <w:rFonts w:ascii="Arial" w:hAnsi="Arial" w:cs="Arial"/>
          <w:b/>
        </w:rPr>
        <w:t>Global</w:t>
      </w:r>
    </w:p>
    <w:p w:rsidR="00D0390D" w:rsidRPr="002875EC" w:rsidRDefault="00D0390D" w:rsidP="00D72ED5">
      <w:pPr>
        <w:jc w:val="both"/>
        <w:rPr>
          <w:rFonts w:ascii="Arial" w:hAnsi="Arial" w:cs="Arial"/>
        </w:rPr>
      </w:pPr>
      <w:r w:rsidRPr="002875EC">
        <w:rPr>
          <w:rFonts w:ascii="Arial" w:hAnsi="Arial" w:cs="Arial"/>
        </w:rPr>
        <w:t>L’approche genre soit effectivement au sein du Ministère de la Santé un outil de développement, de programmation, de planification et de budgétisation afin de réduire les disparités entre les hommes et les femmes.</w:t>
      </w:r>
    </w:p>
    <w:p w:rsidR="00FF7F2C" w:rsidRPr="002875EC" w:rsidRDefault="00FF7F2C">
      <w:pPr>
        <w:rPr>
          <w:rFonts w:ascii="Arial" w:hAnsi="Arial" w:cs="Arial"/>
          <w:b/>
        </w:rPr>
      </w:pPr>
    </w:p>
    <w:p w:rsidR="00C43F7B" w:rsidRPr="002875EC" w:rsidRDefault="00FF7F2C">
      <w:pPr>
        <w:rPr>
          <w:rFonts w:ascii="Arial" w:hAnsi="Arial" w:cs="Arial"/>
          <w:b/>
        </w:rPr>
      </w:pPr>
      <w:proofErr w:type="spellStart"/>
      <w:r w:rsidRPr="002875EC">
        <w:rPr>
          <w:rFonts w:ascii="Arial" w:hAnsi="Arial" w:cs="Arial"/>
          <w:b/>
        </w:rPr>
        <w:t>Specifiques</w:t>
      </w:r>
      <w:proofErr w:type="spellEnd"/>
    </w:p>
    <w:p w:rsidR="00841309" w:rsidRPr="002875EC" w:rsidRDefault="00841309" w:rsidP="00D72ED5">
      <w:pPr>
        <w:pStyle w:val="Paragraphedeliste"/>
        <w:numPr>
          <w:ilvl w:val="0"/>
          <w:numId w:val="2"/>
        </w:numPr>
        <w:rPr>
          <w:rFonts w:ascii="Arial" w:hAnsi="Arial" w:cs="Arial"/>
        </w:rPr>
      </w:pPr>
      <w:r w:rsidRPr="002875EC">
        <w:rPr>
          <w:rFonts w:ascii="Arial" w:hAnsi="Arial" w:cs="Arial"/>
        </w:rPr>
        <w:t xml:space="preserve">Présentation sur l’intégration genre </w:t>
      </w:r>
    </w:p>
    <w:p w:rsidR="00D72ED5" w:rsidRPr="002875EC" w:rsidRDefault="00D4661F" w:rsidP="00D72ED5">
      <w:pPr>
        <w:pStyle w:val="Paragraphedeliste"/>
        <w:numPr>
          <w:ilvl w:val="0"/>
          <w:numId w:val="2"/>
        </w:numPr>
        <w:rPr>
          <w:rFonts w:ascii="Arial" w:hAnsi="Arial" w:cs="Arial"/>
        </w:rPr>
      </w:pPr>
      <w:r w:rsidRPr="002875EC">
        <w:rPr>
          <w:rFonts w:ascii="Arial" w:hAnsi="Arial" w:cs="Arial"/>
        </w:rPr>
        <w:t>Présentation d’une proposition de</w:t>
      </w:r>
      <w:r w:rsidR="00841309" w:rsidRPr="002875EC">
        <w:rPr>
          <w:rFonts w:ascii="Arial" w:hAnsi="Arial" w:cs="Arial"/>
        </w:rPr>
        <w:t xml:space="preserve"> plan stratégique genre pour les</w:t>
      </w:r>
      <w:r w:rsidRPr="002875EC">
        <w:rPr>
          <w:rFonts w:ascii="Arial" w:hAnsi="Arial" w:cs="Arial"/>
        </w:rPr>
        <w:t xml:space="preserve"> cinq prochaines années</w:t>
      </w:r>
    </w:p>
    <w:p w:rsidR="0004638F" w:rsidRPr="002875EC" w:rsidRDefault="0004638F" w:rsidP="0004638F">
      <w:pPr>
        <w:pStyle w:val="Paragraphedeliste"/>
        <w:numPr>
          <w:ilvl w:val="0"/>
          <w:numId w:val="2"/>
        </w:numPr>
        <w:shd w:val="clear" w:color="auto" w:fill="FFFFFF"/>
        <w:autoSpaceDE w:val="0"/>
        <w:autoSpaceDN w:val="0"/>
        <w:adjustRightInd w:val="0"/>
        <w:spacing w:after="0"/>
        <w:jc w:val="both"/>
        <w:rPr>
          <w:rFonts w:ascii="Arial" w:hAnsi="Arial" w:cs="Arial"/>
        </w:rPr>
      </w:pPr>
      <w:r w:rsidRPr="002875EC">
        <w:rPr>
          <w:rFonts w:ascii="Arial" w:hAnsi="Arial" w:cs="Arial"/>
        </w:rPr>
        <w:t xml:space="preserve">Finaliser et valider le plan stratégique genre </w:t>
      </w:r>
    </w:p>
    <w:p w:rsidR="00D72ED5" w:rsidRPr="002875EC" w:rsidRDefault="00D72ED5" w:rsidP="0004638F">
      <w:pPr>
        <w:pStyle w:val="Paragraphedeliste"/>
        <w:rPr>
          <w:rFonts w:ascii="Arial" w:hAnsi="Arial" w:cs="Arial"/>
        </w:rPr>
      </w:pPr>
    </w:p>
    <w:p w:rsidR="00C43F7B" w:rsidRPr="002875EC" w:rsidRDefault="00C43F7B" w:rsidP="00FF7F2C">
      <w:pPr>
        <w:pStyle w:val="Titre1"/>
        <w:numPr>
          <w:ilvl w:val="0"/>
          <w:numId w:val="13"/>
        </w:numPr>
      </w:pPr>
      <w:bookmarkStart w:id="9" w:name="_Toc99723779"/>
      <w:r w:rsidRPr="002875EC">
        <w:t>RESULTATS ATTENDUS</w:t>
      </w:r>
      <w:bookmarkEnd w:id="9"/>
    </w:p>
    <w:p w:rsidR="0004638F" w:rsidRPr="002875EC" w:rsidRDefault="0004638F" w:rsidP="0004638F">
      <w:pPr>
        <w:pStyle w:val="Paragraphedeliste"/>
        <w:numPr>
          <w:ilvl w:val="0"/>
          <w:numId w:val="4"/>
        </w:numPr>
        <w:shd w:val="clear" w:color="auto" w:fill="FFFFFF"/>
        <w:autoSpaceDE w:val="0"/>
        <w:autoSpaceDN w:val="0"/>
        <w:adjustRightInd w:val="0"/>
        <w:spacing w:after="0"/>
        <w:jc w:val="both"/>
        <w:rPr>
          <w:rFonts w:ascii="Arial" w:hAnsi="Arial" w:cs="Arial"/>
        </w:rPr>
      </w:pPr>
      <w:r w:rsidRPr="002875EC">
        <w:rPr>
          <w:rFonts w:ascii="Arial" w:hAnsi="Arial" w:cs="Arial"/>
        </w:rPr>
        <w:t>Amener le MS et toutes les autres parties prenantes à cerner la problématique du genre et à mieux comprendre l’importance l’intégration de l’approche genre</w:t>
      </w:r>
    </w:p>
    <w:p w:rsidR="0004638F" w:rsidRPr="002875EC" w:rsidRDefault="0004638F" w:rsidP="0004638F">
      <w:pPr>
        <w:pStyle w:val="Paragraphedeliste"/>
        <w:numPr>
          <w:ilvl w:val="0"/>
          <w:numId w:val="4"/>
        </w:numPr>
        <w:shd w:val="clear" w:color="auto" w:fill="FFFFFF"/>
        <w:autoSpaceDE w:val="0"/>
        <w:autoSpaceDN w:val="0"/>
        <w:adjustRightInd w:val="0"/>
        <w:spacing w:after="0"/>
        <w:jc w:val="both"/>
        <w:rPr>
          <w:rFonts w:ascii="Arial" w:hAnsi="Arial" w:cs="Arial"/>
        </w:rPr>
      </w:pPr>
      <w:r w:rsidRPr="002875EC">
        <w:rPr>
          <w:rFonts w:ascii="Arial" w:hAnsi="Arial" w:cs="Arial"/>
        </w:rPr>
        <w:t xml:space="preserve">Plan stratégique pour les cinq prochaines années finalisé et validé </w:t>
      </w:r>
    </w:p>
    <w:p w:rsidR="00C43F7B" w:rsidRPr="002875EC" w:rsidRDefault="00C43F7B" w:rsidP="0004638F">
      <w:pPr>
        <w:shd w:val="clear" w:color="auto" w:fill="FFFFFF"/>
        <w:autoSpaceDE w:val="0"/>
        <w:autoSpaceDN w:val="0"/>
        <w:adjustRightInd w:val="0"/>
        <w:spacing w:after="0"/>
        <w:jc w:val="both"/>
        <w:rPr>
          <w:rFonts w:ascii="Arial" w:hAnsi="Arial" w:cs="Arial"/>
        </w:rPr>
      </w:pPr>
    </w:p>
    <w:p w:rsidR="00FF7F2C" w:rsidRPr="002875EC" w:rsidRDefault="00FF7F2C" w:rsidP="0004638F">
      <w:pPr>
        <w:shd w:val="clear" w:color="auto" w:fill="FFFFFF"/>
        <w:autoSpaceDE w:val="0"/>
        <w:autoSpaceDN w:val="0"/>
        <w:adjustRightInd w:val="0"/>
        <w:spacing w:after="0"/>
        <w:jc w:val="both"/>
        <w:rPr>
          <w:rFonts w:ascii="Arial" w:hAnsi="Arial" w:cs="Arial"/>
        </w:rPr>
      </w:pPr>
    </w:p>
    <w:p w:rsidR="00C43F7B" w:rsidRPr="002875EC" w:rsidRDefault="00C43F7B" w:rsidP="00585C1F">
      <w:pPr>
        <w:pStyle w:val="Titre1"/>
        <w:numPr>
          <w:ilvl w:val="0"/>
          <w:numId w:val="13"/>
        </w:numPr>
      </w:pPr>
      <w:bookmarkStart w:id="10" w:name="_Toc99723780"/>
      <w:r w:rsidRPr="002875EC">
        <w:t>METHODOLOGIE</w:t>
      </w:r>
      <w:bookmarkEnd w:id="10"/>
    </w:p>
    <w:p w:rsidR="0086556F" w:rsidRPr="002875EC" w:rsidRDefault="0004638F" w:rsidP="00BC16D1">
      <w:pPr>
        <w:pStyle w:val="Paragraphedeliste"/>
        <w:numPr>
          <w:ilvl w:val="0"/>
          <w:numId w:val="6"/>
        </w:numPr>
        <w:jc w:val="both"/>
        <w:rPr>
          <w:rFonts w:ascii="Arial" w:hAnsi="Arial" w:cs="Arial"/>
        </w:rPr>
      </w:pPr>
      <w:r w:rsidRPr="002875EC">
        <w:rPr>
          <w:rFonts w:ascii="Arial" w:hAnsi="Arial" w:cs="Arial"/>
        </w:rPr>
        <w:t>P</w:t>
      </w:r>
      <w:r w:rsidR="0086556F" w:rsidRPr="002875EC">
        <w:rPr>
          <w:rFonts w:ascii="Arial" w:hAnsi="Arial" w:cs="Arial"/>
        </w:rPr>
        <w:t>résentation sur l’intégration</w:t>
      </w:r>
      <w:r w:rsidRPr="002875EC">
        <w:rPr>
          <w:rFonts w:ascii="Arial" w:hAnsi="Arial" w:cs="Arial"/>
        </w:rPr>
        <w:t xml:space="preserve"> du genre dans</w:t>
      </w:r>
      <w:r w:rsidR="0086556F" w:rsidRPr="002875EC">
        <w:rPr>
          <w:rFonts w:ascii="Arial" w:hAnsi="Arial" w:cs="Arial"/>
        </w:rPr>
        <w:t xml:space="preserve"> les programmes et projet du MS</w:t>
      </w:r>
    </w:p>
    <w:p w:rsidR="0004638F" w:rsidRPr="002875EC" w:rsidRDefault="0004638F" w:rsidP="00BC16D1">
      <w:pPr>
        <w:pStyle w:val="Paragraphedeliste"/>
        <w:numPr>
          <w:ilvl w:val="0"/>
          <w:numId w:val="6"/>
        </w:numPr>
        <w:jc w:val="both"/>
        <w:rPr>
          <w:rFonts w:ascii="Arial" w:hAnsi="Arial" w:cs="Arial"/>
        </w:rPr>
      </w:pPr>
      <w:r w:rsidRPr="002875EC">
        <w:rPr>
          <w:rFonts w:ascii="Arial" w:hAnsi="Arial" w:cs="Arial"/>
        </w:rPr>
        <w:t>Pré</w:t>
      </w:r>
      <w:r w:rsidR="0086556F" w:rsidRPr="002875EC">
        <w:rPr>
          <w:rFonts w:ascii="Arial" w:hAnsi="Arial" w:cs="Arial"/>
        </w:rPr>
        <w:t>sentation du plan proposé par le SGE</w:t>
      </w:r>
    </w:p>
    <w:p w:rsidR="0086556F" w:rsidRPr="002875EC" w:rsidRDefault="0004638F" w:rsidP="00BC16D1">
      <w:pPr>
        <w:pStyle w:val="Paragraphedeliste"/>
        <w:numPr>
          <w:ilvl w:val="0"/>
          <w:numId w:val="6"/>
        </w:numPr>
        <w:jc w:val="both"/>
        <w:rPr>
          <w:rFonts w:ascii="Arial" w:hAnsi="Arial" w:cs="Arial"/>
        </w:rPr>
      </w:pPr>
      <w:r w:rsidRPr="002875EC">
        <w:rPr>
          <w:rFonts w:ascii="Arial" w:hAnsi="Arial" w:cs="Arial"/>
        </w:rPr>
        <w:t xml:space="preserve">Travaux de groupes portant sur </w:t>
      </w:r>
      <w:r w:rsidR="0086556F" w:rsidRPr="002875EC">
        <w:rPr>
          <w:rFonts w:ascii="Arial" w:hAnsi="Arial" w:cs="Arial"/>
        </w:rPr>
        <w:t>le plan proposé.</w:t>
      </w:r>
    </w:p>
    <w:p w:rsidR="0004638F" w:rsidRPr="002875EC" w:rsidRDefault="0004638F" w:rsidP="00BC16D1">
      <w:pPr>
        <w:pStyle w:val="Paragraphedeliste"/>
        <w:numPr>
          <w:ilvl w:val="0"/>
          <w:numId w:val="6"/>
        </w:numPr>
        <w:jc w:val="both"/>
        <w:rPr>
          <w:rFonts w:ascii="Arial" w:hAnsi="Arial" w:cs="Arial"/>
        </w:rPr>
      </w:pPr>
      <w:r w:rsidRPr="002875EC">
        <w:rPr>
          <w:rFonts w:ascii="Arial" w:hAnsi="Arial" w:cs="Arial"/>
        </w:rPr>
        <w:t xml:space="preserve">Restitution des résultats des travaux de groupe en plénière. </w:t>
      </w:r>
    </w:p>
    <w:p w:rsidR="00FF7F2C" w:rsidRPr="002875EC" w:rsidRDefault="00FF7F2C" w:rsidP="00FF7F2C">
      <w:pPr>
        <w:jc w:val="both"/>
        <w:rPr>
          <w:rFonts w:ascii="Arial" w:hAnsi="Arial" w:cs="Arial"/>
        </w:rPr>
      </w:pPr>
    </w:p>
    <w:p w:rsidR="00FF7F2C" w:rsidRPr="002875EC" w:rsidRDefault="00FF7F2C" w:rsidP="00FF7F2C">
      <w:pPr>
        <w:jc w:val="both"/>
        <w:rPr>
          <w:rFonts w:ascii="Arial" w:hAnsi="Arial" w:cs="Arial"/>
        </w:rPr>
      </w:pPr>
      <w:r w:rsidRPr="002875EC">
        <w:rPr>
          <w:rFonts w:ascii="Arial" w:hAnsi="Arial" w:cs="Arial"/>
        </w:rPr>
        <w:t xml:space="preserve">Sur la base des 2 documents existants - 1. Draft/compilation Activités Stratégie Équité Genre MSP Guinée 2022 – 2025, 2. 2. Extrait du Draft (12.01.2022) du « Plan stratégique du service genre et équité du ministère de la sante pour les cinq 5 prochaines années 2021 – 2025, Service Genre et </w:t>
      </w:r>
      <w:proofErr w:type="spellStart"/>
      <w:r w:rsidRPr="002875EC">
        <w:rPr>
          <w:rFonts w:ascii="Arial" w:hAnsi="Arial" w:cs="Arial"/>
        </w:rPr>
        <w:t>Equité</w:t>
      </w:r>
      <w:proofErr w:type="spellEnd"/>
      <w:r w:rsidRPr="002875EC">
        <w:rPr>
          <w:rFonts w:ascii="Arial" w:hAnsi="Arial" w:cs="Arial"/>
        </w:rPr>
        <w:t xml:space="preserve"> (SGE), MSP GN » - faire un choix final du texte et des activités à </w:t>
      </w:r>
      <w:proofErr w:type="spellStart"/>
      <w:r w:rsidRPr="002875EC">
        <w:rPr>
          <w:rFonts w:ascii="Arial" w:hAnsi="Arial" w:cs="Arial"/>
        </w:rPr>
        <w:t>mèner</w:t>
      </w:r>
      <w:proofErr w:type="spellEnd"/>
      <w:r w:rsidRPr="002875EC">
        <w:rPr>
          <w:rFonts w:ascii="Arial" w:hAnsi="Arial" w:cs="Arial"/>
        </w:rPr>
        <w:t>.</w:t>
      </w:r>
    </w:p>
    <w:p w:rsidR="00FF7F2C" w:rsidRPr="002875EC" w:rsidRDefault="00FF7F2C" w:rsidP="00FF7F2C">
      <w:pPr>
        <w:jc w:val="both"/>
        <w:rPr>
          <w:rFonts w:ascii="Arial" w:hAnsi="Arial" w:cs="Arial"/>
        </w:rPr>
      </w:pPr>
      <w:r w:rsidRPr="002875EC">
        <w:rPr>
          <w:rFonts w:ascii="Arial" w:hAnsi="Arial" w:cs="Arial"/>
        </w:rPr>
        <w:t xml:space="preserve">La </w:t>
      </w:r>
      <w:proofErr w:type="spellStart"/>
      <w:r w:rsidRPr="002875EC">
        <w:rPr>
          <w:rFonts w:ascii="Arial" w:hAnsi="Arial" w:cs="Arial"/>
        </w:rPr>
        <w:t>specificité</w:t>
      </w:r>
      <w:proofErr w:type="spellEnd"/>
      <w:r w:rsidRPr="002875EC">
        <w:rPr>
          <w:rFonts w:ascii="Arial" w:hAnsi="Arial" w:cs="Arial"/>
        </w:rPr>
        <w:t xml:space="preserve"> de cet atelier est d’</w:t>
      </w:r>
      <w:proofErr w:type="spellStart"/>
      <w:r w:rsidRPr="002875EC">
        <w:rPr>
          <w:rFonts w:ascii="Arial" w:hAnsi="Arial" w:cs="Arial"/>
        </w:rPr>
        <w:t>améner</w:t>
      </w:r>
      <w:proofErr w:type="spellEnd"/>
      <w:r w:rsidRPr="002875EC">
        <w:rPr>
          <w:rFonts w:ascii="Arial" w:hAnsi="Arial" w:cs="Arial"/>
        </w:rPr>
        <w:t xml:space="preserve"> les </w:t>
      </w:r>
      <w:proofErr w:type="spellStart"/>
      <w:r w:rsidRPr="002875EC">
        <w:rPr>
          <w:rFonts w:ascii="Arial" w:hAnsi="Arial" w:cs="Arial"/>
        </w:rPr>
        <w:t>differents</w:t>
      </w:r>
      <w:proofErr w:type="spellEnd"/>
      <w:r w:rsidRPr="002875EC">
        <w:rPr>
          <w:rFonts w:ascii="Arial" w:hAnsi="Arial" w:cs="Arial"/>
        </w:rPr>
        <w:t xml:space="preserve"> entités étatiques et PTF </w:t>
      </w:r>
      <w:r w:rsidR="00585C1F" w:rsidRPr="002875EC">
        <w:rPr>
          <w:rFonts w:ascii="Arial" w:hAnsi="Arial" w:cs="Arial"/>
        </w:rPr>
        <w:t xml:space="preserve">à </w:t>
      </w:r>
      <w:proofErr w:type="spellStart"/>
      <w:r w:rsidR="00585C1F" w:rsidRPr="002875EC">
        <w:rPr>
          <w:rFonts w:ascii="Arial" w:hAnsi="Arial" w:cs="Arial"/>
        </w:rPr>
        <w:t>co-rédiger</w:t>
      </w:r>
      <w:proofErr w:type="spellEnd"/>
      <w:r w:rsidR="00585C1F" w:rsidRPr="002875EC">
        <w:rPr>
          <w:rFonts w:ascii="Arial" w:hAnsi="Arial" w:cs="Arial"/>
        </w:rPr>
        <w:t xml:space="preserve"> et planifier la stratégie et les activités y afférents tenant en compte les planifications des acteurs majeurs dans la thématique genre.</w:t>
      </w:r>
    </w:p>
    <w:p w:rsidR="00585C1F" w:rsidRPr="000A5CF1" w:rsidRDefault="00585C1F" w:rsidP="000A5CF1">
      <w:pPr>
        <w:pStyle w:val="Paragraphedeliste"/>
        <w:numPr>
          <w:ilvl w:val="0"/>
          <w:numId w:val="14"/>
        </w:numPr>
        <w:jc w:val="both"/>
        <w:rPr>
          <w:rFonts w:ascii="Arial" w:hAnsi="Arial" w:cs="Arial"/>
        </w:rPr>
      </w:pPr>
      <w:r w:rsidRPr="000A5CF1">
        <w:rPr>
          <w:rFonts w:ascii="Arial" w:hAnsi="Arial" w:cs="Arial"/>
        </w:rPr>
        <w:t>Voir aussi en Annexe en PJ</w:t>
      </w:r>
      <w:r w:rsidR="000A5CF1">
        <w:rPr>
          <w:rFonts w:ascii="Arial" w:hAnsi="Arial" w:cs="Arial"/>
        </w:rPr>
        <w:t xml:space="preserve"> « </w:t>
      </w:r>
      <w:r w:rsidR="000A5CF1" w:rsidRPr="000A5CF1">
        <w:rPr>
          <w:rFonts w:ascii="Arial" w:hAnsi="Arial" w:cs="Arial"/>
        </w:rPr>
        <w:t xml:space="preserve">Matrice des actions de lutte contre les VBG (toutes </w:t>
      </w:r>
      <w:proofErr w:type="spellStart"/>
      <w:r w:rsidR="000A5CF1" w:rsidRPr="000A5CF1">
        <w:rPr>
          <w:rFonts w:ascii="Arial" w:hAnsi="Arial" w:cs="Arial"/>
        </w:rPr>
        <w:t>activites</w:t>
      </w:r>
      <w:proofErr w:type="spellEnd"/>
      <w:r w:rsidR="000A5CF1" w:rsidRPr="000A5CF1">
        <w:rPr>
          <w:rFonts w:ascii="Arial" w:hAnsi="Arial" w:cs="Arial"/>
        </w:rPr>
        <w:t xml:space="preserve"> SSRAJ) en Guinée 2021</w:t>
      </w:r>
    </w:p>
    <w:p w:rsidR="00FF7F2C" w:rsidRPr="002875EC" w:rsidRDefault="00FF7F2C" w:rsidP="00FF7F2C">
      <w:pPr>
        <w:jc w:val="both"/>
        <w:rPr>
          <w:rFonts w:ascii="Arial" w:hAnsi="Arial" w:cs="Arial"/>
        </w:rPr>
      </w:pPr>
    </w:p>
    <w:p w:rsidR="0086556F" w:rsidRPr="002875EC" w:rsidRDefault="0086556F" w:rsidP="0086556F">
      <w:pPr>
        <w:rPr>
          <w:rFonts w:ascii="Arial" w:hAnsi="Arial" w:cs="Arial"/>
          <w:b/>
          <w:i/>
        </w:rPr>
      </w:pPr>
      <w:r w:rsidRPr="002875EC">
        <w:rPr>
          <w:rFonts w:ascii="Arial" w:hAnsi="Arial" w:cs="Arial"/>
          <w:b/>
          <w:i/>
        </w:rPr>
        <w:t>Ressources matérielles à mobiliser</w:t>
      </w:r>
    </w:p>
    <w:p w:rsidR="0086556F" w:rsidRPr="002875EC" w:rsidRDefault="0086556F" w:rsidP="0086556F">
      <w:pPr>
        <w:pStyle w:val="Paragraphedeliste"/>
        <w:numPr>
          <w:ilvl w:val="0"/>
          <w:numId w:val="7"/>
        </w:numPr>
        <w:rPr>
          <w:rFonts w:ascii="Arial" w:hAnsi="Arial" w:cs="Arial"/>
        </w:rPr>
      </w:pPr>
      <w:r w:rsidRPr="002875EC">
        <w:rPr>
          <w:rFonts w:ascii="Arial" w:hAnsi="Arial" w:cs="Arial"/>
        </w:rPr>
        <w:t xml:space="preserve">Plan stratégique proposé par le SGE, </w:t>
      </w:r>
    </w:p>
    <w:p w:rsidR="006A1711" w:rsidRPr="002875EC" w:rsidRDefault="0086556F" w:rsidP="006A1711">
      <w:pPr>
        <w:pStyle w:val="Paragraphedeliste"/>
        <w:numPr>
          <w:ilvl w:val="0"/>
          <w:numId w:val="7"/>
        </w:numPr>
        <w:rPr>
          <w:rFonts w:ascii="Arial" w:hAnsi="Arial" w:cs="Arial"/>
        </w:rPr>
      </w:pPr>
      <w:r w:rsidRPr="002875EC">
        <w:rPr>
          <w:rFonts w:ascii="Arial" w:hAnsi="Arial" w:cs="Arial"/>
        </w:rPr>
        <w:t>Présentation sur le genre (Problématique, Principes de base et importance de l’intégration du genre).</w:t>
      </w:r>
    </w:p>
    <w:p w:rsidR="00FF7F2C" w:rsidRPr="002875EC" w:rsidRDefault="00FF7F2C" w:rsidP="00FF7F2C">
      <w:pPr>
        <w:rPr>
          <w:rFonts w:ascii="Arial" w:hAnsi="Arial" w:cs="Arial"/>
        </w:rPr>
      </w:pPr>
    </w:p>
    <w:p w:rsidR="00FF7F2C" w:rsidRPr="002875EC" w:rsidRDefault="00FF7F2C" w:rsidP="00FF7F2C">
      <w:pPr>
        <w:rPr>
          <w:rFonts w:ascii="Arial" w:hAnsi="Arial" w:cs="Arial"/>
        </w:rPr>
      </w:pPr>
    </w:p>
    <w:p w:rsidR="0086556F" w:rsidRPr="002875EC" w:rsidRDefault="006A1711" w:rsidP="006A1711">
      <w:pPr>
        <w:rPr>
          <w:rFonts w:ascii="Arial" w:hAnsi="Arial" w:cs="Arial"/>
        </w:rPr>
      </w:pPr>
      <w:r w:rsidRPr="002875EC">
        <w:rPr>
          <w:rFonts w:ascii="Arial" w:hAnsi="Arial" w:cs="Arial"/>
          <w:b/>
          <w:bCs/>
        </w:rPr>
        <w:t>CIBLE</w:t>
      </w:r>
      <w:r w:rsidR="0086556F" w:rsidRPr="002875EC">
        <w:rPr>
          <w:rFonts w:ascii="Arial" w:hAnsi="Arial" w:cs="Arial"/>
          <w:b/>
          <w:bCs/>
        </w:rPr>
        <w:t xml:space="preserve">, </w:t>
      </w:r>
      <w:r w:rsidRPr="002875EC">
        <w:rPr>
          <w:rFonts w:ascii="Arial" w:hAnsi="Arial" w:cs="Arial"/>
          <w:b/>
          <w:bCs/>
        </w:rPr>
        <w:t>DUREE, ET LIEU DE L’ATELIER </w:t>
      </w:r>
      <w:r w:rsidR="0086556F" w:rsidRPr="002875EC">
        <w:rPr>
          <w:rFonts w:ascii="Arial" w:hAnsi="Arial" w:cs="Arial"/>
          <w:b/>
          <w:bCs/>
        </w:rPr>
        <w:t>:</w:t>
      </w:r>
    </w:p>
    <w:p w:rsidR="0004638F" w:rsidRPr="002875EC" w:rsidRDefault="0086556F" w:rsidP="000C18A6">
      <w:pPr>
        <w:ind w:left="690"/>
        <w:rPr>
          <w:rFonts w:ascii="Arial" w:hAnsi="Arial" w:cs="Arial"/>
        </w:rPr>
      </w:pPr>
      <w:r w:rsidRPr="002875EC">
        <w:rPr>
          <w:rFonts w:ascii="Arial" w:hAnsi="Arial" w:cs="Arial"/>
        </w:rPr>
        <w:t xml:space="preserve">IL s’agit d’un </w:t>
      </w:r>
      <w:r w:rsidR="00976A68" w:rsidRPr="002875EC">
        <w:rPr>
          <w:rFonts w:ascii="Arial" w:hAnsi="Arial" w:cs="Arial"/>
        </w:rPr>
        <w:t>atelier 2</w:t>
      </w:r>
      <w:r w:rsidR="00A77A61" w:rsidRPr="002875EC">
        <w:rPr>
          <w:rFonts w:ascii="Arial" w:hAnsi="Arial" w:cs="Arial"/>
        </w:rPr>
        <w:t xml:space="preserve"> jou</w:t>
      </w:r>
      <w:r w:rsidR="00976A68" w:rsidRPr="002875EC">
        <w:rPr>
          <w:rFonts w:ascii="Arial" w:hAnsi="Arial" w:cs="Arial"/>
        </w:rPr>
        <w:t xml:space="preserve">rs qui se tiendra dans la salle de réunion du Ministère de la Santé </w:t>
      </w:r>
      <w:r w:rsidR="002452E8" w:rsidRPr="002875EC">
        <w:rPr>
          <w:rFonts w:ascii="Arial" w:hAnsi="Arial" w:cs="Arial"/>
        </w:rPr>
        <w:t>du</w:t>
      </w:r>
      <w:r w:rsidR="0039244D" w:rsidRPr="002875EC">
        <w:rPr>
          <w:rFonts w:ascii="Arial" w:hAnsi="Arial" w:cs="Arial"/>
        </w:rPr>
        <w:t xml:space="preserve"> </w:t>
      </w:r>
      <w:r w:rsidR="00585C1F" w:rsidRPr="002875EC">
        <w:rPr>
          <w:rFonts w:ascii="Arial" w:hAnsi="Arial" w:cs="Arial"/>
        </w:rPr>
        <w:t>Fin Avril …….. 2022</w:t>
      </w:r>
      <w:r w:rsidR="002452E8" w:rsidRPr="002875EC">
        <w:rPr>
          <w:rFonts w:ascii="Arial" w:hAnsi="Arial" w:cs="Arial"/>
        </w:rPr>
        <w:t xml:space="preserve">, regroupant </w:t>
      </w:r>
      <w:r w:rsidR="00585C1F" w:rsidRPr="002875EC">
        <w:rPr>
          <w:rFonts w:ascii="Arial" w:hAnsi="Arial" w:cs="Arial"/>
        </w:rPr>
        <w:t>30</w:t>
      </w:r>
      <w:r w:rsidRPr="002875EC">
        <w:rPr>
          <w:rFonts w:ascii="Arial" w:hAnsi="Arial" w:cs="Arial"/>
        </w:rPr>
        <w:t xml:space="preserve"> participants : cadres du ministère de la </w:t>
      </w:r>
      <w:proofErr w:type="spellStart"/>
      <w:r w:rsidRPr="002875EC">
        <w:rPr>
          <w:rFonts w:ascii="Arial" w:hAnsi="Arial" w:cs="Arial"/>
        </w:rPr>
        <w:t>sante</w:t>
      </w:r>
      <w:proofErr w:type="spellEnd"/>
      <w:r w:rsidRPr="002875EC">
        <w:rPr>
          <w:rFonts w:ascii="Arial" w:hAnsi="Arial" w:cs="Arial"/>
        </w:rPr>
        <w:t xml:space="preserve"> et les partenaires impliqués dans la promotion du genre</w:t>
      </w:r>
      <w:r w:rsidR="002452E8" w:rsidRPr="002875EC">
        <w:rPr>
          <w:rFonts w:ascii="Arial" w:hAnsi="Arial" w:cs="Arial"/>
        </w:rPr>
        <w:t xml:space="preserve">, la Société Civile, la sécurité </w:t>
      </w:r>
      <w:r w:rsidR="00681465" w:rsidRPr="002875EC">
        <w:rPr>
          <w:rFonts w:ascii="Arial" w:hAnsi="Arial" w:cs="Arial"/>
        </w:rPr>
        <w:t>et d’autre département sectoriel</w:t>
      </w:r>
      <w:r w:rsidRPr="002875EC">
        <w:rPr>
          <w:rFonts w:ascii="Arial" w:hAnsi="Arial" w:cs="Arial"/>
        </w:rPr>
        <w:t xml:space="preserve">. Cet atelier sera </w:t>
      </w:r>
      <w:r w:rsidR="000C18A6" w:rsidRPr="002875EC">
        <w:rPr>
          <w:rFonts w:ascii="Arial" w:hAnsi="Arial" w:cs="Arial"/>
        </w:rPr>
        <w:t>facilité par le SGE MS</w:t>
      </w:r>
      <w:r w:rsidRPr="002875EC">
        <w:rPr>
          <w:rFonts w:ascii="Arial" w:hAnsi="Arial" w:cs="Arial"/>
        </w:rPr>
        <w:t>.</w:t>
      </w:r>
    </w:p>
    <w:p w:rsidR="00585C1F" w:rsidRPr="002875EC" w:rsidRDefault="00585C1F" w:rsidP="006A1711">
      <w:pPr>
        <w:rPr>
          <w:rFonts w:ascii="Arial" w:hAnsi="Arial" w:cs="Arial"/>
          <w:b/>
        </w:rPr>
      </w:pPr>
    </w:p>
    <w:p w:rsidR="00585C1F" w:rsidRPr="002875EC" w:rsidRDefault="00585C1F" w:rsidP="006A1711">
      <w:pPr>
        <w:rPr>
          <w:rFonts w:ascii="Arial" w:hAnsi="Arial" w:cs="Arial"/>
          <w:b/>
        </w:rPr>
      </w:pPr>
    </w:p>
    <w:p w:rsidR="000C18A6" w:rsidRPr="002875EC" w:rsidRDefault="000C18A6" w:rsidP="00585C1F">
      <w:pPr>
        <w:pStyle w:val="Titre2"/>
      </w:pPr>
      <w:bookmarkStart w:id="11" w:name="_Toc99723781"/>
      <w:r w:rsidRPr="002875EC">
        <w:t>AGENDA DE L’ATELIER</w:t>
      </w:r>
      <w:bookmarkEnd w:id="11"/>
    </w:p>
    <w:tbl>
      <w:tblPr>
        <w:tblStyle w:val="Grilledutableau"/>
        <w:tblW w:w="10632" w:type="dxa"/>
        <w:tblInd w:w="-714" w:type="dxa"/>
        <w:tblLook w:val="04A0" w:firstRow="1" w:lastRow="0" w:firstColumn="1" w:lastColumn="0" w:noHBand="0" w:noVBand="1"/>
      </w:tblPr>
      <w:tblGrid>
        <w:gridCol w:w="1843"/>
        <w:gridCol w:w="6096"/>
        <w:gridCol w:w="2693"/>
      </w:tblGrid>
      <w:tr w:rsidR="000C18A6" w:rsidRPr="002875EC" w:rsidTr="006A1711">
        <w:tc>
          <w:tcPr>
            <w:tcW w:w="1843" w:type="dxa"/>
            <w:shd w:val="clear" w:color="auto" w:fill="00B050"/>
          </w:tcPr>
          <w:p w:rsidR="000C18A6" w:rsidRPr="002875EC" w:rsidRDefault="000C18A6" w:rsidP="00BC16D1">
            <w:pPr>
              <w:spacing w:line="360" w:lineRule="auto"/>
              <w:rPr>
                <w:rFonts w:ascii="Arial" w:hAnsi="Arial" w:cs="Arial"/>
                <w:b/>
              </w:rPr>
            </w:pPr>
            <w:r w:rsidRPr="002875EC">
              <w:rPr>
                <w:rFonts w:ascii="Arial" w:hAnsi="Arial" w:cs="Arial"/>
                <w:b/>
              </w:rPr>
              <w:t>HORAIRES</w:t>
            </w:r>
          </w:p>
        </w:tc>
        <w:tc>
          <w:tcPr>
            <w:tcW w:w="6096" w:type="dxa"/>
            <w:shd w:val="clear" w:color="auto" w:fill="00B050"/>
          </w:tcPr>
          <w:p w:rsidR="000C18A6" w:rsidRPr="002875EC" w:rsidRDefault="000C18A6" w:rsidP="00BC16D1">
            <w:pPr>
              <w:spacing w:line="360" w:lineRule="auto"/>
              <w:jc w:val="center"/>
              <w:rPr>
                <w:rFonts w:ascii="Arial" w:hAnsi="Arial" w:cs="Arial"/>
                <w:b/>
              </w:rPr>
            </w:pPr>
            <w:r w:rsidRPr="002875EC">
              <w:rPr>
                <w:rFonts w:ascii="Arial" w:hAnsi="Arial" w:cs="Arial"/>
                <w:b/>
              </w:rPr>
              <w:t>RUBRIQUES</w:t>
            </w:r>
          </w:p>
        </w:tc>
        <w:tc>
          <w:tcPr>
            <w:tcW w:w="2693" w:type="dxa"/>
            <w:shd w:val="clear" w:color="auto" w:fill="00B050"/>
          </w:tcPr>
          <w:p w:rsidR="000C18A6" w:rsidRPr="002875EC" w:rsidRDefault="000C18A6" w:rsidP="00BC16D1">
            <w:pPr>
              <w:spacing w:line="360" w:lineRule="auto"/>
              <w:rPr>
                <w:rFonts w:ascii="Arial" w:hAnsi="Arial" w:cs="Arial"/>
                <w:b/>
              </w:rPr>
            </w:pPr>
            <w:r w:rsidRPr="002875EC">
              <w:rPr>
                <w:rFonts w:ascii="Arial" w:hAnsi="Arial" w:cs="Arial"/>
                <w:b/>
              </w:rPr>
              <w:t>RESPONSABLES</w:t>
            </w:r>
          </w:p>
        </w:tc>
      </w:tr>
      <w:tr w:rsidR="000C18A6" w:rsidRPr="002875EC" w:rsidTr="00560B1F">
        <w:tc>
          <w:tcPr>
            <w:tcW w:w="10632" w:type="dxa"/>
            <w:gridSpan w:val="3"/>
            <w:shd w:val="clear" w:color="auto" w:fill="F7CAAC" w:themeFill="accent2" w:themeFillTint="66"/>
          </w:tcPr>
          <w:p w:rsidR="000C18A6" w:rsidRPr="002875EC" w:rsidRDefault="000C18A6" w:rsidP="00BC16D1">
            <w:pPr>
              <w:spacing w:line="360" w:lineRule="auto"/>
              <w:jc w:val="center"/>
              <w:rPr>
                <w:rFonts w:ascii="Arial" w:hAnsi="Arial" w:cs="Arial"/>
                <w:b/>
              </w:rPr>
            </w:pPr>
            <w:proofErr w:type="spellStart"/>
            <w:r w:rsidRPr="002875EC">
              <w:rPr>
                <w:rFonts w:ascii="Arial" w:hAnsi="Arial" w:cs="Arial"/>
                <w:b/>
              </w:rPr>
              <w:t>J1</w:t>
            </w:r>
            <w:proofErr w:type="spellEnd"/>
          </w:p>
        </w:tc>
      </w:tr>
      <w:tr w:rsidR="000C18A6" w:rsidRPr="002875EC" w:rsidTr="00BC16D1">
        <w:tc>
          <w:tcPr>
            <w:tcW w:w="1843" w:type="dxa"/>
          </w:tcPr>
          <w:p w:rsidR="000C18A6" w:rsidRPr="002875EC" w:rsidRDefault="000C18A6" w:rsidP="00BC16D1">
            <w:pPr>
              <w:spacing w:line="360" w:lineRule="auto"/>
              <w:rPr>
                <w:rFonts w:ascii="Arial" w:hAnsi="Arial" w:cs="Arial"/>
              </w:rPr>
            </w:pPr>
            <w:proofErr w:type="spellStart"/>
            <w:r w:rsidRPr="002875EC">
              <w:rPr>
                <w:rFonts w:ascii="Arial" w:hAnsi="Arial" w:cs="Arial"/>
              </w:rPr>
              <w:t>8h30</w:t>
            </w:r>
            <w:proofErr w:type="spellEnd"/>
            <w:r w:rsidRPr="002875EC">
              <w:rPr>
                <w:rFonts w:ascii="Arial" w:hAnsi="Arial" w:cs="Arial"/>
              </w:rPr>
              <w:t xml:space="preserve"> -</w:t>
            </w:r>
            <w:proofErr w:type="spellStart"/>
            <w:r w:rsidRPr="002875EC">
              <w:rPr>
                <w:rFonts w:ascii="Arial" w:hAnsi="Arial" w:cs="Arial"/>
              </w:rPr>
              <w:t>9h00</w:t>
            </w:r>
            <w:proofErr w:type="spellEnd"/>
          </w:p>
        </w:tc>
        <w:tc>
          <w:tcPr>
            <w:tcW w:w="6096" w:type="dxa"/>
          </w:tcPr>
          <w:p w:rsidR="000C18A6" w:rsidRPr="002875EC" w:rsidRDefault="000C18A6" w:rsidP="00BC16D1">
            <w:pPr>
              <w:spacing w:line="360" w:lineRule="auto"/>
              <w:rPr>
                <w:rFonts w:ascii="Arial" w:hAnsi="Arial" w:cs="Arial"/>
              </w:rPr>
            </w:pPr>
            <w:r w:rsidRPr="002875EC">
              <w:rPr>
                <w:rFonts w:ascii="Arial" w:hAnsi="Arial" w:cs="Arial"/>
              </w:rPr>
              <w:t>Installation des participants</w:t>
            </w:r>
          </w:p>
        </w:tc>
        <w:tc>
          <w:tcPr>
            <w:tcW w:w="2693" w:type="dxa"/>
          </w:tcPr>
          <w:p w:rsidR="000C18A6" w:rsidRPr="002875EC" w:rsidRDefault="000C18A6" w:rsidP="00BC16D1">
            <w:pPr>
              <w:spacing w:line="360" w:lineRule="auto"/>
              <w:rPr>
                <w:rFonts w:ascii="Arial" w:hAnsi="Arial" w:cs="Arial"/>
              </w:rPr>
            </w:pPr>
            <w:r w:rsidRPr="002875EC">
              <w:rPr>
                <w:rFonts w:ascii="Arial" w:hAnsi="Arial" w:cs="Arial"/>
              </w:rPr>
              <w:t>SGE /MS</w:t>
            </w:r>
          </w:p>
        </w:tc>
      </w:tr>
      <w:tr w:rsidR="000C18A6" w:rsidRPr="002875EC" w:rsidTr="00BC16D1">
        <w:tc>
          <w:tcPr>
            <w:tcW w:w="1843" w:type="dxa"/>
          </w:tcPr>
          <w:p w:rsidR="000C18A6" w:rsidRPr="002875EC" w:rsidRDefault="000E1DC4" w:rsidP="00BC16D1">
            <w:pPr>
              <w:spacing w:line="360" w:lineRule="auto"/>
              <w:rPr>
                <w:rFonts w:ascii="Arial" w:hAnsi="Arial" w:cs="Arial"/>
              </w:rPr>
            </w:pPr>
            <w:proofErr w:type="spellStart"/>
            <w:r w:rsidRPr="002875EC">
              <w:rPr>
                <w:rFonts w:ascii="Arial" w:hAnsi="Arial" w:cs="Arial"/>
              </w:rPr>
              <w:t>9h00</w:t>
            </w:r>
            <w:proofErr w:type="spellEnd"/>
            <w:r w:rsidRPr="002875EC">
              <w:rPr>
                <w:rFonts w:ascii="Arial" w:hAnsi="Arial" w:cs="Arial"/>
              </w:rPr>
              <w:t xml:space="preserve"> – </w:t>
            </w:r>
            <w:proofErr w:type="spellStart"/>
            <w:r w:rsidRPr="002875EC">
              <w:rPr>
                <w:rFonts w:ascii="Arial" w:hAnsi="Arial" w:cs="Arial"/>
              </w:rPr>
              <w:t>9h10</w:t>
            </w:r>
            <w:proofErr w:type="spellEnd"/>
          </w:p>
        </w:tc>
        <w:tc>
          <w:tcPr>
            <w:tcW w:w="6096" w:type="dxa"/>
          </w:tcPr>
          <w:p w:rsidR="000C18A6" w:rsidRPr="002875EC" w:rsidRDefault="000C18A6" w:rsidP="00BC16D1">
            <w:pPr>
              <w:spacing w:line="360" w:lineRule="auto"/>
              <w:rPr>
                <w:rFonts w:ascii="Arial" w:hAnsi="Arial" w:cs="Arial"/>
              </w:rPr>
            </w:pPr>
            <w:r w:rsidRPr="002875EC">
              <w:rPr>
                <w:rFonts w:ascii="Arial" w:hAnsi="Arial" w:cs="Arial"/>
              </w:rPr>
              <w:t>Mots de bienvenue, présentation de la physionomie de la salle, désignation des modérateurs et rapporteurs</w:t>
            </w:r>
          </w:p>
        </w:tc>
        <w:tc>
          <w:tcPr>
            <w:tcW w:w="2693" w:type="dxa"/>
          </w:tcPr>
          <w:p w:rsidR="000C18A6" w:rsidRPr="002875EC" w:rsidRDefault="000C18A6" w:rsidP="00BC16D1">
            <w:pPr>
              <w:spacing w:line="360" w:lineRule="auto"/>
              <w:rPr>
                <w:rFonts w:ascii="Arial" w:hAnsi="Arial" w:cs="Arial"/>
              </w:rPr>
            </w:pPr>
            <w:r w:rsidRPr="002875EC">
              <w:rPr>
                <w:rFonts w:ascii="Arial" w:hAnsi="Arial" w:cs="Arial"/>
              </w:rPr>
              <w:t>SGE/MS</w:t>
            </w:r>
            <w:r w:rsidR="008A0735" w:rsidRPr="002875EC">
              <w:rPr>
                <w:rFonts w:ascii="Arial" w:hAnsi="Arial" w:cs="Arial"/>
              </w:rPr>
              <w:t>/CRS/OMS</w:t>
            </w:r>
          </w:p>
        </w:tc>
      </w:tr>
      <w:tr w:rsidR="000E1DC4" w:rsidRPr="002875EC" w:rsidTr="00BC16D1">
        <w:tc>
          <w:tcPr>
            <w:tcW w:w="1843" w:type="dxa"/>
          </w:tcPr>
          <w:p w:rsidR="000E1DC4" w:rsidRPr="002875EC" w:rsidRDefault="000E1DC4" w:rsidP="00BC16D1">
            <w:pPr>
              <w:spacing w:line="360" w:lineRule="auto"/>
              <w:rPr>
                <w:rFonts w:ascii="Arial" w:hAnsi="Arial" w:cs="Arial"/>
              </w:rPr>
            </w:pPr>
            <w:proofErr w:type="spellStart"/>
            <w:r w:rsidRPr="002875EC">
              <w:rPr>
                <w:rFonts w:ascii="Arial" w:hAnsi="Arial" w:cs="Arial"/>
              </w:rPr>
              <w:t>9h</w:t>
            </w:r>
            <w:proofErr w:type="spellEnd"/>
            <w:r w:rsidRPr="002875EC">
              <w:rPr>
                <w:rFonts w:ascii="Arial" w:hAnsi="Arial" w:cs="Arial"/>
              </w:rPr>
              <w:t xml:space="preserve"> 10 – </w:t>
            </w:r>
            <w:proofErr w:type="spellStart"/>
            <w:r w:rsidRPr="002875EC">
              <w:rPr>
                <w:rFonts w:ascii="Arial" w:hAnsi="Arial" w:cs="Arial"/>
              </w:rPr>
              <w:t>9h</w:t>
            </w:r>
            <w:proofErr w:type="spellEnd"/>
            <w:r w:rsidRPr="002875EC">
              <w:rPr>
                <w:rFonts w:ascii="Arial" w:hAnsi="Arial" w:cs="Arial"/>
              </w:rPr>
              <w:t xml:space="preserve"> 15</w:t>
            </w:r>
          </w:p>
        </w:tc>
        <w:tc>
          <w:tcPr>
            <w:tcW w:w="6096" w:type="dxa"/>
          </w:tcPr>
          <w:p w:rsidR="000E1DC4" w:rsidRPr="002875EC" w:rsidRDefault="000E1DC4" w:rsidP="00BC16D1">
            <w:pPr>
              <w:spacing w:line="360" w:lineRule="auto"/>
              <w:rPr>
                <w:rFonts w:ascii="Arial" w:hAnsi="Arial" w:cs="Arial"/>
              </w:rPr>
            </w:pPr>
            <w:r w:rsidRPr="002875EC">
              <w:rPr>
                <w:rFonts w:ascii="Arial" w:hAnsi="Arial" w:cs="Arial"/>
              </w:rPr>
              <w:t>Ouverture de l’atelier</w:t>
            </w:r>
          </w:p>
        </w:tc>
        <w:tc>
          <w:tcPr>
            <w:tcW w:w="2693" w:type="dxa"/>
          </w:tcPr>
          <w:p w:rsidR="000E1DC4" w:rsidRPr="002875EC" w:rsidRDefault="008A0735" w:rsidP="00BC16D1">
            <w:pPr>
              <w:spacing w:line="360" w:lineRule="auto"/>
              <w:rPr>
                <w:rFonts w:ascii="Arial" w:hAnsi="Arial" w:cs="Arial"/>
              </w:rPr>
            </w:pPr>
            <w:r w:rsidRPr="002875EC">
              <w:rPr>
                <w:rFonts w:ascii="Arial" w:hAnsi="Arial" w:cs="Arial"/>
              </w:rPr>
              <w:t xml:space="preserve">Chef de </w:t>
            </w:r>
            <w:proofErr w:type="spellStart"/>
            <w:r w:rsidRPr="002875EC">
              <w:rPr>
                <w:rFonts w:ascii="Arial" w:hAnsi="Arial" w:cs="Arial"/>
              </w:rPr>
              <w:t>Kabinet</w:t>
            </w:r>
            <w:proofErr w:type="spellEnd"/>
            <w:r w:rsidRPr="002875EC">
              <w:rPr>
                <w:rFonts w:ascii="Arial" w:hAnsi="Arial" w:cs="Arial"/>
              </w:rPr>
              <w:t xml:space="preserve"> MS</w:t>
            </w:r>
          </w:p>
        </w:tc>
      </w:tr>
      <w:tr w:rsidR="000C18A6" w:rsidRPr="002875EC" w:rsidTr="00BC16D1">
        <w:tc>
          <w:tcPr>
            <w:tcW w:w="1843" w:type="dxa"/>
          </w:tcPr>
          <w:p w:rsidR="000C18A6" w:rsidRPr="002875EC" w:rsidRDefault="000C18A6" w:rsidP="00BC16D1">
            <w:pPr>
              <w:spacing w:line="360" w:lineRule="auto"/>
              <w:rPr>
                <w:rFonts w:ascii="Arial" w:hAnsi="Arial" w:cs="Arial"/>
              </w:rPr>
            </w:pPr>
            <w:proofErr w:type="spellStart"/>
            <w:r w:rsidRPr="002875EC">
              <w:rPr>
                <w:rFonts w:ascii="Arial" w:hAnsi="Arial" w:cs="Arial"/>
              </w:rPr>
              <w:t>9h15</w:t>
            </w:r>
            <w:proofErr w:type="spellEnd"/>
            <w:r w:rsidRPr="002875EC">
              <w:rPr>
                <w:rFonts w:ascii="Arial" w:hAnsi="Arial" w:cs="Arial"/>
              </w:rPr>
              <w:t xml:space="preserve">– </w:t>
            </w:r>
            <w:proofErr w:type="spellStart"/>
            <w:r w:rsidRPr="002875EC">
              <w:rPr>
                <w:rFonts w:ascii="Arial" w:hAnsi="Arial" w:cs="Arial"/>
              </w:rPr>
              <w:t>10h30</w:t>
            </w:r>
            <w:proofErr w:type="spellEnd"/>
          </w:p>
        </w:tc>
        <w:tc>
          <w:tcPr>
            <w:tcW w:w="6096" w:type="dxa"/>
          </w:tcPr>
          <w:p w:rsidR="000C18A6" w:rsidRPr="002875EC" w:rsidRDefault="000C18A6" w:rsidP="00BC16D1">
            <w:pPr>
              <w:spacing w:line="360" w:lineRule="auto"/>
              <w:rPr>
                <w:rFonts w:ascii="Arial" w:hAnsi="Arial" w:cs="Arial"/>
              </w:rPr>
            </w:pPr>
            <w:r w:rsidRPr="002875EC">
              <w:rPr>
                <w:rFonts w:ascii="Arial" w:hAnsi="Arial" w:cs="Arial"/>
              </w:rPr>
              <w:t>Présentation des TDR de l’atelier</w:t>
            </w:r>
            <w:r w:rsidR="000E1DC4" w:rsidRPr="002875EC">
              <w:rPr>
                <w:rFonts w:ascii="Arial" w:hAnsi="Arial" w:cs="Arial"/>
              </w:rPr>
              <w:t>/intégration genre</w:t>
            </w:r>
          </w:p>
        </w:tc>
        <w:tc>
          <w:tcPr>
            <w:tcW w:w="2693" w:type="dxa"/>
          </w:tcPr>
          <w:p w:rsidR="000C18A6" w:rsidRPr="002875EC" w:rsidRDefault="000C18A6" w:rsidP="00BC16D1">
            <w:pPr>
              <w:spacing w:line="360" w:lineRule="auto"/>
              <w:rPr>
                <w:rFonts w:ascii="Arial" w:hAnsi="Arial" w:cs="Arial"/>
              </w:rPr>
            </w:pPr>
            <w:r w:rsidRPr="002875EC">
              <w:rPr>
                <w:rFonts w:ascii="Arial" w:hAnsi="Arial" w:cs="Arial"/>
              </w:rPr>
              <w:t>SGE/MS</w:t>
            </w:r>
          </w:p>
        </w:tc>
      </w:tr>
      <w:tr w:rsidR="000C18A6" w:rsidRPr="002875EC" w:rsidTr="00BC16D1">
        <w:trPr>
          <w:trHeight w:val="391"/>
        </w:trPr>
        <w:tc>
          <w:tcPr>
            <w:tcW w:w="1843" w:type="dxa"/>
            <w:shd w:val="clear" w:color="auto" w:fill="FFFFFF" w:themeFill="background1"/>
          </w:tcPr>
          <w:p w:rsidR="000C18A6" w:rsidRPr="002875EC" w:rsidRDefault="000C18A6" w:rsidP="00BC16D1">
            <w:pPr>
              <w:spacing w:line="360" w:lineRule="auto"/>
              <w:rPr>
                <w:rFonts w:ascii="Arial" w:hAnsi="Arial" w:cs="Arial"/>
                <w:b/>
              </w:rPr>
            </w:pPr>
            <w:proofErr w:type="spellStart"/>
            <w:r w:rsidRPr="002875EC">
              <w:rPr>
                <w:rFonts w:ascii="Arial" w:hAnsi="Arial" w:cs="Arial"/>
                <w:b/>
              </w:rPr>
              <w:t>10h30</w:t>
            </w:r>
            <w:proofErr w:type="spellEnd"/>
            <w:r w:rsidRPr="002875EC">
              <w:rPr>
                <w:rFonts w:ascii="Arial" w:hAnsi="Arial" w:cs="Arial"/>
                <w:b/>
              </w:rPr>
              <w:t xml:space="preserve"> – </w:t>
            </w:r>
            <w:proofErr w:type="spellStart"/>
            <w:r w:rsidRPr="002875EC">
              <w:rPr>
                <w:rFonts w:ascii="Arial" w:hAnsi="Arial" w:cs="Arial"/>
                <w:b/>
              </w:rPr>
              <w:t>10h45</w:t>
            </w:r>
            <w:proofErr w:type="spellEnd"/>
          </w:p>
        </w:tc>
        <w:tc>
          <w:tcPr>
            <w:tcW w:w="6096" w:type="dxa"/>
            <w:shd w:val="clear" w:color="auto" w:fill="FFFFFF" w:themeFill="background1"/>
          </w:tcPr>
          <w:p w:rsidR="000C18A6" w:rsidRPr="002875EC" w:rsidRDefault="000E1DC4" w:rsidP="00BC16D1">
            <w:pPr>
              <w:spacing w:line="360" w:lineRule="auto"/>
              <w:jc w:val="center"/>
              <w:rPr>
                <w:rFonts w:ascii="Arial" w:hAnsi="Arial" w:cs="Arial"/>
                <w:b/>
              </w:rPr>
            </w:pPr>
            <w:r w:rsidRPr="002875EC">
              <w:rPr>
                <w:rFonts w:ascii="Arial" w:hAnsi="Arial" w:cs="Arial"/>
                <w:b/>
              </w:rPr>
              <w:t>Pause-café</w:t>
            </w:r>
          </w:p>
        </w:tc>
        <w:tc>
          <w:tcPr>
            <w:tcW w:w="2693" w:type="dxa"/>
            <w:shd w:val="clear" w:color="auto" w:fill="FFFFFF" w:themeFill="background1"/>
          </w:tcPr>
          <w:p w:rsidR="000C18A6" w:rsidRPr="002875EC" w:rsidRDefault="0039244D" w:rsidP="00BC16D1">
            <w:pPr>
              <w:spacing w:line="360" w:lineRule="auto"/>
              <w:rPr>
                <w:rFonts w:ascii="Arial" w:hAnsi="Arial" w:cs="Arial"/>
                <w:b/>
              </w:rPr>
            </w:pPr>
            <w:r w:rsidRPr="002875EC">
              <w:rPr>
                <w:rFonts w:ascii="Arial" w:hAnsi="Arial" w:cs="Arial"/>
                <w:b/>
              </w:rPr>
              <w:t>OMS</w:t>
            </w:r>
          </w:p>
        </w:tc>
      </w:tr>
      <w:tr w:rsidR="000C18A6" w:rsidRPr="002875EC" w:rsidTr="00BC16D1">
        <w:tc>
          <w:tcPr>
            <w:tcW w:w="1843" w:type="dxa"/>
          </w:tcPr>
          <w:p w:rsidR="000C18A6" w:rsidRPr="002875EC" w:rsidRDefault="000E1DC4" w:rsidP="00BC16D1">
            <w:pPr>
              <w:spacing w:line="360" w:lineRule="auto"/>
              <w:rPr>
                <w:rFonts w:ascii="Arial" w:hAnsi="Arial" w:cs="Arial"/>
              </w:rPr>
            </w:pPr>
            <w:proofErr w:type="spellStart"/>
            <w:r w:rsidRPr="002875EC">
              <w:rPr>
                <w:rFonts w:ascii="Arial" w:hAnsi="Arial" w:cs="Arial"/>
              </w:rPr>
              <w:t>10h45</w:t>
            </w:r>
            <w:proofErr w:type="spellEnd"/>
            <w:r w:rsidRPr="002875EC">
              <w:rPr>
                <w:rFonts w:ascii="Arial" w:hAnsi="Arial" w:cs="Arial"/>
              </w:rPr>
              <w:t xml:space="preserve"> – </w:t>
            </w:r>
            <w:proofErr w:type="spellStart"/>
            <w:r w:rsidRPr="002875EC">
              <w:rPr>
                <w:rFonts w:ascii="Arial" w:hAnsi="Arial" w:cs="Arial"/>
              </w:rPr>
              <w:t>11</w:t>
            </w:r>
            <w:r w:rsidR="000C18A6" w:rsidRPr="002875EC">
              <w:rPr>
                <w:rFonts w:ascii="Arial" w:hAnsi="Arial" w:cs="Arial"/>
              </w:rPr>
              <w:t>h00</w:t>
            </w:r>
            <w:proofErr w:type="spellEnd"/>
          </w:p>
        </w:tc>
        <w:tc>
          <w:tcPr>
            <w:tcW w:w="6096" w:type="dxa"/>
          </w:tcPr>
          <w:p w:rsidR="000C18A6" w:rsidRPr="002875EC" w:rsidRDefault="000C18A6" w:rsidP="00BC16D1">
            <w:pPr>
              <w:spacing w:line="360" w:lineRule="auto"/>
              <w:rPr>
                <w:rFonts w:ascii="Arial" w:hAnsi="Arial" w:cs="Arial"/>
              </w:rPr>
            </w:pPr>
            <w:r w:rsidRPr="002875EC">
              <w:rPr>
                <w:rFonts w:ascii="Arial" w:hAnsi="Arial" w:cs="Arial"/>
              </w:rPr>
              <w:t>Présentation du Plan Stratégique proposé</w:t>
            </w:r>
          </w:p>
        </w:tc>
        <w:tc>
          <w:tcPr>
            <w:tcW w:w="2693" w:type="dxa"/>
          </w:tcPr>
          <w:p w:rsidR="000C18A6" w:rsidRPr="002875EC" w:rsidRDefault="000C18A6" w:rsidP="00BC16D1">
            <w:pPr>
              <w:spacing w:line="360" w:lineRule="auto"/>
              <w:rPr>
                <w:rFonts w:ascii="Arial" w:hAnsi="Arial" w:cs="Arial"/>
              </w:rPr>
            </w:pPr>
            <w:r w:rsidRPr="002875EC">
              <w:rPr>
                <w:rFonts w:ascii="Arial" w:hAnsi="Arial" w:cs="Arial"/>
              </w:rPr>
              <w:t>Dr Makony Donzo</w:t>
            </w:r>
          </w:p>
        </w:tc>
      </w:tr>
      <w:tr w:rsidR="000C18A6" w:rsidRPr="002875EC" w:rsidTr="00BC16D1">
        <w:tc>
          <w:tcPr>
            <w:tcW w:w="1843" w:type="dxa"/>
          </w:tcPr>
          <w:p w:rsidR="000C18A6" w:rsidRPr="002875EC" w:rsidRDefault="000E1DC4" w:rsidP="00BC16D1">
            <w:pPr>
              <w:spacing w:line="360" w:lineRule="auto"/>
              <w:rPr>
                <w:rFonts w:ascii="Arial" w:hAnsi="Arial" w:cs="Arial"/>
              </w:rPr>
            </w:pPr>
            <w:proofErr w:type="spellStart"/>
            <w:r w:rsidRPr="002875EC">
              <w:rPr>
                <w:rFonts w:ascii="Arial" w:hAnsi="Arial" w:cs="Arial"/>
              </w:rPr>
              <w:t>11h00</w:t>
            </w:r>
            <w:proofErr w:type="spellEnd"/>
            <w:r w:rsidRPr="002875EC">
              <w:rPr>
                <w:rFonts w:ascii="Arial" w:hAnsi="Arial" w:cs="Arial"/>
              </w:rPr>
              <w:t xml:space="preserve">- </w:t>
            </w:r>
            <w:proofErr w:type="spellStart"/>
            <w:r w:rsidRPr="002875EC">
              <w:rPr>
                <w:rFonts w:ascii="Arial" w:hAnsi="Arial" w:cs="Arial"/>
              </w:rPr>
              <w:t>13h</w:t>
            </w:r>
            <w:proofErr w:type="spellEnd"/>
            <w:r w:rsidRPr="002875EC">
              <w:rPr>
                <w:rFonts w:ascii="Arial" w:hAnsi="Arial" w:cs="Arial"/>
              </w:rPr>
              <w:t xml:space="preserve"> 3</w:t>
            </w:r>
            <w:r w:rsidR="000C18A6" w:rsidRPr="002875EC">
              <w:rPr>
                <w:rFonts w:ascii="Arial" w:hAnsi="Arial" w:cs="Arial"/>
              </w:rPr>
              <w:t>0</w:t>
            </w:r>
          </w:p>
        </w:tc>
        <w:tc>
          <w:tcPr>
            <w:tcW w:w="6096" w:type="dxa"/>
          </w:tcPr>
          <w:p w:rsidR="000C18A6" w:rsidRPr="002875EC" w:rsidRDefault="000C18A6" w:rsidP="00BC16D1">
            <w:pPr>
              <w:spacing w:line="360" w:lineRule="auto"/>
              <w:rPr>
                <w:rFonts w:ascii="Arial" w:hAnsi="Arial" w:cs="Arial"/>
              </w:rPr>
            </w:pPr>
            <w:r w:rsidRPr="002875EC">
              <w:rPr>
                <w:rFonts w:ascii="Arial" w:hAnsi="Arial" w:cs="Arial"/>
              </w:rPr>
              <w:t xml:space="preserve">Travaux de groupes </w:t>
            </w:r>
          </w:p>
        </w:tc>
        <w:tc>
          <w:tcPr>
            <w:tcW w:w="2693" w:type="dxa"/>
          </w:tcPr>
          <w:p w:rsidR="000C18A6" w:rsidRPr="002875EC" w:rsidRDefault="000C18A6" w:rsidP="00BC16D1">
            <w:pPr>
              <w:spacing w:line="360" w:lineRule="auto"/>
              <w:rPr>
                <w:rFonts w:ascii="Arial" w:hAnsi="Arial" w:cs="Arial"/>
              </w:rPr>
            </w:pPr>
            <w:r w:rsidRPr="002875EC">
              <w:rPr>
                <w:rFonts w:ascii="Arial" w:hAnsi="Arial" w:cs="Arial"/>
              </w:rPr>
              <w:t>Participants</w:t>
            </w:r>
          </w:p>
        </w:tc>
      </w:tr>
      <w:tr w:rsidR="000E1DC4" w:rsidRPr="002875EC" w:rsidTr="00BC16D1">
        <w:tc>
          <w:tcPr>
            <w:tcW w:w="1843" w:type="dxa"/>
          </w:tcPr>
          <w:p w:rsidR="000E1DC4" w:rsidRPr="002875EC" w:rsidRDefault="000E1DC4" w:rsidP="00BC16D1">
            <w:pPr>
              <w:spacing w:line="360" w:lineRule="auto"/>
              <w:rPr>
                <w:rFonts w:ascii="Arial" w:hAnsi="Arial" w:cs="Arial"/>
                <w:b/>
              </w:rPr>
            </w:pPr>
            <w:proofErr w:type="spellStart"/>
            <w:r w:rsidRPr="002875EC">
              <w:rPr>
                <w:rFonts w:ascii="Arial" w:hAnsi="Arial" w:cs="Arial"/>
                <w:b/>
              </w:rPr>
              <w:t>13h30</w:t>
            </w:r>
            <w:proofErr w:type="spellEnd"/>
            <w:r w:rsidRPr="002875EC">
              <w:rPr>
                <w:rFonts w:ascii="Arial" w:hAnsi="Arial" w:cs="Arial"/>
                <w:b/>
              </w:rPr>
              <w:t xml:space="preserve"> – </w:t>
            </w:r>
            <w:proofErr w:type="spellStart"/>
            <w:r w:rsidRPr="002875EC">
              <w:rPr>
                <w:rFonts w:ascii="Arial" w:hAnsi="Arial" w:cs="Arial"/>
                <w:b/>
              </w:rPr>
              <w:t>14h30</w:t>
            </w:r>
            <w:proofErr w:type="spellEnd"/>
          </w:p>
        </w:tc>
        <w:tc>
          <w:tcPr>
            <w:tcW w:w="6096" w:type="dxa"/>
          </w:tcPr>
          <w:p w:rsidR="000E1DC4" w:rsidRPr="002875EC" w:rsidRDefault="000E1DC4" w:rsidP="000E1DC4">
            <w:pPr>
              <w:spacing w:line="360" w:lineRule="auto"/>
              <w:jc w:val="center"/>
              <w:rPr>
                <w:rFonts w:ascii="Arial" w:hAnsi="Arial" w:cs="Arial"/>
                <w:b/>
              </w:rPr>
            </w:pPr>
            <w:r w:rsidRPr="002875EC">
              <w:rPr>
                <w:rFonts w:ascii="Arial" w:hAnsi="Arial" w:cs="Arial"/>
                <w:b/>
              </w:rPr>
              <w:t>Pause déjeuné</w:t>
            </w:r>
          </w:p>
        </w:tc>
        <w:tc>
          <w:tcPr>
            <w:tcW w:w="2693" w:type="dxa"/>
          </w:tcPr>
          <w:p w:rsidR="000E1DC4" w:rsidRPr="002875EC" w:rsidRDefault="0039244D" w:rsidP="00BC16D1">
            <w:pPr>
              <w:spacing w:line="360" w:lineRule="auto"/>
              <w:rPr>
                <w:rFonts w:ascii="Arial" w:hAnsi="Arial" w:cs="Arial"/>
                <w:b/>
              </w:rPr>
            </w:pPr>
            <w:r w:rsidRPr="002875EC">
              <w:rPr>
                <w:rFonts w:ascii="Arial" w:hAnsi="Arial" w:cs="Arial"/>
                <w:b/>
              </w:rPr>
              <w:t>OMS</w:t>
            </w:r>
          </w:p>
        </w:tc>
      </w:tr>
      <w:tr w:rsidR="000E1DC4" w:rsidRPr="002875EC" w:rsidTr="00BC16D1">
        <w:tc>
          <w:tcPr>
            <w:tcW w:w="1843" w:type="dxa"/>
          </w:tcPr>
          <w:p w:rsidR="000E1DC4" w:rsidRPr="002875EC" w:rsidRDefault="000E1DC4" w:rsidP="00BC16D1">
            <w:pPr>
              <w:spacing w:line="360" w:lineRule="auto"/>
              <w:rPr>
                <w:rFonts w:ascii="Arial" w:hAnsi="Arial" w:cs="Arial"/>
              </w:rPr>
            </w:pPr>
            <w:proofErr w:type="spellStart"/>
            <w:r w:rsidRPr="002875EC">
              <w:rPr>
                <w:rFonts w:ascii="Arial" w:hAnsi="Arial" w:cs="Arial"/>
              </w:rPr>
              <w:t>13h30</w:t>
            </w:r>
            <w:proofErr w:type="spellEnd"/>
            <w:r w:rsidRPr="002875EC">
              <w:rPr>
                <w:rFonts w:ascii="Arial" w:hAnsi="Arial" w:cs="Arial"/>
              </w:rPr>
              <w:t xml:space="preserve"> - </w:t>
            </w:r>
            <w:proofErr w:type="spellStart"/>
            <w:r w:rsidRPr="002875EC">
              <w:rPr>
                <w:rFonts w:ascii="Arial" w:hAnsi="Arial" w:cs="Arial"/>
              </w:rPr>
              <w:t>16h00</w:t>
            </w:r>
            <w:proofErr w:type="spellEnd"/>
          </w:p>
        </w:tc>
        <w:tc>
          <w:tcPr>
            <w:tcW w:w="6096" w:type="dxa"/>
          </w:tcPr>
          <w:p w:rsidR="000E1DC4" w:rsidRPr="002875EC" w:rsidRDefault="000E1DC4" w:rsidP="000E1DC4">
            <w:pPr>
              <w:spacing w:line="360" w:lineRule="auto"/>
              <w:jc w:val="center"/>
              <w:rPr>
                <w:rFonts w:ascii="Arial" w:hAnsi="Arial" w:cs="Arial"/>
              </w:rPr>
            </w:pPr>
            <w:r w:rsidRPr="002875EC">
              <w:rPr>
                <w:rFonts w:ascii="Arial" w:hAnsi="Arial" w:cs="Arial"/>
              </w:rPr>
              <w:t>Travaux de groupe</w:t>
            </w:r>
          </w:p>
        </w:tc>
        <w:tc>
          <w:tcPr>
            <w:tcW w:w="2693" w:type="dxa"/>
          </w:tcPr>
          <w:p w:rsidR="000E1DC4" w:rsidRPr="002875EC" w:rsidRDefault="000E1DC4" w:rsidP="00BC16D1">
            <w:pPr>
              <w:spacing w:line="360" w:lineRule="auto"/>
              <w:rPr>
                <w:rFonts w:ascii="Arial" w:hAnsi="Arial" w:cs="Arial"/>
              </w:rPr>
            </w:pPr>
            <w:r w:rsidRPr="002875EC">
              <w:rPr>
                <w:rFonts w:ascii="Arial" w:hAnsi="Arial" w:cs="Arial"/>
              </w:rPr>
              <w:t>Participants</w:t>
            </w:r>
          </w:p>
        </w:tc>
      </w:tr>
      <w:tr w:rsidR="000C18A6" w:rsidRPr="002875EC" w:rsidTr="00560B1F">
        <w:tc>
          <w:tcPr>
            <w:tcW w:w="10632" w:type="dxa"/>
            <w:gridSpan w:val="3"/>
            <w:shd w:val="clear" w:color="auto" w:fill="F7CAAC" w:themeFill="accent2" w:themeFillTint="66"/>
          </w:tcPr>
          <w:p w:rsidR="000C18A6" w:rsidRPr="002875EC" w:rsidRDefault="000C18A6" w:rsidP="00BC16D1">
            <w:pPr>
              <w:spacing w:line="360" w:lineRule="auto"/>
              <w:jc w:val="center"/>
              <w:rPr>
                <w:rFonts w:ascii="Arial" w:hAnsi="Arial" w:cs="Arial"/>
              </w:rPr>
            </w:pPr>
            <w:proofErr w:type="spellStart"/>
            <w:r w:rsidRPr="002875EC">
              <w:rPr>
                <w:rFonts w:ascii="Arial" w:hAnsi="Arial" w:cs="Arial"/>
                <w:b/>
              </w:rPr>
              <w:t>J2</w:t>
            </w:r>
            <w:proofErr w:type="spellEnd"/>
          </w:p>
        </w:tc>
      </w:tr>
      <w:tr w:rsidR="000C18A6" w:rsidRPr="002875EC" w:rsidTr="00BC16D1">
        <w:tc>
          <w:tcPr>
            <w:tcW w:w="1843" w:type="dxa"/>
          </w:tcPr>
          <w:p w:rsidR="000C18A6" w:rsidRPr="002875EC" w:rsidRDefault="000E1DC4" w:rsidP="000E1DC4">
            <w:pPr>
              <w:spacing w:line="360" w:lineRule="auto"/>
              <w:rPr>
                <w:rFonts w:ascii="Arial" w:hAnsi="Arial" w:cs="Arial"/>
              </w:rPr>
            </w:pPr>
            <w:proofErr w:type="spellStart"/>
            <w:r w:rsidRPr="002875EC">
              <w:rPr>
                <w:rFonts w:ascii="Arial" w:hAnsi="Arial" w:cs="Arial"/>
              </w:rPr>
              <w:t>8h3</w:t>
            </w:r>
            <w:r w:rsidR="000C18A6" w:rsidRPr="002875EC">
              <w:rPr>
                <w:rFonts w:ascii="Arial" w:hAnsi="Arial" w:cs="Arial"/>
              </w:rPr>
              <w:t>0</w:t>
            </w:r>
            <w:proofErr w:type="spellEnd"/>
            <w:r w:rsidR="000C18A6" w:rsidRPr="002875EC">
              <w:rPr>
                <w:rFonts w:ascii="Arial" w:hAnsi="Arial" w:cs="Arial"/>
              </w:rPr>
              <w:t xml:space="preserve"> – </w:t>
            </w:r>
            <w:proofErr w:type="spellStart"/>
            <w:r w:rsidRPr="002875EC">
              <w:rPr>
                <w:rFonts w:ascii="Arial" w:hAnsi="Arial" w:cs="Arial"/>
              </w:rPr>
              <w:t>10h0</w:t>
            </w:r>
            <w:r w:rsidR="000C18A6" w:rsidRPr="002875EC">
              <w:rPr>
                <w:rFonts w:ascii="Arial" w:hAnsi="Arial" w:cs="Arial"/>
              </w:rPr>
              <w:t>0</w:t>
            </w:r>
            <w:proofErr w:type="spellEnd"/>
          </w:p>
        </w:tc>
        <w:tc>
          <w:tcPr>
            <w:tcW w:w="6096" w:type="dxa"/>
          </w:tcPr>
          <w:p w:rsidR="000C18A6" w:rsidRPr="002875EC" w:rsidRDefault="000C18A6" w:rsidP="00BC16D1">
            <w:pPr>
              <w:spacing w:line="360" w:lineRule="auto"/>
              <w:rPr>
                <w:rFonts w:ascii="Arial" w:hAnsi="Arial" w:cs="Arial"/>
              </w:rPr>
            </w:pPr>
            <w:r w:rsidRPr="002875EC">
              <w:rPr>
                <w:rFonts w:ascii="Arial" w:hAnsi="Arial" w:cs="Arial"/>
              </w:rPr>
              <w:t xml:space="preserve">Poursuite des Travaux de groupes </w:t>
            </w:r>
          </w:p>
        </w:tc>
        <w:tc>
          <w:tcPr>
            <w:tcW w:w="2693" w:type="dxa"/>
          </w:tcPr>
          <w:p w:rsidR="000C18A6" w:rsidRPr="002875EC" w:rsidRDefault="000C18A6" w:rsidP="00BC16D1">
            <w:pPr>
              <w:spacing w:line="360" w:lineRule="auto"/>
              <w:rPr>
                <w:rFonts w:ascii="Arial" w:hAnsi="Arial" w:cs="Arial"/>
              </w:rPr>
            </w:pPr>
            <w:r w:rsidRPr="002875EC">
              <w:rPr>
                <w:rFonts w:ascii="Arial" w:hAnsi="Arial" w:cs="Arial"/>
              </w:rPr>
              <w:t>Participants</w:t>
            </w:r>
          </w:p>
        </w:tc>
      </w:tr>
      <w:tr w:rsidR="000C18A6" w:rsidRPr="002875EC" w:rsidTr="00BC16D1">
        <w:tc>
          <w:tcPr>
            <w:tcW w:w="1843" w:type="dxa"/>
            <w:shd w:val="clear" w:color="auto" w:fill="FFFFFF" w:themeFill="background1"/>
          </w:tcPr>
          <w:p w:rsidR="000C18A6" w:rsidRPr="002875EC" w:rsidRDefault="000E1DC4" w:rsidP="00BC16D1">
            <w:pPr>
              <w:spacing w:line="360" w:lineRule="auto"/>
              <w:jc w:val="center"/>
              <w:rPr>
                <w:rFonts w:ascii="Arial" w:hAnsi="Arial" w:cs="Arial"/>
                <w:b/>
              </w:rPr>
            </w:pPr>
            <w:proofErr w:type="spellStart"/>
            <w:r w:rsidRPr="002875EC">
              <w:rPr>
                <w:rFonts w:ascii="Arial" w:hAnsi="Arial" w:cs="Arial"/>
                <w:b/>
              </w:rPr>
              <w:t>10h00</w:t>
            </w:r>
            <w:proofErr w:type="spellEnd"/>
            <w:r w:rsidRPr="002875EC">
              <w:rPr>
                <w:rFonts w:ascii="Arial" w:hAnsi="Arial" w:cs="Arial"/>
                <w:b/>
              </w:rPr>
              <w:t xml:space="preserve"> – </w:t>
            </w:r>
            <w:proofErr w:type="spellStart"/>
            <w:r w:rsidRPr="002875EC">
              <w:rPr>
                <w:rFonts w:ascii="Arial" w:hAnsi="Arial" w:cs="Arial"/>
                <w:b/>
              </w:rPr>
              <w:t>10h30</w:t>
            </w:r>
            <w:proofErr w:type="spellEnd"/>
          </w:p>
        </w:tc>
        <w:tc>
          <w:tcPr>
            <w:tcW w:w="6096" w:type="dxa"/>
            <w:shd w:val="clear" w:color="auto" w:fill="FFFFFF" w:themeFill="background1"/>
          </w:tcPr>
          <w:p w:rsidR="000C18A6" w:rsidRPr="002875EC" w:rsidRDefault="000C18A6" w:rsidP="00BC16D1">
            <w:pPr>
              <w:spacing w:line="360" w:lineRule="auto"/>
              <w:jc w:val="center"/>
              <w:rPr>
                <w:rFonts w:ascii="Arial" w:hAnsi="Arial" w:cs="Arial"/>
                <w:b/>
              </w:rPr>
            </w:pPr>
            <w:r w:rsidRPr="002875EC">
              <w:rPr>
                <w:rFonts w:ascii="Arial" w:hAnsi="Arial" w:cs="Arial"/>
                <w:b/>
              </w:rPr>
              <w:t>Pause-café</w:t>
            </w:r>
          </w:p>
        </w:tc>
        <w:tc>
          <w:tcPr>
            <w:tcW w:w="2693" w:type="dxa"/>
            <w:shd w:val="clear" w:color="auto" w:fill="FFFFFF" w:themeFill="background1"/>
          </w:tcPr>
          <w:p w:rsidR="000C18A6" w:rsidRPr="002875EC" w:rsidRDefault="0039244D" w:rsidP="006A1711">
            <w:pPr>
              <w:spacing w:line="360" w:lineRule="auto"/>
              <w:rPr>
                <w:rFonts w:ascii="Arial" w:hAnsi="Arial" w:cs="Arial"/>
                <w:b/>
              </w:rPr>
            </w:pPr>
            <w:r w:rsidRPr="002875EC">
              <w:rPr>
                <w:rFonts w:ascii="Arial" w:hAnsi="Arial" w:cs="Arial"/>
                <w:b/>
              </w:rPr>
              <w:t>OMS</w:t>
            </w:r>
          </w:p>
        </w:tc>
      </w:tr>
      <w:tr w:rsidR="000C18A6" w:rsidRPr="002875EC" w:rsidTr="00BC16D1">
        <w:tc>
          <w:tcPr>
            <w:tcW w:w="1843" w:type="dxa"/>
          </w:tcPr>
          <w:p w:rsidR="000C18A6" w:rsidRPr="002875EC" w:rsidRDefault="000E1DC4" w:rsidP="00BC16D1">
            <w:pPr>
              <w:spacing w:line="360" w:lineRule="auto"/>
              <w:rPr>
                <w:rFonts w:ascii="Arial" w:hAnsi="Arial" w:cs="Arial"/>
              </w:rPr>
            </w:pPr>
            <w:proofErr w:type="spellStart"/>
            <w:r w:rsidRPr="002875EC">
              <w:rPr>
                <w:rFonts w:ascii="Arial" w:hAnsi="Arial" w:cs="Arial"/>
              </w:rPr>
              <w:t>10h30</w:t>
            </w:r>
            <w:proofErr w:type="spellEnd"/>
            <w:r w:rsidRPr="002875EC">
              <w:rPr>
                <w:rFonts w:ascii="Arial" w:hAnsi="Arial" w:cs="Arial"/>
              </w:rPr>
              <w:t xml:space="preserve"> – </w:t>
            </w:r>
            <w:proofErr w:type="spellStart"/>
            <w:r w:rsidRPr="002875EC">
              <w:rPr>
                <w:rFonts w:ascii="Arial" w:hAnsi="Arial" w:cs="Arial"/>
              </w:rPr>
              <w:t>11h3</w:t>
            </w:r>
            <w:r w:rsidR="000C18A6" w:rsidRPr="002875EC">
              <w:rPr>
                <w:rFonts w:ascii="Arial" w:hAnsi="Arial" w:cs="Arial"/>
              </w:rPr>
              <w:t>0</w:t>
            </w:r>
            <w:proofErr w:type="spellEnd"/>
          </w:p>
        </w:tc>
        <w:tc>
          <w:tcPr>
            <w:tcW w:w="6096" w:type="dxa"/>
          </w:tcPr>
          <w:p w:rsidR="000C18A6" w:rsidRPr="002875EC" w:rsidRDefault="000C18A6" w:rsidP="00BC16D1">
            <w:pPr>
              <w:spacing w:line="360" w:lineRule="auto"/>
              <w:rPr>
                <w:rFonts w:ascii="Arial" w:hAnsi="Arial" w:cs="Arial"/>
              </w:rPr>
            </w:pPr>
            <w:r w:rsidRPr="002875EC">
              <w:rPr>
                <w:rFonts w:ascii="Arial" w:hAnsi="Arial" w:cs="Arial"/>
              </w:rPr>
              <w:t>Restitution des travaux de groupes en plénière</w:t>
            </w:r>
          </w:p>
        </w:tc>
        <w:tc>
          <w:tcPr>
            <w:tcW w:w="2693" w:type="dxa"/>
          </w:tcPr>
          <w:p w:rsidR="000C18A6" w:rsidRPr="002875EC" w:rsidRDefault="000C18A6" w:rsidP="00BC16D1">
            <w:pPr>
              <w:spacing w:line="360" w:lineRule="auto"/>
              <w:rPr>
                <w:rFonts w:ascii="Arial" w:hAnsi="Arial" w:cs="Arial"/>
              </w:rPr>
            </w:pPr>
            <w:r w:rsidRPr="002875EC">
              <w:rPr>
                <w:rFonts w:ascii="Arial" w:hAnsi="Arial" w:cs="Arial"/>
              </w:rPr>
              <w:t>Participants</w:t>
            </w:r>
          </w:p>
        </w:tc>
      </w:tr>
      <w:tr w:rsidR="000C18A6" w:rsidRPr="002875EC" w:rsidTr="00BC16D1">
        <w:tc>
          <w:tcPr>
            <w:tcW w:w="1843" w:type="dxa"/>
          </w:tcPr>
          <w:p w:rsidR="000C18A6" w:rsidRPr="002875EC" w:rsidRDefault="000E1DC4" w:rsidP="00BC16D1">
            <w:pPr>
              <w:spacing w:line="360" w:lineRule="auto"/>
              <w:rPr>
                <w:rFonts w:ascii="Arial" w:hAnsi="Arial" w:cs="Arial"/>
              </w:rPr>
            </w:pPr>
            <w:proofErr w:type="spellStart"/>
            <w:r w:rsidRPr="002875EC">
              <w:rPr>
                <w:rFonts w:ascii="Arial" w:hAnsi="Arial" w:cs="Arial"/>
              </w:rPr>
              <w:t>11h30-12h00</w:t>
            </w:r>
            <w:proofErr w:type="spellEnd"/>
          </w:p>
        </w:tc>
        <w:tc>
          <w:tcPr>
            <w:tcW w:w="6096" w:type="dxa"/>
          </w:tcPr>
          <w:p w:rsidR="000C18A6" w:rsidRPr="002875EC" w:rsidRDefault="000E1DC4" w:rsidP="00BC16D1">
            <w:pPr>
              <w:spacing w:line="360" w:lineRule="auto"/>
              <w:rPr>
                <w:rFonts w:ascii="Arial" w:hAnsi="Arial" w:cs="Arial"/>
              </w:rPr>
            </w:pPr>
            <w:r w:rsidRPr="002875EC">
              <w:rPr>
                <w:rFonts w:ascii="Arial" w:hAnsi="Arial" w:cs="Arial"/>
              </w:rPr>
              <w:t>Recommandations/validation</w:t>
            </w:r>
          </w:p>
        </w:tc>
        <w:tc>
          <w:tcPr>
            <w:tcW w:w="2693" w:type="dxa"/>
          </w:tcPr>
          <w:p w:rsidR="000C18A6" w:rsidRPr="002875EC" w:rsidRDefault="000E1DC4" w:rsidP="00BC16D1">
            <w:pPr>
              <w:spacing w:line="360" w:lineRule="auto"/>
              <w:rPr>
                <w:rFonts w:ascii="Arial" w:hAnsi="Arial" w:cs="Arial"/>
              </w:rPr>
            </w:pPr>
            <w:r w:rsidRPr="002875EC">
              <w:rPr>
                <w:rFonts w:ascii="Arial" w:hAnsi="Arial" w:cs="Arial"/>
              </w:rPr>
              <w:t>Participants</w:t>
            </w:r>
          </w:p>
        </w:tc>
      </w:tr>
      <w:tr w:rsidR="000C18A6" w:rsidRPr="002875EC" w:rsidTr="00BC16D1">
        <w:trPr>
          <w:trHeight w:val="266"/>
        </w:trPr>
        <w:tc>
          <w:tcPr>
            <w:tcW w:w="1843" w:type="dxa"/>
          </w:tcPr>
          <w:p w:rsidR="000C18A6" w:rsidRPr="002875EC" w:rsidRDefault="000E1DC4" w:rsidP="00BC16D1">
            <w:pPr>
              <w:spacing w:line="360" w:lineRule="auto"/>
              <w:rPr>
                <w:rFonts w:ascii="Arial" w:hAnsi="Arial" w:cs="Arial"/>
              </w:rPr>
            </w:pPr>
            <w:proofErr w:type="spellStart"/>
            <w:r w:rsidRPr="002875EC">
              <w:rPr>
                <w:rFonts w:ascii="Arial" w:hAnsi="Arial" w:cs="Arial"/>
              </w:rPr>
              <w:t>12h</w:t>
            </w:r>
            <w:proofErr w:type="spellEnd"/>
            <w:r w:rsidRPr="002875EC">
              <w:rPr>
                <w:rFonts w:ascii="Arial" w:hAnsi="Arial" w:cs="Arial"/>
              </w:rPr>
              <w:t xml:space="preserve"> 00-</w:t>
            </w:r>
            <w:proofErr w:type="spellStart"/>
            <w:r w:rsidRPr="002875EC">
              <w:rPr>
                <w:rFonts w:ascii="Arial" w:hAnsi="Arial" w:cs="Arial"/>
              </w:rPr>
              <w:t>13</w:t>
            </w:r>
            <w:r w:rsidR="000C18A6" w:rsidRPr="002875EC">
              <w:rPr>
                <w:rFonts w:ascii="Arial" w:hAnsi="Arial" w:cs="Arial"/>
              </w:rPr>
              <w:t>h</w:t>
            </w:r>
            <w:proofErr w:type="spellEnd"/>
            <w:r w:rsidR="000C18A6" w:rsidRPr="002875EC">
              <w:rPr>
                <w:rFonts w:ascii="Arial" w:hAnsi="Arial" w:cs="Arial"/>
              </w:rPr>
              <w:t xml:space="preserve"> 00</w:t>
            </w:r>
          </w:p>
        </w:tc>
        <w:tc>
          <w:tcPr>
            <w:tcW w:w="6096" w:type="dxa"/>
          </w:tcPr>
          <w:p w:rsidR="000C18A6" w:rsidRPr="002875EC" w:rsidRDefault="000C18A6" w:rsidP="00BC16D1">
            <w:pPr>
              <w:spacing w:line="360" w:lineRule="auto"/>
              <w:rPr>
                <w:rFonts w:ascii="Arial" w:hAnsi="Arial" w:cs="Arial"/>
              </w:rPr>
            </w:pPr>
            <w:r w:rsidRPr="002875EC">
              <w:rPr>
                <w:rFonts w:ascii="Arial" w:hAnsi="Arial" w:cs="Arial"/>
              </w:rPr>
              <w:t>Clôture de l’atelier</w:t>
            </w:r>
            <w:r w:rsidR="000E1DC4" w:rsidRPr="002875EC">
              <w:rPr>
                <w:rFonts w:ascii="Arial" w:hAnsi="Arial" w:cs="Arial"/>
              </w:rPr>
              <w:t>/Pause déjeuné</w:t>
            </w:r>
          </w:p>
        </w:tc>
        <w:tc>
          <w:tcPr>
            <w:tcW w:w="2693" w:type="dxa"/>
          </w:tcPr>
          <w:p w:rsidR="000C18A6" w:rsidRPr="002875EC" w:rsidRDefault="008A0735" w:rsidP="00BC16D1">
            <w:pPr>
              <w:spacing w:line="360" w:lineRule="auto"/>
              <w:rPr>
                <w:rFonts w:ascii="Arial" w:hAnsi="Arial" w:cs="Arial"/>
              </w:rPr>
            </w:pPr>
            <w:r w:rsidRPr="002875EC">
              <w:rPr>
                <w:rFonts w:ascii="Arial" w:hAnsi="Arial" w:cs="Arial"/>
              </w:rPr>
              <w:t>Chef de Cabinet</w:t>
            </w:r>
          </w:p>
        </w:tc>
      </w:tr>
    </w:tbl>
    <w:p w:rsidR="00C43F7B" w:rsidRPr="002875EC" w:rsidRDefault="00C43F7B">
      <w:pPr>
        <w:rPr>
          <w:rFonts w:ascii="Arial" w:hAnsi="Arial" w:cs="Arial"/>
        </w:rPr>
      </w:pPr>
    </w:p>
    <w:p w:rsidR="00560B1F" w:rsidRPr="002875EC" w:rsidRDefault="00560B1F" w:rsidP="00585C1F">
      <w:pPr>
        <w:pStyle w:val="Titre2"/>
      </w:pPr>
      <w:bookmarkStart w:id="12" w:name="_Toc99723782"/>
      <w:r w:rsidRPr="002875EC">
        <w:t>Liste des Participants</w:t>
      </w:r>
      <w:bookmarkEnd w:id="12"/>
    </w:p>
    <w:tbl>
      <w:tblPr>
        <w:tblpPr w:leftFromText="141" w:rightFromText="141" w:vertAnchor="text" w:horzAnchor="page" w:tblpX="1873" w:tblpY="151"/>
        <w:tblW w:w="8434" w:type="dxa"/>
        <w:tblCellMar>
          <w:left w:w="70" w:type="dxa"/>
          <w:right w:w="70" w:type="dxa"/>
        </w:tblCellMar>
        <w:tblLook w:val="04A0" w:firstRow="1" w:lastRow="0" w:firstColumn="1" w:lastColumn="0" w:noHBand="0" w:noVBand="1"/>
      </w:tblPr>
      <w:tblGrid>
        <w:gridCol w:w="4748"/>
        <w:gridCol w:w="3686"/>
      </w:tblGrid>
      <w:tr w:rsidR="00560B1F" w:rsidRPr="002875EC" w:rsidTr="006A1711">
        <w:trPr>
          <w:trHeight w:val="274"/>
        </w:trPr>
        <w:tc>
          <w:tcPr>
            <w:tcW w:w="474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rsidR="00560B1F" w:rsidRPr="002875EC" w:rsidRDefault="00560B1F" w:rsidP="00BC16D1">
            <w:pPr>
              <w:rPr>
                <w:rFonts w:ascii="Arial" w:hAnsi="Arial" w:cs="Arial"/>
                <w:b/>
                <w:color w:val="000000"/>
              </w:rPr>
            </w:pPr>
            <w:r w:rsidRPr="002875EC">
              <w:rPr>
                <w:rFonts w:ascii="Arial" w:hAnsi="Arial" w:cs="Arial"/>
                <w:b/>
                <w:color w:val="000000"/>
              </w:rPr>
              <w:t>Participants</w:t>
            </w:r>
          </w:p>
        </w:tc>
        <w:tc>
          <w:tcPr>
            <w:tcW w:w="3686"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rsidR="00560B1F" w:rsidRPr="002875EC" w:rsidRDefault="00560B1F" w:rsidP="00BC16D1">
            <w:pPr>
              <w:rPr>
                <w:rFonts w:ascii="Arial" w:hAnsi="Arial" w:cs="Arial"/>
                <w:b/>
                <w:color w:val="000000"/>
              </w:rPr>
            </w:pPr>
            <w:r w:rsidRPr="002875EC">
              <w:rPr>
                <w:rFonts w:ascii="Arial" w:hAnsi="Arial" w:cs="Arial"/>
                <w:b/>
                <w:color w:val="000000"/>
              </w:rPr>
              <w:t>Nombre</w:t>
            </w:r>
          </w:p>
        </w:tc>
      </w:tr>
      <w:tr w:rsidR="002C0B7E" w:rsidRPr="002875EC" w:rsidTr="002C0B7E">
        <w:trPr>
          <w:trHeight w:val="274"/>
        </w:trPr>
        <w:tc>
          <w:tcPr>
            <w:tcW w:w="4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B7E" w:rsidRPr="002875EC" w:rsidRDefault="002C0B7E" w:rsidP="00BC16D1">
            <w:pPr>
              <w:rPr>
                <w:rFonts w:ascii="Arial" w:hAnsi="Arial" w:cs="Arial"/>
                <w:color w:val="000000"/>
              </w:rPr>
            </w:pPr>
            <w:r w:rsidRPr="002875EC">
              <w:rPr>
                <w:rFonts w:ascii="Arial" w:hAnsi="Arial" w:cs="Arial"/>
                <w:color w:val="000000"/>
              </w:rPr>
              <w:t>CRS</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2C0B7E" w:rsidRPr="002875EC" w:rsidRDefault="002C0B7E" w:rsidP="00951F67">
            <w:pPr>
              <w:jc w:val="right"/>
              <w:rPr>
                <w:rFonts w:ascii="Arial" w:hAnsi="Arial" w:cs="Arial"/>
                <w:color w:val="000000"/>
              </w:rPr>
            </w:pPr>
            <w:r w:rsidRPr="002875EC">
              <w:rPr>
                <w:rFonts w:ascii="Arial" w:hAnsi="Arial" w:cs="Arial"/>
                <w:color w:val="000000"/>
              </w:rPr>
              <w:t>0</w:t>
            </w:r>
            <w:r w:rsidR="00FF7F2C" w:rsidRPr="002875EC">
              <w:rPr>
                <w:rFonts w:ascii="Arial" w:hAnsi="Arial" w:cs="Arial"/>
                <w:color w:val="000000"/>
              </w:rPr>
              <w:t>1</w:t>
            </w:r>
          </w:p>
        </w:tc>
      </w:tr>
      <w:tr w:rsidR="002452E8" w:rsidRPr="002875EC" w:rsidTr="002C0B7E">
        <w:trPr>
          <w:trHeight w:val="274"/>
        </w:trPr>
        <w:tc>
          <w:tcPr>
            <w:tcW w:w="4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2E8" w:rsidRPr="002875EC" w:rsidRDefault="002452E8" w:rsidP="00BC16D1">
            <w:pPr>
              <w:rPr>
                <w:rFonts w:ascii="Arial" w:hAnsi="Arial" w:cs="Arial"/>
                <w:color w:val="000000"/>
              </w:rPr>
            </w:pPr>
            <w:r w:rsidRPr="002875EC">
              <w:rPr>
                <w:rFonts w:ascii="Arial" w:hAnsi="Arial" w:cs="Arial"/>
                <w:color w:val="000000"/>
              </w:rPr>
              <w:t>Enabel</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2452E8" w:rsidRPr="002875EC" w:rsidRDefault="002452E8" w:rsidP="002452E8">
            <w:pPr>
              <w:jc w:val="right"/>
              <w:rPr>
                <w:rFonts w:ascii="Arial" w:hAnsi="Arial" w:cs="Arial"/>
                <w:color w:val="000000"/>
              </w:rPr>
            </w:pPr>
            <w:r w:rsidRPr="002875EC">
              <w:rPr>
                <w:rFonts w:ascii="Arial" w:hAnsi="Arial" w:cs="Arial"/>
                <w:color w:val="000000"/>
              </w:rPr>
              <w:t>0</w:t>
            </w:r>
            <w:r w:rsidR="00FF7F2C" w:rsidRPr="002875EC">
              <w:rPr>
                <w:rFonts w:ascii="Arial" w:hAnsi="Arial" w:cs="Arial"/>
                <w:color w:val="000000"/>
              </w:rPr>
              <w:t>1</w:t>
            </w:r>
          </w:p>
        </w:tc>
      </w:tr>
      <w:tr w:rsidR="00560B1F" w:rsidRPr="002875EC" w:rsidTr="00BC16D1">
        <w:trPr>
          <w:trHeight w:val="274"/>
        </w:trPr>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560B1F" w:rsidP="00BC16D1">
            <w:pPr>
              <w:rPr>
                <w:rFonts w:ascii="Arial" w:hAnsi="Arial" w:cs="Arial"/>
                <w:color w:val="000000"/>
              </w:rPr>
            </w:pPr>
            <w:r w:rsidRPr="002875EC">
              <w:rPr>
                <w:rFonts w:ascii="Arial" w:hAnsi="Arial" w:cs="Arial"/>
                <w:color w:val="000000"/>
              </w:rPr>
              <w:t>SGE/MS</w:t>
            </w:r>
          </w:p>
        </w:tc>
        <w:tc>
          <w:tcPr>
            <w:tcW w:w="3686" w:type="dxa"/>
            <w:tcBorders>
              <w:top w:val="single" w:sz="4" w:space="0" w:color="auto"/>
              <w:left w:val="nil"/>
              <w:bottom w:val="single" w:sz="4" w:space="0" w:color="auto"/>
              <w:right w:val="single" w:sz="4" w:space="0" w:color="auto"/>
            </w:tcBorders>
            <w:shd w:val="clear" w:color="auto" w:fill="FFFFFF" w:themeFill="background1"/>
            <w:noWrap/>
            <w:vAlign w:val="bottom"/>
          </w:tcPr>
          <w:p w:rsidR="00560B1F" w:rsidRPr="002875EC" w:rsidRDefault="00DC3D15" w:rsidP="00BC16D1">
            <w:pPr>
              <w:jc w:val="right"/>
              <w:rPr>
                <w:rFonts w:ascii="Arial" w:hAnsi="Arial" w:cs="Arial"/>
                <w:color w:val="000000"/>
              </w:rPr>
            </w:pPr>
            <w:r w:rsidRPr="002875EC">
              <w:rPr>
                <w:rFonts w:ascii="Arial" w:hAnsi="Arial" w:cs="Arial"/>
                <w:color w:val="000000"/>
              </w:rPr>
              <w:t>0</w:t>
            </w:r>
            <w:r w:rsidR="00FF7F2C" w:rsidRPr="002875EC">
              <w:rPr>
                <w:rFonts w:ascii="Arial" w:hAnsi="Arial" w:cs="Arial"/>
                <w:color w:val="000000"/>
              </w:rPr>
              <w:t>3</w:t>
            </w:r>
          </w:p>
        </w:tc>
      </w:tr>
      <w:tr w:rsidR="00560B1F" w:rsidRPr="002875EC" w:rsidTr="00BC16D1">
        <w:trPr>
          <w:trHeight w:val="286"/>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DC3D15" w:rsidP="00BC16D1">
            <w:pPr>
              <w:rPr>
                <w:rFonts w:ascii="Arial" w:hAnsi="Arial" w:cs="Arial"/>
                <w:color w:val="000000"/>
              </w:rPr>
            </w:pPr>
            <w:r w:rsidRPr="002875EC">
              <w:rPr>
                <w:rFonts w:ascii="Arial" w:hAnsi="Arial" w:cs="Arial"/>
                <w:color w:val="000000"/>
              </w:rPr>
              <w:t>BSD/MS</w:t>
            </w:r>
          </w:p>
        </w:tc>
        <w:tc>
          <w:tcPr>
            <w:tcW w:w="3686" w:type="dxa"/>
            <w:tcBorders>
              <w:top w:val="nil"/>
              <w:left w:val="nil"/>
              <w:bottom w:val="single" w:sz="4" w:space="0" w:color="auto"/>
              <w:right w:val="single" w:sz="4" w:space="0" w:color="auto"/>
            </w:tcBorders>
            <w:shd w:val="clear" w:color="auto" w:fill="FFFFFF" w:themeFill="background1"/>
            <w:noWrap/>
            <w:vAlign w:val="bottom"/>
            <w:hideMark/>
          </w:tcPr>
          <w:p w:rsidR="00560B1F" w:rsidRPr="002875EC" w:rsidRDefault="00976A68" w:rsidP="00BC16D1">
            <w:pPr>
              <w:jc w:val="right"/>
              <w:rPr>
                <w:rFonts w:ascii="Arial" w:hAnsi="Arial" w:cs="Arial"/>
                <w:color w:val="000000"/>
              </w:rPr>
            </w:pPr>
            <w:r w:rsidRPr="002875EC">
              <w:rPr>
                <w:rFonts w:ascii="Arial" w:hAnsi="Arial" w:cs="Arial"/>
                <w:color w:val="000000"/>
              </w:rPr>
              <w:t>01</w:t>
            </w:r>
          </w:p>
        </w:tc>
      </w:tr>
      <w:tr w:rsidR="00560B1F" w:rsidRPr="002875EC" w:rsidTr="00BC16D1">
        <w:trPr>
          <w:trHeight w:val="249"/>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DC3D15" w:rsidP="00BC16D1">
            <w:pPr>
              <w:rPr>
                <w:rFonts w:ascii="Arial" w:hAnsi="Arial" w:cs="Arial"/>
                <w:color w:val="000000"/>
              </w:rPr>
            </w:pPr>
            <w:proofErr w:type="spellStart"/>
            <w:r w:rsidRPr="002875EC">
              <w:rPr>
                <w:rFonts w:ascii="Arial" w:hAnsi="Arial" w:cs="Arial"/>
                <w:color w:val="000000"/>
              </w:rPr>
              <w:t>DNPharmacie</w:t>
            </w:r>
            <w:proofErr w:type="spellEnd"/>
          </w:p>
        </w:tc>
        <w:tc>
          <w:tcPr>
            <w:tcW w:w="3686" w:type="dxa"/>
            <w:tcBorders>
              <w:top w:val="nil"/>
              <w:left w:val="nil"/>
              <w:bottom w:val="single" w:sz="4" w:space="0" w:color="auto"/>
              <w:right w:val="single" w:sz="4" w:space="0" w:color="auto"/>
            </w:tcBorders>
            <w:shd w:val="clear" w:color="auto" w:fill="FFFFFF" w:themeFill="background1"/>
            <w:noWrap/>
            <w:vAlign w:val="bottom"/>
            <w:hideMark/>
          </w:tcPr>
          <w:p w:rsidR="00560B1F" w:rsidRPr="002875EC" w:rsidRDefault="00560B1F" w:rsidP="00BC16D1">
            <w:pPr>
              <w:jc w:val="right"/>
              <w:rPr>
                <w:rFonts w:ascii="Arial" w:hAnsi="Arial" w:cs="Arial"/>
                <w:color w:val="000000"/>
              </w:rPr>
            </w:pPr>
            <w:r w:rsidRPr="002875EC">
              <w:rPr>
                <w:rFonts w:ascii="Arial" w:hAnsi="Arial" w:cs="Arial"/>
                <w:color w:val="000000"/>
              </w:rPr>
              <w:t>01</w:t>
            </w:r>
          </w:p>
        </w:tc>
      </w:tr>
      <w:tr w:rsidR="00560B1F" w:rsidRPr="002875EC" w:rsidTr="00BC16D1">
        <w:trPr>
          <w:trHeight w:val="25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560B1F" w:rsidP="00BC16D1">
            <w:pPr>
              <w:rPr>
                <w:rFonts w:ascii="Arial" w:hAnsi="Arial" w:cs="Arial"/>
                <w:color w:val="000000"/>
              </w:rPr>
            </w:pPr>
            <w:r w:rsidRPr="002875EC">
              <w:rPr>
                <w:rFonts w:ascii="Arial" w:hAnsi="Arial" w:cs="Arial"/>
                <w:color w:val="000000"/>
              </w:rPr>
              <w:t>Promotion de la Sante</w:t>
            </w:r>
          </w:p>
        </w:tc>
        <w:tc>
          <w:tcPr>
            <w:tcW w:w="3686" w:type="dxa"/>
            <w:tcBorders>
              <w:top w:val="nil"/>
              <w:left w:val="nil"/>
              <w:bottom w:val="single" w:sz="4" w:space="0" w:color="auto"/>
              <w:right w:val="single" w:sz="4" w:space="0" w:color="auto"/>
            </w:tcBorders>
            <w:shd w:val="clear" w:color="auto" w:fill="FFFFFF" w:themeFill="background1"/>
            <w:noWrap/>
            <w:vAlign w:val="bottom"/>
            <w:hideMark/>
          </w:tcPr>
          <w:p w:rsidR="00560B1F" w:rsidRPr="002875EC" w:rsidRDefault="00560B1F" w:rsidP="00BC16D1">
            <w:pPr>
              <w:jc w:val="right"/>
              <w:rPr>
                <w:rFonts w:ascii="Arial" w:hAnsi="Arial" w:cs="Arial"/>
                <w:color w:val="000000"/>
              </w:rPr>
            </w:pPr>
            <w:r w:rsidRPr="002875EC">
              <w:rPr>
                <w:rFonts w:ascii="Arial" w:hAnsi="Arial" w:cs="Arial"/>
                <w:color w:val="000000"/>
              </w:rPr>
              <w:t>01</w:t>
            </w:r>
          </w:p>
        </w:tc>
      </w:tr>
      <w:tr w:rsidR="00560B1F" w:rsidRPr="002875EC" w:rsidTr="00BC16D1">
        <w:trPr>
          <w:trHeight w:val="115"/>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DC3D15" w:rsidP="00BC16D1">
            <w:pPr>
              <w:rPr>
                <w:rFonts w:ascii="Arial" w:hAnsi="Arial" w:cs="Arial"/>
                <w:color w:val="000000"/>
              </w:rPr>
            </w:pPr>
            <w:r w:rsidRPr="002875EC">
              <w:rPr>
                <w:rFonts w:ascii="Arial" w:hAnsi="Arial" w:cs="Arial"/>
                <w:color w:val="000000"/>
              </w:rPr>
              <w:t>Santé Maternelle</w:t>
            </w:r>
          </w:p>
        </w:tc>
        <w:tc>
          <w:tcPr>
            <w:tcW w:w="3686" w:type="dxa"/>
            <w:tcBorders>
              <w:top w:val="nil"/>
              <w:left w:val="nil"/>
              <w:bottom w:val="single" w:sz="4" w:space="0" w:color="auto"/>
              <w:right w:val="single" w:sz="4" w:space="0" w:color="auto"/>
            </w:tcBorders>
            <w:shd w:val="clear" w:color="auto" w:fill="FFFFFF" w:themeFill="background1"/>
            <w:noWrap/>
            <w:vAlign w:val="bottom"/>
            <w:hideMark/>
          </w:tcPr>
          <w:p w:rsidR="00560B1F" w:rsidRPr="002875EC" w:rsidRDefault="00560B1F" w:rsidP="00BC16D1">
            <w:pPr>
              <w:jc w:val="right"/>
              <w:rPr>
                <w:rFonts w:ascii="Arial" w:hAnsi="Arial" w:cs="Arial"/>
                <w:color w:val="000000"/>
              </w:rPr>
            </w:pPr>
            <w:r w:rsidRPr="002875EC">
              <w:rPr>
                <w:rFonts w:ascii="Arial" w:hAnsi="Arial" w:cs="Arial"/>
                <w:color w:val="000000"/>
              </w:rPr>
              <w:t>01</w:t>
            </w:r>
          </w:p>
        </w:tc>
      </w:tr>
      <w:tr w:rsidR="00560B1F" w:rsidRPr="002875EC" w:rsidTr="00BC16D1">
        <w:trPr>
          <w:trHeight w:val="275"/>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DC3D15" w:rsidP="00BC16D1">
            <w:pPr>
              <w:rPr>
                <w:rFonts w:ascii="Arial" w:hAnsi="Arial" w:cs="Arial"/>
                <w:color w:val="000000"/>
              </w:rPr>
            </w:pPr>
            <w:proofErr w:type="spellStart"/>
            <w:r w:rsidRPr="002875EC">
              <w:rPr>
                <w:rFonts w:ascii="Arial" w:hAnsi="Arial" w:cs="Arial"/>
                <w:color w:val="000000"/>
              </w:rPr>
              <w:t>DNLaboratoire</w:t>
            </w:r>
            <w:proofErr w:type="spellEnd"/>
          </w:p>
        </w:tc>
        <w:tc>
          <w:tcPr>
            <w:tcW w:w="3686" w:type="dxa"/>
            <w:tcBorders>
              <w:top w:val="nil"/>
              <w:left w:val="nil"/>
              <w:bottom w:val="single" w:sz="4" w:space="0" w:color="auto"/>
              <w:right w:val="single" w:sz="4" w:space="0" w:color="auto"/>
            </w:tcBorders>
            <w:shd w:val="clear" w:color="auto" w:fill="FFFFFF" w:themeFill="background1"/>
            <w:noWrap/>
            <w:vAlign w:val="bottom"/>
          </w:tcPr>
          <w:p w:rsidR="00560B1F" w:rsidRPr="002875EC" w:rsidRDefault="00DC3D15" w:rsidP="00BC16D1">
            <w:pPr>
              <w:jc w:val="right"/>
              <w:rPr>
                <w:rFonts w:ascii="Arial" w:hAnsi="Arial" w:cs="Arial"/>
                <w:color w:val="000000"/>
              </w:rPr>
            </w:pPr>
            <w:r w:rsidRPr="002875EC">
              <w:rPr>
                <w:rFonts w:ascii="Arial" w:hAnsi="Arial" w:cs="Arial"/>
                <w:color w:val="000000"/>
              </w:rPr>
              <w:t>01</w:t>
            </w:r>
          </w:p>
        </w:tc>
      </w:tr>
      <w:tr w:rsidR="00560B1F" w:rsidRPr="002875EC" w:rsidTr="00BC16D1">
        <w:trPr>
          <w:trHeight w:val="275"/>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DC3D15" w:rsidP="00BC16D1">
            <w:pPr>
              <w:rPr>
                <w:rFonts w:ascii="Arial" w:hAnsi="Arial" w:cs="Arial"/>
                <w:color w:val="000000"/>
              </w:rPr>
            </w:pPr>
            <w:r w:rsidRPr="002875EC">
              <w:rPr>
                <w:rFonts w:ascii="Arial" w:hAnsi="Arial" w:cs="Arial"/>
                <w:color w:val="000000"/>
              </w:rPr>
              <w:t>PNLVIH</w:t>
            </w:r>
          </w:p>
        </w:tc>
        <w:tc>
          <w:tcPr>
            <w:tcW w:w="3686" w:type="dxa"/>
            <w:tcBorders>
              <w:top w:val="nil"/>
              <w:left w:val="nil"/>
              <w:bottom w:val="single" w:sz="4" w:space="0" w:color="auto"/>
              <w:right w:val="single" w:sz="4" w:space="0" w:color="auto"/>
            </w:tcBorders>
            <w:shd w:val="clear" w:color="auto" w:fill="FFFFFF" w:themeFill="background1"/>
            <w:noWrap/>
            <w:vAlign w:val="bottom"/>
            <w:hideMark/>
          </w:tcPr>
          <w:p w:rsidR="00560B1F" w:rsidRPr="002875EC" w:rsidRDefault="00DC3D15" w:rsidP="00BC16D1">
            <w:pPr>
              <w:jc w:val="right"/>
              <w:rPr>
                <w:rFonts w:ascii="Arial" w:hAnsi="Arial" w:cs="Arial"/>
                <w:color w:val="000000"/>
              </w:rPr>
            </w:pPr>
            <w:r w:rsidRPr="002875EC">
              <w:rPr>
                <w:rFonts w:ascii="Arial" w:hAnsi="Arial" w:cs="Arial"/>
                <w:color w:val="000000"/>
              </w:rPr>
              <w:t>01</w:t>
            </w:r>
          </w:p>
        </w:tc>
      </w:tr>
      <w:tr w:rsidR="006A1711" w:rsidRPr="002875EC" w:rsidTr="00BC16D1">
        <w:trPr>
          <w:trHeight w:val="275"/>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6A1711" w:rsidRPr="002875EC" w:rsidRDefault="006A1711" w:rsidP="00BC16D1">
            <w:pPr>
              <w:rPr>
                <w:rFonts w:ascii="Arial" w:hAnsi="Arial" w:cs="Arial"/>
                <w:color w:val="000000"/>
              </w:rPr>
            </w:pPr>
            <w:r w:rsidRPr="002875EC">
              <w:rPr>
                <w:rFonts w:ascii="Arial" w:hAnsi="Arial" w:cs="Arial"/>
                <w:color w:val="000000"/>
              </w:rPr>
              <w:t>GIZ</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6A1711" w:rsidRPr="002875EC" w:rsidRDefault="006A1711" w:rsidP="00BC16D1">
            <w:pPr>
              <w:jc w:val="right"/>
              <w:rPr>
                <w:rFonts w:ascii="Arial" w:hAnsi="Arial" w:cs="Arial"/>
                <w:color w:val="000000"/>
              </w:rPr>
            </w:pPr>
            <w:r w:rsidRPr="002875EC">
              <w:rPr>
                <w:rFonts w:ascii="Arial" w:hAnsi="Arial" w:cs="Arial"/>
                <w:color w:val="000000"/>
              </w:rPr>
              <w:t>01</w:t>
            </w:r>
          </w:p>
        </w:tc>
      </w:tr>
      <w:tr w:rsidR="00560B1F"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560B1F" w:rsidP="00BC16D1">
            <w:pPr>
              <w:rPr>
                <w:rFonts w:ascii="Arial" w:hAnsi="Arial" w:cs="Arial"/>
                <w:color w:val="000000"/>
              </w:rPr>
            </w:pPr>
            <w:r w:rsidRPr="002875EC">
              <w:rPr>
                <w:rFonts w:ascii="Arial" w:hAnsi="Arial" w:cs="Arial"/>
                <w:color w:val="000000"/>
              </w:rPr>
              <w:t>Plan Guinee</w:t>
            </w:r>
          </w:p>
        </w:tc>
        <w:tc>
          <w:tcPr>
            <w:tcW w:w="3686" w:type="dxa"/>
            <w:tcBorders>
              <w:top w:val="nil"/>
              <w:left w:val="nil"/>
              <w:bottom w:val="single" w:sz="4" w:space="0" w:color="auto"/>
              <w:right w:val="single" w:sz="4" w:space="0" w:color="auto"/>
            </w:tcBorders>
            <w:shd w:val="clear" w:color="auto" w:fill="FFFFFF" w:themeFill="background1"/>
            <w:noWrap/>
            <w:vAlign w:val="bottom"/>
            <w:hideMark/>
          </w:tcPr>
          <w:p w:rsidR="00560B1F" w:rsidRPr="002875EC" w:rsidRDefault="00560B1F" w:rsidP="00BC16D1">
            <w:pPr>
              <w:jc w:val="right"/>
              <w:rPr>
                <w:rFonts w:ascii="Arial" w:hAnsi="Arial" w:cs="Arial"/>
                <w:color w:val="000000"/>
              </w:rPr>
            </w:pPr>
            <w:r w:rsidRPr="002875EC">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DC3D15" w:rsidP="00BC16D1">
            <w:pPr>
              <w:rPr>
                <w:rFonts w:ascii="Arial" w:hAnsi="Arial" w:cs="Arial"/>
                <w:color w:val="000000"/>
              </w:rPr>
            </w:pPr>
            <w:r w:rsidRPr="002875EC">
              <w:rPr>
                <w:rFonts w:ascii="Arial" w:hAnsi="Arial" w:cs="Arial"/>
                <w:color w:val="000000"/>
              </w:rPr>
              <w:t xml:space="preserve">DN </w:t>
            </w:r>
            <w:proofErr w:type="spellStart"/>
            <w:r w:rsidRPr="002875EC">
              <w:rPr>
                <w:rFonts w:ascii="Arial" w:hAnsi="Arial" w:cs="Arial"/>
                <w:color w:val="000000"/>
              </w:rPr>
              <w:t>Etablissements</w:t>
            </w:r>
            <w:proofErr w:type="spellEnd"/>
            <w:r w:rsidRPr="002875EC">
              <w:rPr>
                <w:rFonts w:ascii="Arial" w:hAnsi="Arial" w:cs="Arial"/>
                <w:color w:val="000000"/>
              </w:rPr>
              <w:t xml:space="preserve"> Hospitalier </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DC3D15" w:rsidP="00BC16D1">
            <w:pPr>
              <w:jc w:val="right"/>
              <w:rPr>
                <w:rFonts w:ascii="Arial" w:hAnsi="Arial" w:cs="Arial"/>
                <w:color w:val="000000"/>
              </w:rPr>
            </w:pPr>
            <w:r w:rsidRPr="002875EC">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610773" w:rsidP="00BC16D1">
            <w:pPr>
              <w:rPr>
                <w:rFonts w:ascii="Arial" w:hAnsi="Arial" w:cs="Arial"/>
                <w:color w:val="000000"/>
              </w:rPr>
            </w:pPr>
            <w:r w:rsidRPr="002875EC">
              <w:rPr>
                <w:rFonts w:ascii="Arial" w:hAnsi="Arial" w:cs="Arial"/>
                <w:color w:val="000000"/>
              </w:rPr>
              <w:t>Médecine</w:t>
            </w:r>
            <w:r w:rsidR="00DC3D15" w:rsidRPr="002875EC">
              <w:rPr>
                <w:rFonts w:ascii="Arial" w:hAnsi="Arial" w:cs="Arial"/>
                <w:color w:val="000000"/>
              </w:rPr>
              <w:t xml:space="preserve"> légale</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DC3D15" w:rsidP="00BC16D1">
            <w:pPr>
              <w:jc w:val="right"/>
              <w:rPr>
                <w:rFonts w:ascii="Arial" w:hAnsi="Arial" w:cs="Arial"/>
                <w:color w:val="000000"/>
              </w:rPr>
            </w:pPr>
            <w:r w:rsidRPr="002875EC">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DC3D15" w:rsidP="00BC16D1">
            <w:pPr>
              <w:rPr>
                <w:rFonts w:ascii="Arial" w:hAnsi="Arial" w:cs="Arial"/>
                <w:color w:val="000000"/>
              </w:rPr>
            </w:pPr>
            <w:r w:rsidRPr="002875EC">
              <w:rPr>
                <w:rFonts w:ascii="Arial" w:hAnsi="Arial" w:cs="Arial"/>
                <w:color w:val="000000"/>
              </w:rPr>
              <w:t>Santé communautaire</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DC3D15" w:rsidP="00BC16D1">
            <w:pPr>
              <w:jc w:val="right"/>
              <w:rPr>
                <w:rFonts w:ascii="Arial" w:hAnsi="Arial" w:cs="Arial"/>
                <w:color w:val="000000"/>
              </w:rPr>
            </w:pPr>
            <w:r w:rsidRPr="002875EC">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DC3D15" w:rsidP="00BC16D1">
            <w:pPr>
              <w:rPr>
                <w:rFonts w:ascii="Arial" w:hAnsi="Arial" w:cs="Arial"/>
                <w:color w:val="000000"/>
              </w:rPr>
            </w:pPr>
            <w:r w:rsidRPr="002875EC">
              <w:rPr>
                <w:rFonts w:ascii="Arial" w:hAnsi="Arial" w:cs="Arial"/>
                <w:color w:val="000000"/>
              </w:rPr>
              <w:t>OSC</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F477ED" w:rsidP="00BC16D1">
            <w:pPr>
              <w:jc w:val="right"/>
              <w:rPr>
                <w:rFonts w:ascii="Arial" w:hAnsi="Arial" w:cs="Arial"/>
                <w:color w:val="000000"/>
              </w:rPr>
            </w:pPr>
            <w:r w:rsidRPr="002875EC">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DC3D15" w:rsidP="00BC16D1">
            <w:pPr>
              <w:rPr>
                <w:rFonts w:ascii="Arial" w:hAnsi="Arial" w:cs="Arial"/>
                <w:color w:val="000000"/>
              </w:rPr>
            </w:pPr>
            <w:r w:rsidRPr="002875EC">
              <w:rPr>
                <w:rFonts w:ascii="Arial" w:hAnsi="Arial" w:cs="Arial"/>
                <w:color w:val="000000"/>
              </w:rPr>
              <w:t>USAID</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DC3D15" w:rsidP="00BC16D1">
            <w:pPr>
              <w:jc w:val="right"/>
              <w:rPr>
                <w:rFonts w:ascii="Arial" w:hAnsi="Arial" w:cs="Arial"/>
                <w:color w:val="000000"/>
              </w:rPr>
            </w:pPr>
            <w:r w:rsidRPr="002875EC">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DC3D15" w:rsidP="00BC16D1">
            <w:pPr>
              <w:rPr>
                <w:rFonts w:ascii="Arial" w:hAnsi="Arial" w:cs="Arial"/>
                <w:color w:val="000000"/>
              </w:rPr>
            </w:pPr>
            <w:r w:rsidRPr="002875EC">
              <w:rPr>
                <w:rFonts w:ascii="Arial" w:hAnsi="Arial" w:cs="Arial"/>
                <w:color w:val="000000"/>
              </w:rPr>
              <w:t>OMS</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DC3D15" w:rsidP="0039244D">
            <w:pPr>
              <w:jc w:val="right"/>
              <w:rPr>
                <w:rFonts w:ascii="Arial" w:hAnsi="Arial" w:cs="Arial"/>
                <w:color w:val="000000"/>
              </w:rPr>
            </w:pPr>
            <w:r w:rsidRPr="002875EC">
              <w:rPr>
                <w:rFonts w:ascii="Arial" w:hAnsi="Arial" w:cs="Arial"/>
                <w:color w:val="000000"/>
              </w:rPr>
              <w:t>0</w:t>
            </w:r>
            <w:r w:rsidR="00FF7F2C" w:rsidRPr="002875EC">
              <w:rPr>
                <w:rFonts w:ascii="Arial" w:hAnsi="Arial" w:cs="Arial"/>
                <w:color w:val="000000"/>
              </w:rPr>
              <w:t>1</w:t>
            </w:r>
          </w:p>
        </w:tc>
      </w:tr>
      <w:tr w:rsidR="00FF368E"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FF368E" w:rsidRPr="002875EC" w:rsidRDefault="00FF368E" w:rsidP="00BC16D1">
            <w:pPr>
              <w:rPr>
                <w:rFonts w:ascii="Arial" w:hAnsi="Arial" w:cs="Arial"/>
                <w:color w:val="000000"/>
              </w:rPr>
            </w:pPr>
            <w:r w:rsidRPr="00FF368E">
              <w:rPr>
                <w:rFonts w:ascii="Arial" w:hAnsi="Arial" w:cs="Arial"/>
                <w:color w:val="000000"/>
                <w:highlight w:val="yellow"/>
              </w:rPr>
              <w:t>UNICEF</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FF368E" w:rsidRPr="002875EC" w:rsidRDefault="00FF368E" w:rsidP="0039244D">
            <w:pPr>
              <w:jc w:val="right"/>
              <w:rPr>
                <w:rFonts w:ascii="Arial" w:hAnsi="Arial" w:cs="Arial"/>
                <w:color w:val="000000"/>
              </w:rPr>
            </w:pPr>
            <w:r>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DC3D15" w:rsidP="00BC16D1">
            <w:pPr>
              <w:rPr>
                <w:rFonts w:ascii="Arial" w:hAnsi="Arial" w:cs="Arial"/>
                <w:color w:val="000000"/>
              </w:rPr>
            </w:pPr>
            <w:r w:rsidRPr="002875EC">
              <w:rPr>
                <w:rFonts w:ascii="Arial" w:hAnsi="Arial" w:cs="Arial"/>
                <w:color w:val="000000"/>
              </w:rPr>
              <w:t>UNF</w:t>
            </w:r>
            <w:r w:rsidR="00FF368E">
              <w:rPr>
                <w:rFonts w:ascii="Arial" w:hAnsi="Arial" w:cs="Arial"/>
                <w:color w:val="000000"/>
              </w:rPr>
              <w:t>PA</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DC3D15" w:rsidP="00BC16D1">
            <w:pPr>
              <w:jc w:val="right"/>
              <w:rPr>
                <w:rFonts w:ascii="Arial" w:hAnsi="Arial" w:cs="Arial"/>
                <w:color w:val="000000"/>
              </w:rPr>
            </w:pPr>
            <w:r w:rsidRPr="002875EC">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454E4F" w:rsidP="00BC16D1">
            <w:pPr>
              <w:rPr>
                <w:rFonts w:ascii="Arial" w:hAnsi="Arial" w:cs="Arial"/>
                <w:color w:val="000000"/>
              </w:rPr>
            </w:pPr>
            <w:r w:rsidRPr="002875EC">
              <w:rPr>
                <w:rFonts w:ascii="Arial" w:hAnsi="Arial" w:cs="Arial"/>
                <w:color w:val="000000"/>
              </w:rPr>
              <w:t>?</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DC3D15" w:rsidP="00BC16D1">
            <w:pPr>
              <w:jc w:val="right"/>
              <w:rPr>
                <w:rFonts w:ascii="Arial" w:hAnsi="Arial" w:cs="Arial"/>
                <w:color w:val="000000"/>
              </w:rPr>
            </w:pPr>
          </w:p>
        </w:tc>
      </w:tr>
      <w:tr w:rsidR="00951F67"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951F67" w:rsidRPr="002875EC" w:rsidDel="00951F67" w:rsidRDefault="00951F67" w:rsidP="00BC16D1">
            <w:pPr>
              <w:rPr>
                <w:rFonts w:ascii="Arial" w:hAnsi="Arial" w:cs="Arial"/>
                <w:color w:val="000000"/>
              </w:rPr>
            </w:pPr>
            <w:r w:rsidRPr="002875EC">
              <w:rPr>
                <w:rFonts w:ascii="Arial" w:hAnsi="Arial" w:cs="Arial"/>
                <w:color w:val="000000"/>
              </w:rPr>
              <w:t xml:space="preserve">Union </w:t>
            </w:r>
            <w:proofErr w:type="spellStart"/>
            <w:r w:rsidRPr="002875EC">
              <w:rPr>
                <w:rFonts w:ascii="Arial" w:hAnsi="Arial" w:cs="Arial"/>
                <w:color w:val="000000"/>
              </w:rPr>
              <w:t>Europénne</w:t>
            </w:r>
            <w:proofErr w:type="spellEnd"/>
          </w:p>
        </w:tc>
        <w:tc>
          <w:tcPr>
            <w:tcW w:w="3686" w:type="dxa"/>
            <w:tcBorders>
              <w:top w:val="nil"/>
              <w:left w:val="nil"/>
              <w:bottom w:val="single" w:sz="4" w:space="0" w:color="auto"/>
              <w:right w:val="single" w:sz="4" w:space="0" w:color="auto"/>
            </w:tcBorders>
            <w:shd w:val="clear" w:color="auto" w:fill="FFFFFF" w:themeFill="background1"/>
            <w:noWrap/>
            <w:vAlign w:val="bottom"/>
          </w:tcPr>
          <w:p w:rsidR="00951F67" w:rsidRPr="002875EC" w:rsidDel="00951F67" w:rsidRDefault="00585C1F" w:rsidP="00BC16D1">
            <w:pPr>
              <w:jc w:val="right"/>
              <w:rPr>
                <w:rFonts w:ascii="Arial" w:hAnsi="Arial" w:cs="Arial"/>
                <w:color w:val="000000"/>
              </w:rPr>
            </w:pPr>
            <w:r w:rsidRPr="002875EC">
              <w:rPr>
                <w:rFonts w:ascii="Arial" w:hAnsi="Arial" w:cs="Arial"/>
                <w:color w:val="000000"/>
              </w:rPr>
              <w:t>01</w:t>
            </w:r>
          </w:p>
        </w:tc>
      </w:tr>
      <w:tr w:rsidR="00951F67"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951F67" w:rsidRPr="002875EC" w:rsidDel="00951F67" w:rsidRDefault="00951F67" w:rsidP="00BC16D1">
            <w:pPr>
              <w:rPr>
                <w:rFonts w:ascii="Arial" w:hAnsi="Arial" w:cs="Arial"/>
                <w:color w:val="000000"/>
              </w:rPr>
            </w:pPr>
            <w:proofErr w:type="spellStart"/>
            <w:r w:rsidRPr="002875EC">
              <w:rPr>
                <w:rFonts w:ascii="Arial" w:hAnsi="Arial" w:cs="Arial"/>
                <w:color w:val="000000"/>
              </w:rPr>
              <w:t>Embassade</w:t>
            </w:r>
            <w:proofErr w:type="spellEnd"/>
            <w:r w:rsidRPr="002875EC">
              <w:rPr>
                <w:rFonts w:ascii="Arial" w:hAnsi="Arial" w:cs="Arial"/>
                <w:color w:val="000000"/>
              </w:rPr>
              <w:t xml:space="preserve"> Belge</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951F67" w:rsidRPr="002875EC" w:rsidDel="00951F67" w:rsidRDefault="00585C1F" w:rsidP="00BC16D1">
            <w:pPr>
              <w:jc w:val="right"/>
              <w:rPr>
                <w:rFonts w:ascii="Arial" w:hAnsi="Arial" w:cs="Arial"/>
                <w:color w:val="000000"/>
              </w:rPr>
            </w:pPr>
            <w:r w:rsidRPr="002875EC">
              <w:rPr>
                <w:rFonts w:ascii="Arial" w:hAnsi="Arial" w:cs="Arial"/>
                <w:color w:val="000000"/>
              </w:rPr>
              <w:t>01</w:t>
            </w:r>
          </w:p>
        </w:tc>
      </w:tr>
      <w:tr w:rsidR="00951F67"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951F67" w:rsidRPr="002875EC" w:rsidDel="00951F67" w:rsidRDefault="00951F67" w:rsidP="00BC16D1">
            <w:pPr>
              <w:rPr>
                <w:rFonts w:ascii="Arial" w:hAnsi="Arial" w:cs="Arial"/>
                <w:color w:val="000000"/>
              </w:rPr>
            </w:pPr>
            <w:proofErr w:type="spellStart"/>
            <w:r w:rsidRPr="002875EC">
              <w:rPr>
                <w:rFonts w:ascii="Arial" w:hAnsi="Arial" w:cs="Arial"/>
                <w:color w:val="000000"/>
              </w:rPr>
              <w:t>Embassade</w:t>
            </w:r>
            <w:proofErr w:type="spellEnd"/>
            <w:r w:rsidRPr="002875EC">
              <w:rPr>
                <w:rFonts w:ascii="Arial" w:hAnsi="Arial" w:cs="Arial"/>
                <w:color w:val="000000"/>
              </w:rPr>
              <w:t xml:space="preserve"> France</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951F67" w:rsidRPr="002875EC" w:rsidDel="00951F67" w:rsidRDefault="00585C1F" w:rsidP="00BC16D1">
            <w:pPr>
              <w:jc w:val="right"/>
              <w:rPr>
                <w:rFonts w:ascii="Arial" w:hAnsi="Arial" w:cs="Arial"/>
                <w:color w:val="000000"/>
              </w:rPr>
            </w:pPr>
            <w:r w:rsidRPr="002875EC">
              <w:rPr>
                <w:rFonts w:ascii="Arial" w:hAnsi="Arial" w:cs="Arial"/>
                <w:color w:val="000000"/>
              </w:rPr>
              <w:t>01</w:t>
            </w:r>
          </w:p>
        </w:tc>
      </w:tr>
      <w:tr w:rsidR="00951F67"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951F67" w:rsidRPr="002875EC" w:rsidRDefault="00951F67" w:rsidP="00BC16D1">
            <w:pPr>
              <w:rPr>
                <w:rFonts w:ascii="Arial" w:hAnsi="Arial" w:cs="Arial"/>
                <w:color w:val="000000"/>
              </w:rPr>
            </w:pPr>
            <w:proofErr w:type="spellStart"/>
            <w:r w:rsidRPr="002875EC">
              <w:rPr>
                <w:rFonts w:ascii="Arial" w:hAnsi="Arial" w:cs="Arial"/>
                <w:color w:val="000000"/>
              </w:rPr>
              <w:t>Embassade</w:t>
            </w:r>
            <w:proofErr w:type="spellEnd"/>
            <w:r w:rsidRPr="002875EC">
              <w:rPr>
                <w:rFonts w:ascii="Arial" w:hAnsi="Arial" w:cs="Arial"/>
                <w:color w:val="000000"/>
              </w:rPr>
              <w:t xml:space="preserve"> Espagnole</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951F67" w:rsidRPr="002875EC" w:rsidDel="00951F67" w:rsidRDefault="00585C1F" w:rsidP="00BC16D1">
            <w:pPr>
              <w:jc w:val="right"/>
              <w:rPr>
                <w:rFonts w:ascii="Arial" w:hAnsi="Arial" w:cs="Arial"/>
                <w:color w:val="000000"/>
              </w:rPr>
            </w:pPr>
            <w:r w:rsidRPr="002875EC">
              <w:rPr>
                <w:rFonts w:ascii="Arial" w:hAnsi="Arial" w:cs="Arial"/>
                <w:color w:val="000000"/>
              </w:rPr>
              <w:t>01</w:t>
            </w:r>
          </w:p>
        </w:tc>
      </w:tr>
      <w:tr w:rsidR="00FF7F2C"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FF7F2C" w:rsidRPr="002875EC" w:rsidRDefault="00FF7F2C" w:rsidP="00BC16D1">
            <w:pPr>
              <w:rPr>
                <w:rFonts w:ascii="Arial" w:hAnsi="Arial" w:cs="Arial"/>
                <w:color w:val="000000"/>
              </w:rPr>
            </w:pPr>
            <w:r w:rsidRPr="002875EC">
              <w:rPr>
                <w:rFonts w:ascii="Arial" w:hAnsi="Arial" w:cs="Arial"/>
                <w:color w:val="000000"/>
              </w:rPr>
              <w:t>CAM</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FF7F2C" w:rsidRPr="002875EC" w:rsidDel="00951F67" w:rsidRDefault="00585C1F" w:rsidP="00BC16D1">
            <w:pPr>
              <w:jc w:val="right"/>
              <w:rPr>
                <w:rFonts w:ascii="Arial" w:hAnsi="Arial" w:cs="Arial"/>
                <w:color w:val="000000"/>
              </w:rPr>
            </w:pPr>
            <w:r w:rsidRPr="002875EC">
              <w:rPr>
                <w:rFonts w:ascii="Arial" w:hAnsi="Arial" w:cs="Arial"/>
                <w:color w:val="000000"/>
              </w:rPr>
              <w:t>01</w:t>
            </w:r>
          </w:p>
        </w:tc>
      </w:tr>
      <w:tr w:rsidR="00454E4F"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454E4F" w:rsidRPr="002875EC" w:rsidRDefault="00FF368E" w:rsidP="00BC16D1">
            <w:pPr>
              <w:rPr>
                <w:rFonts w:ascii="Arial" w:hAnsi="Arial" w:cs="Arial"/>
                <w:color w:val="000000"/>
              </w:rPr>
            </w:pPr>
            <w:r w:rsidRPr="00FF368E">
              <w:rPr>
                <w:rFonts w:ascii="Arial" w:hAnsi="Arial" w:cs="Arial"/>
                <w:color w:val="000000"/>
                <w:highlight w:val="yellow"/>
              </w:rPr>
              <w:t>AGEBF</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454E4F" w:rsidRPr="002875EC" w:rsidDel="00951F67" w:rsidRDefault="00FF368E" w:rsidP="00BC16D1">
            <w:pPr>
              <w:jc w:val="right"/>
              <w:rPr>
                <w:rFonts w:ascii="Arial" w:hAnsi="Arial" w:cs="Arial"/>
                <w:color w:val="000000"/>
              </w:rPr>
            </w:pPr>
            <w:r w:rsidRPr="002875EC">
              <w:rPr>
                <w:rFonts w:ascii="Arial" w:hAnsi="Arial" w:cs="Arial"/>
                <w:color w:val="000000"/>
              </w:rPr>
              <w:t>01</w:t>
            </w:r>
          </w:p>
        </w:tc>
      </w:tr>
      <w:tr w:rsidR="00FF7F2C"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FF7F2C" w:rsidRPr="00FF368E" w:rsidRDefault="00454E4F" w:rsidP="00BC16D1">
            <w:pPr>
              <w:rPr>
                <w:rFonts w:ascii="Arial" w:hAnsi="Arial" w:cs="Arial"/>
                <w:color w:val="000000"/>
                <w:highlight w:val="yellow"/>
              </w:rPr>
            </w:pPr>
            <w:r w:rsidRPr="00FF368E">
              <w:rPr>
                <w:rFonts w:ascii="Arial" w:hAnsi="Arial" w:cs="Arial"/>
                <w:color w:val="000000"/>
                <w:highlight w:val="yellow"/>
              </w:rPr>
              <w:t>Fraternité Médicale Guinée (FMG)</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FF7F2C" w:rsidRPr="002875EC" w:rsidDel="00951F67" w:rsidRDefault="00585C1F" w:rsidP="00BC16D1">
            <w:pPr>
              <w:jc w:val="right"/>
              <w:rPr>
                <w:rFonts w:ascii="Arial" w:hAnsi="Arial" w:cs="Arial"/>
                <w:color w:val="000000"/>
              </w:rPr>
            </w:pPr>
            <w:r w:rsidRPr="002875EC">
              <w:rPr>
                <w:rFonts w:ascii="Arial" w:hAnsi="Arial" w:cs="Arial"/>
                <w:color w:val="000000"/>
              </w:rPr>
              <w:t>01</w:t>
            </w:r>
          </w:p>
        </w:tc>
      </w:tr>
      <w:tr w:rsidR="00FF368E"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FF368E" w:rsidRPr="00FF368E" w:rsidRDefault="00FF368E" w:rsidP="00FF368E">
            <w:pPr>
              <w:rPr>
                <w:rFonts w:ascii="Arial" w:hAnsi="Arial" w:cs="Arial"/>
                <w:color w:val="000000"/>
                <w:highlight w:val="yellow"/>
              </w:rPr>
            </w:pPr>
            <w:proofErr w:type="spellStart"/>
            <w:r w:rsidRPr="00FF368E">
              <w:rPr>
                <w:rFonts w:ascii="Arial" w:hAnsi="Arial" w:cs="Arial"/>
                <w:color w:val="000000"/>
                <w:highlight w:val="yellow"/>
              </w:rPr>
              <w:t>Ministere</w:t>
            </w:r>
            <w:proofErr w:type="spellEnd"/>
            <w:r w:rsidRPr="00FF368E">
              <w:rPr>
                <w:rFonts w:ascii="Arial" w:hAnsi="Arial" w:cs="Arial"/>
                <w:color w:val="000000"/>
                <w:highlight w:val="yellow"/>
              </w:rPr>
              <w:t xml:space="preserve"> autonomisation des femmes</w:t>
            </w:r>
          </w:p>
        </w:tc>
        <w:tc>
          <w:tcPr>
            <w:tcW w:w="3686" w:type="dxa"/>
            <w:tcBorders>
              <w:top w:val="nil"/>
              <w:left w:val="nil"/>
              <w:bottom w:val="single" w:sz="4" w:space="0" w:color="auto"/>
              <w:right w:val="single" w:sz="4" w:space="0" w:color="auto"/>
            </w:tcBorders>
            <w:shd w:val="clear" w:color="auto" w:fill="FFFFFF" w:themeFill="background1"/>
            <w:noWrap/>
          </w:tcPr>
          <w:p w:rsidR="00FF368E" w:rsidRDefault="00FF368E" w:rsidP="00FF368E">
            <w:pPr>
              <w:jc w:val="right"/>
            </w:pPr>
            <w:r w:rsidRPr="00DF0120">
              <w:rPr>
                <w:rFonts w:ascii="Arial" w:hAnsi="Arial" w:cs="Arial"/>
                <w:color w:val="000000"/>
              </w:rPr>
              <w:t>01</w:t>
            </w:r>
          </w:p>
        </w:tc>
      </w:tr>
      <w:tr w:rsidR="00FF368E"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FF368E" w:rsidRPr="002875EC" w:rsidRDefault="00FF368E" w:rsidP="00FF368E">
            <w:pPr>
              <w:rPr>
                <w:rFonts w:ascii="Arial" w:hAnsi="Arial" w:cs="Arial"/>
                <w:color w:val="000000"/>
              </w:rPr>
            </w:pPr>
            <w:proofErr w:type="spellStart"/>
            <w:r w:rsidRPr="00FF368E">
              <w:rPr>
                <w:rFonts w:ascii="Arial" w:hAnsi="Arial" w:cs="Arial"/>
                <w:color w:val="000000"/>
                <w:highlight w:val="yellow"/>
              </w:rPr>
              <w:t>Ministere</w:t>
            </w:r>
            <w:proofErr w:type="spellEnd"/>
            <w:r w:rsidRPr="00FF368E">
              <w:rPr>
                <w:rFonts w:ascii="Arial" w:hAnsi="Arial" w:cs="Arial"/>
                <w:color w:val="000000"/>
                <w:highlight w:val="yellow"/>
              </w:rPr>
              <w:t xml:space="preserve"> Action Sociale</w:t>
            </w:r>
          </w:p>
        </w:tc>
        <w:tc>
          <w:tcPr>
            <w:tcW w:w="3686" w:type="dxa"/>
            <w:tcBorders>
              <w:top w:val="nil"/>
              <w:left w:val="nil"/>
              <w:bottom w:val="single" w:sz="4" w:space="0" w:color="auto"/>
              <w:right w:val="single" w:sz="4" w:space="0" w:color="auto"/>
            </w:tcBorders>
            <w:shd w:val="clear" w:color="auto" w:fill="FFFFFF" w:themeFill="background1"/>
            <w:noWrap/>
          </w:tcPr>
          <w:p w:rsidR="00FF368E" w:rsidRDefault="00FF368E" w:rsidP="00FF368E">
            <w:pPr>
              <w:jc w:val="right"/>
            </w:pPr>
            <w:r w:rsidRPr="00DF0120">
              <w:rPr>
                <w:rFonts w:ascii="Arial" w:hAnsi="Arial" w:cs="Arial"/>
                <w:color w:val="000000"/>
              </w:rPr>
              <w:t>01</w:t>
            </w:r>
          </w:p>
        </w:tc>
      </w:tr>
      <w:tr w:rsidR="00FF368E"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FF368E" w:rsidRPr="00FF368E" w:rsidRDefault="00FF368E" w:rsidP="00FF368E">
            <w:pPr>
              <w:rPr>
                <w:rFonts w:ascii="Arial" w:hAnsi="Arial" w:cs="Arial"/>
                <w:color w:val="000000"/>
                <w:highlight w:val="yellow"/>
              </w:rPr>
            </w:pPr>
            <w:r>
              <w:rPr>
                <w:rFonts w:ascii="Arial" w:hAnsi="Arial" w:cs="Arial"/>
                <w:color w:val="000000"/>
                <w:highlight w:val="yellow"/>
              </w:rPr>
              <w:t>Ministère Jeunesse</w:t>
            </w:r>
          </w:p>
        </w:tc>
        <w:tc>
          <w:tcPr>
            <w:tcW w:w="3686" w:type="dxa"/>
            <w:tcBorders>
              <w:top w:val="nil"/>
              <w:left w:val="nil"/>
              <w:bottom w:val="single" w:sz="4" w:space="0" w:color="auto"/>
              <w:right w:val="single" w:sz="4" w:space="0" w:color="auto"/>
            </w:tcBorders>
            <w:shd w:val="clear" w:color="auto" w:fill="FFFFFF" w:themeFill="background1"/>
            <w:noWrap/>
          </w:tcPr>
          <w:p w:rsidR="00FF368E" w:rsidRDefault="00FF368E" w:rsidP="00FF368E">
            <w:pPr>
              <w:jc w:val="right"/>
            </w:pPr>
            <w:r w:rsidRPr="00DF0120">
              <w:rPr>
                <w:rFonts w:ascii="Arial" w:hAnsi="Arial" w:cs="Arial"/>
                <w:color w:val="000000"/>
              </w:rPr>
              <w:t>01</w:t>
            </w:r>
          </w:p>
        </w:tc>
      </w:tr>
      <w:tr w:rsidR="00DC3D1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DC3D15" w:rsidRPr="002875EC" w:rsidRDefault="00DC3D15" w:rsidP="00BC16D1">
            <w:pPr>
              <w:rPr>
                <w:rFonts w:ascii="Arial" w:hAnsi="Arial" w:cs="Arial"/>
                <w:color w:val="000000"/>
              </w:rPr>
            </w:pPr>
            <w:r w:rsidRPr="002875EC">
              <w:rPr>
                <w:rFonts w:ascii="Arial" w:hAnsi="Arial" w:cs="Arial"/>
                <w:color w:val="000000"/>
              </w:rPr>
              <w:t>MDAF</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DC3D15" w:rsidRPr="002875EC" w:rsidRDefault="00DC3D15" w:rsidP="00BC16D1">
            <w:pPr>
              <w:jc w:val="right"/>
              <w:rPr>
                <w:rFonts w:ascii="Arial" w:hAnsi="Arial" w:cs="Arial"/>
                <w:color w:val="000000"/>
              </w:rPr>
            </w:pPr>
            <w:r w:rsidRPr="002875EC">
              <w:rPr>
                <w:rFonts w:ascii="Arial" w:hAnsi="Arial" w:cs="Arial"/>
                <w:color w:val="000000"/>
              </w:rPr>
              <w:t>01</w:t>
            </w:r>
          </w:p>
        </w:tc>
      </w:tr>
      <w:tr w:rsidR="00C61845"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C61845" w:rsidRPr="002875EC" w:rsidRDefault="00C61845" w:rsidP="00BC16D1">
            <w:pPr>
              <w:rPr>
                <w:rFonts w:ascii="Arial" w:hAnsi="Arial" w:cs="Arial"/>
                <w:color w:val="000000"/>
              </w:rPr>
            </w:pPr>
            <w:r w:rsidRPr="002875EC">
              <w:rPr>
                <w:rFonts w:ascii="Arial" w:hAnsi="Arial" w:cs="Arial"/>
                <w:color w:val="000000"/>
              </w:rPr>
              <w:t>Sécurité</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C61845" w:rsidRPr="002875EC" w:rsidRDefault="00C61845" w:rsidP="00BC16D1">
            <w:pPr>
              <w:jc w:val="right"/>
              <w:rPr>
                <w:rFonts w:ascii="Arial" w:hAnsi="Arial" w:cs="Arial"/>
                <w:color w:val="000000"/>
              </w:rPr>
            </w:pPr>
            <w:r w:rsidRPr="002875EC">
              <w:rPr>
                <w:rFonts w:ascii="Arial" w:hAnsi="Arial" w:cs="Arial"/>
                <w:color w:val="000000"/>
              </w:rPr>
              <w:t>02</w:t>
            </w:r>
          </w:p>
        </w:tc>
      </w:tr>
      <w:tr w:rsidR="00470A61"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470A61" w:rsidRPr="002875EC" w:rsidRDefault="00470A61" w:rsidP="00BC16D1">
            <w:pPr>
              <w:rPr>
                <w:rFonts w:ascii="Arial" w:hAnsi="Arial" w:cs="Arial"/>
                <w:color w:val="000000"/>
              </w:rPr>
            </w:pPr>
            <w:r w:rsidRPr="002875EC">
              <w:rPr>
                <w:rFonts w:ascii="Arial" w:hAnsi="Arial" w:cs="Arial"/>
                <w:color w:val="000000"/>
              </w:rPr>
              <w:t>UGP</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470A61" w:rsidRPr="002875EC" w:rsidRDefault="00470A61" w:rsidP="0039244D">
            <w:pPr>
              <w:jc w:val="right"/>
              <w:rPr>
                <w:rFonts w:ascii="Arial" w:hAnsi="Arial" w:cs="Arial"/>
                <w:color w:val="000000"/>
              </w:rPr>
            </w:pPr>
            <w:r w:rsidRPr="002875EC">
              <w:rPr>
                <w:rFonts w:ascii="Arial" w:hAnsi="Arial" w:cs="Arial"/>
                <w:color w:val="000000"/>
              </w:rPr>
              <w:t>0</w:t>
            </w:r>
            <w:r w:rsidR="0039244D" w:rsidRPr="002875EC">
              <w:rPr>
                <w:rFonts w:ascii="Arial" w:hAnsi="Arial" w:cs="Arial"/>
                <w:color w:val="000000"/>
              </w:rPr>
              <w:t>2</w:t>
            </w:r>
          </w:p>
        </w:tc>
      </w:tr>
      <w:tr w:rsidR="00470A61" w:rsidRPr="002875EC" w:rsidTr="00BC16D1">
        <w:trPr>
          <w:trHeight w:val="273"/>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470A61" w:rsidRPr="002875EC" w:rsidRDefault="00470A61" w:rsidP="00BC16D1">
            <w:pPr>
              <w:rPr>
                <w:rFonts w:ascii="Arial" w:hAnsi="Arial" w:cs="Arial"/>
                <w:color w:val="000000"/>
              </w:rPr>
            </w:pPr>
            <w:r w:rsidRPr="002875EC">
              <w:rPr>
                <w:rFonts w:ascii="Arial" w:hAnsi="Arial" w:cs="Arial"/>
                <w:color w:val="000000"/>
              </w:rPr>
              <w:t>Banque Mondiale</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470A61" w:rsidRPr="002875EC" w:rsidRDefault="00470A61" w:rsidP="00BC16D1">
            <w:pPr>
              <w:jc w:val="right"/>
              <w:rPr>
                <w:rFonts w:ascii="Arial" w:hAnsi="Arial" w:cs="Arial"/>
                <w:color w:val="000000"/>
              </w:rPr>
            </w:pPr>
            <w:r w:rsidRPr="002875EC">
              <w:rPr>
                <w:rFonts w:ascii="Arial" w:hAnsi="Arial" w:cs="Arial"/>
                <w:color w:val="000000"/>
              </w:rPr>
              <w:t>01</w:t>
            </w:r>
          </w:p>
        </w:tc>
      </w:tr>
      <w:tr w:rsidR="00560B1F" w:rsidRPr="002875EC" w:rsidTr="00BC16D1">
        <w:trPr>
          <w:trHeight w:val="276"/>
        </w:trPr>
        <w:tc>
          <w:tcPr>
            <w:tcW w:w="4748" w:type="dxa"/>
            <w:tcBorders>
              <w:top w:val="nil"/>
              <w:left w:val="single" w:sz="4" w:space="0" w:color="auto"/>
              <w:bottom w:val="single" w:sz="4" w:space="0" w:color="auto"/>
              <w:right w:val="single" w:sz="4" w:space="0" w:color="auto"/>
            </w:tcBorders>
            <w:shd w:val="clear" w:color="auto" w:fill="FFFFFF" w:themeFill="background1"/>
            <w:noWrap/>
            <w:vAlign w:val="bottom"/>
          </w:tcPr>
          <w:p w:rsidR="00560B1F" w:rsidRPr="002875EC" w:rsidRDefault="00560B1F" w:rsidP="00BC16D1">
            <w:pPr>
              <w:rPr>
                <w:rFonts w:ascii="Arial" w:hAnsi="Arial" w:cs="Arial"/>
                <w:b/>
                <w:bCs/>
                <w:color w:val="000000"/>
              </w:rPr>
            </w:pPr>
            <w:r w:rsidRPr="002875EC">
              <w:rPr>
                <w:rFonts w:ascii="Arial" w:hAnsi="Arial" w:cs="Arial"/>
                <w:b/>
                <w:bCs/>
                <w:color w:val="000000"/>
              </w:rPr>
              <w:t>TOTAL</w:t>
            </w:r>
          </w:p>
        </w:tc>
        <w:tc>
          <w:tcPr>
            <w:tcW w:w="3686" w:type="dxa"/>
            <w:tcBorders>
              <w:top w:val="nil"/>
              <w:left w:val="nil"/>
              <w:bottom w:val="single" w:sz="4" w:space="0" w:color="auto"/>
              <w:right w:val="single" w:sz="4" w:space="0" w:color="auto"/>
            </w:tcBorders>
            <w:shd w:val="clear" w:color="auto" w:fill="FFFFFF" w:themeFill="background1"/>
            <w:noWrap/>
            <w:vAlign w:val="bottom"/>
          </w:tcPr>
          <w:p w:rsidR="00560B1F" w:rsidRPr="002875EC" w:rsidRDefault="0039244D" w:rsidP="00BC16D1">
            <w:pPr>
              <w:jc w:val="right"/>
              <w:rPr>
                <w:rFonts w:ascii="Arial" w:hAnsi="Arial" w:cs="Arial"/>
                <w:b/>
                <w:bCs/>
                <w:color w:val="000000"/>
              </w:rPr>
            </w:pPr>
            <w:r w:rsidRPr="002875EC">
              <w:rPr>
                <w:rFonts w:ascii="Arial" w:hAnsi="Arial" w:cs="Arial"/>
                <w:b/>
                <w:bCs/>
                <w:color w:val="000000"/>
              </w:rPr>
              <w:t>30</w:t>
            </w:r>
          </w:p>
        </w:tc>
      </w:tr>
    </w:tbl>
    <w:p w:rsidR="00C61845" w:rsidRPr="002875EC" w:rsidRDefault="00C61845">
      <w:pPr>
        <w:rPr>
          <w:rFonts w:ascii="Arial" w:hAnsi="Arial" w:cs="Arial"/>
        </w:rPr>
      </w:pPr>
    </w:p>
    <w:p w:rsidR="00560B1F" w:rsidRPr="002875EC" w:rsidRDefault="00C61845" w:rsidP="00C61845">
      <w:pPr>
        <w:ind w:firstLine="708"/>
        <w:rPr>
          <w:rFonts w:ascii="Arial" w:hAnsi="Arial" w:cs="Arial"/>
          <w:b/>
        </w:rPr>
      </w:pPr>
      <w:r w:rsidRPr="002875EC">
        <w:rPr>
          <w:rFonts w:ascii="Arial" w:hAnsi="Arial" w:cs="Arial"/>
          <w:b/>
        </w:rPr>
        <w:t>BUDGET</w:t>
      </w:r>
    </w:p>
    <w:p w:rsidR="001474CD" w:rsidRPr="002875EC" w:rsidRDefault="001474CD" w:rsidP="00C61845">
      <w:pPr>
        <w:ind w:firstLine="708"/>
        <w:rPr>
          <w:rFonts w:ascii="Arial" w:hAnsi="Arial" w:cs="Arial"/>
          <w:b/>
        </w:rPr>
      </w:pPr>
    </w:p>
    <w:p w:rsidR="001474CD" w:rsidRPr="002875EC" w:rsidRDefault="00585C1F" w:rsidP="00585C1F">
      <w:pPr>
        <w:pStyle w:val="Titre1"/>
        <w:numPr>
          <w:ilvl w:val="0"/>
          <w:numId w:val="13"/>
        </w:numPr>
      </w:pPr>
      <w:bookmarkStart w:id="13" w:name="_Toc99723783"/>
      <w:r w:rsidRPr="002875EC">
        <w:t>ANNEXE</w:t>
      </w:r>
      <w:bookmarkEnd w:id="13"/>
    </w:p>
    <w:p w:rsidR="00454E4F" w:rsidRPr="000A5CF1" w:rsidRDefault="000A5CF1" w:rsidP="00454E4F">
      <w:pPr>
        <w:rPr>
          <w:b/>
        </w:rPr>
      </w:pPr>
      <w:r w:rsidRPr="000A5CF1">
        <w:rPr>
          <w:b/>
        </w:rPr>
        <w:t xml:space="preserve">Matrice des actions de lutte contre les </w:t>
      </w:r>
      <w:r w:rsidR="00454E4F" w:rsidRPr="000A5CF1">
        <w:rPr>
          <w:b/>
        </w:rPr>
        <w:t>VBG (</w:t>
      </w:r>
      <w:r>
        <w:rPr>
          <w:b/>
        </w:rPr>
        <w:t xml:space="preserve">toutes activités </w:t>
      </w:r>
      <w:r w:rsidR="00454E4F" w:rsidRPr="000A5CF1">
        <w:rPr>
          <w:b/>
        </w:rPr>
        <w:t xml:space="preserve">SSRAJ) </w:t>
      </w:r>
      <w:r w:rsidRPr="000A5CF1">
        <w:rPr>
          <w:b/>
        </w:rPr>
        <w:t>en</w:t>
      </w:r>
      <w:r w:rsidR="00454E4F" w:rsidRPr="000A5CF1">
        <w:rPr>
          <w:b/>
        </w:rPr>
        <w:t xml:space="preserve"> G</w:t>
      </w:r>
      <w:r w:rsidRPr="000A5CF1">
        <w:rPr>
          <w:b/>
        </w:rPr>
        <w:t>uinée</w:t>
      </w:r>
      <w:r w:rsidR="00454E4F" w:rsidRPr="000A5CF1">
        <w:rPr>
          <w:b/>
        </w:rPr>
        <w:t xml:space="preserve"> 2021</w:t>
      </w:r>
    </w:p>
    <w:p w:rsidR="00454E4F" w:rsidRPr="002875EC" w:rsidRDefault="00454E4F" w:rsidP="00454E4F">
      <w:r w:rsidRPr="002875EC">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Link" ProgID="Excel.Sheet.12" ShapeID="_x0000_i1025" DrawAspect="Icon" r:id="rId10" UpdateMode="Always">
            <o:LinkType>EnhancedMetaFile</o:LinkType>
            <o:LockedField>false</o:LockedField>
            <o:FieldCodes>\f 0 \* MERGEFORMAT</o:FieldCodes>
          </o:OLEObject>
        </w:object>
      </w:r>
    </w:p>
    <w:p w:rsidR="00454E4F" w:rsidRPr="002875EC" w:rsidRDefault="00454E4F" w:rsidP="00454E4F"/>
    <w:p w:rsidR="001474CD" w:rsidRPr="002875EC" w:rsidRDefault="001474CD" w:rsidP="00C61845">
      <w:pPr>
        <w:ind w:firstLine="708"/>
        <w:rPr>
          <w:rFonts w:ascii="Arial" w:hAnsi="Arial" w:cs="Arial"/>
          <w:b/>
        </w:rPr>
      </w:pPr>
    </w:p>
    <w:p w:rsidR="001474CD" w:rsidRPr="002875EC" w:rsidRDefault="001474CD" w:rsidP="00585C1F">
      <w:pPr>
        <w:pStyle w:val="Titre2"/>
      </w:pPr>
      <w:bookmarkStart w:id="14" w:name="_Toc92776540"/>
      <w:bookmarkStart w:id="15" w:name="_Toc92866816"/>
      <w:bookmarkStart w:id="16" w:name="_Toc99723784"/>
      <w:r w:rsidRPr="002875EC">
        <w:t>Présentation du service Genre et Équite (SGE)</w:t>
      </w:r>
      <w:bookmarkEnd w:id="14"/>
      <w:bookmarkEnd w:id="15"/>
      <w:bookmarkEnd w:id="16"/>
    </w:p>
    <w:p w:rsidR="001474CD" w:rsidRPr="002875EC" w:rsidRDefault="001474CD" w:rsidP="001474CD">
      <w:pPr>
        <w:jc w:val="both"/>
        <w:rPr>
          <w:rFonts w:ascii="Arial" w:hAnsi="Arial" w:cs="Arial"/>
        </w:rPr>
      </w:pPr>
      <w:r w:rsidRPr="002875EC">
        <w:rPr>
          <w:rFonts w:ascii="Arial" w:hAnsi="Arial" w:cs="Arial"/>
        </w:rPr>
        <w:t>Les services genre et équité (SGE) ont été mis en place dans chacun des 37 départements ministériels selon l’arrêté n° 2015/1257/MFPREMA/CAB portant attributions et organisation du SGE. Ils sont sous l’autorité administrative de leur Ministre et sous le contrôle technique de la Direction Nationale de Promotion Féminine et du Genre qui relève du Département de tutelle, le Ministère de l’Action Sociale, de la Promotion Féminine et de l’Enfance (MASPFE) et aujourd’hui du MDAF. Depuis 2015, les SGE ont rang de services d’appui avec rang de Division rattachée au Cabinet du Ministre et ont pour mission la mise en œuvre de la Politique du Gouvernement dans le domaine du genre et de l’équité et d’en assurer le suivi.</w:t>
      </w:r>
    </w:p>
    <w:p w:rsidR="001474CD" w:rsidRPr="002875EC" w:rsidRDefault="001474CD" w:rsidP="001474CD">
      <w:pPr>
        <w:jc w:val="both"/>
        <w:rPr>
          <w:rFonts w:ascii="Arial" w:hAnsi="Arial" w:cs="Arial"/>
        </w:rPr>
      </w:pPr>
      <w:r w:rsidRPr="002875EC">
        <w:rPr>
          <w:rFonts w:ascii="Arial" w:hAnsi="Arial" w:cs="Arial"/>
        </w:rPr>
        <w:t>De manière particulière, les SGE doivent initier au sein de leur Département des stratégies, programmes et projets de Genre et Équité ; veiller à l’application de la règlementation, l’intégration du Genre dans les programmes, veillé à la mise en place d’un pool de formateurs en Genre ; mobiliser des ressources pour l’appui aux femmes et communiquer les statistiques sur le Genre et Équité du Ministère.</w:t>
      </w:r>
    </w:p>
    <w:p w:rsidR="001474CD" w:rsidRPr="002875EC" w:rsidRDefault="001474CD" w:rsidP="001474CD">
      <w:pPr>
        <w:jc w:val="both"/>
        <w:rPr>
          <w:rFonts w:ascii="Arial" w:hAnsi="Arial" w:cs="Arial"/>
        </w:rPr>
      </w:pPr>
      <w:r w:rsidRPr="002875EC">
        <w:rPr>
          <w:rFonts w:ascii="Arial" w:hAnsi="Arial" w:cs="Arial"/>
        </w:rPr>
        <w:t>Tous les services Genre et Équité n’interviennent pas dans un cadre de concertation régulier. Ces services sont invités par le MASPFE/MDAF à des rencontres portant sur des questions de genre à débattre ou sur l’élaboration de politiques et plans d’action Genre. Par ailleurs, Les Service G&amp;E collaborent avec la Direction Nationale de Promotion Féminine et du Genre DNPF-G pour exécuter des projets en commun comme pour celui intitulé « Rajeunir et féminiser la Fonction Publique » qui a été réalisé entre le MFPREMA et la DNPF-G</w:t>
      </w:r>
      <w:r w:rsidRPr="002875EC">
        <w:rPr>
          <w:rStyle w:val="Appelnotedebasdep"/>
          <w:rFonts w:ascii="Arial" w:hAnsi="Arial" w:cs="Arial"/>
        </w:rPr>
        <w:footnoteReference w:id="1"/>
      </w:r>
      <w:r w:rsidRPr="002875EC">
        <w:rPr>
          <w:rFonts w:ascii="Arial" w:hAnsi="Arial" w:cs="Arial"/>
        </w:rPr>
        <w:t xml:space="preserve">. </w:t>
      </w:r>
    </w:p>
    <w:p w:rsidR="001474CD" w:rsidRPr="002875EC" w:rsidRDefault="001474CD" w:rsidP="00585C1F">
      <w:pPr>
        <w:rPr>
          <w:b/>
          <w:sz w:val="24"/>
          <w:szCs w:val="24"/>
        </w:rPr>
      </w:pPr>
      <w:bookmarkStart w:id="17" w:name="_Toc92776541"/>
      <w:r w:rsidRPr="002875EC">
        <w:rPr>
          <w:b/>
          <w:sz w:val="24"/>
          <w:szCs w:val="24"/>
        </w:rPr>
        <w:t>Organisation interne.</w:t>
      </w:r>
      <w:bookmarkEnd w:id="17"/>
      <w:r w:rsidRPr="002875EC">
        <w:rPr>
          <w:b/>
          <w:sz w:val="24"/>
          <w:szCs w:val="24"/>
        </w:rPr>
        <w:t xml:space="preserve"> </w:t>
      </w:r>
    </w:p>
    <w:p w:rsidR="001474CD" w:rsidRPr="002875EC" w:rsidRDefault="001474CD" w:rsidP="001474CD">
      <w:pPr>
        <w:jc w:val="both"/>
        <w:rPr>
          <w:rFonts w:ascii="Arial" w:hAnsi="Arial" w:cs="Arial"/>
        </w:rPr>
      </w:pPr>
      <w:r w:rsidRPr="002875EC">
        <w:rPr>
          <w:rFonts w:ascii="Arial" w:hAnsi="Arial" w:cs="Arial"/>
        </w:rPr>
        <w:t xml:space="preserve">Le cadre organique, qui est le même pour tous les SGE, prévoit un personnel au minimum de 11 à 15 cadres : </w:t>
      </w:r>
    </w:p>
    <w:p w:rsidR="001474CD" w:rsidRPr="002875EC" w:rsidRDefault="001474CD" w:rsidP="001474CD">
      <w:pPr>
        <w:pStyle w:val="Paragraphedeliste"/>
        <w:numPr>
          <w:ilvl w:val="0"/>
          <w:numId w:val="9"/>
        </w:numPr>
        <w:spacing w:after="200" w:line="276" w:lineRule="auto"/>
        <w:jc w:val="both"/>
        <w:rPr>
          <w:rFonts w:ascii="Arial" w:hAnsi="Arial" w:cs="Arial"/>
        </w:rPr>
      </w:pPr>
      <w:r w:rsidRPr="002875EC">
        <w:rPr>
          <w:rFonts w:ascii="Arial" w:hAnsi="Arial" w:cs="Arial"/>
        </w:rPr>
        <w:t xml:space="preserve">1 chef de service, </w:t>
      </w:r>
    </w:p>
    <w:p w:rsidR="001474CD" w:rsidRPr="002875EC" w:rsidRDefault="001474CD" w:rsidP="001474CD">
      <w:pPr>
        <w:pStyle w:val="Paragraphedeliste"/>
        <w:numPr>
          <w:ilvl w:val="0"/>
          <w:numId w:val="9"/>
        </w:numPr>
        <w:spacing w:after="200" w:line="276" w:lineRule="auto"/>
        <w:jc w:val="both"/>
        <w:rPr>
          <w:rFonts w:ascii="Arial" w:hAnsi="Arial" w:cs="Arial"/>
        </w:rPr>
      </w:pPr>
      <w:r w:rsidRPr="002875EC">
        <w:rPr>
          <w:rFonts w:ascii="Arial" w:hAnsi="Arial" w:cs="Arial"/>
        </w:rPr>
        <w:t xml:space="preserve">3 chefs de cellules </w:t>
      </w:r>
    </w:p>
    <w:p w:rsidR="001474CD" w:rsidRPr="002875EC" w:rsidRDefault="001474CD" w:rsidP="001474CD">
      <w:pPr>
        <w:pStyle w:val="Paragraphedeliste"/>
        <w:numPr>
          <w:ilvl w:val="0"/>
          <w:numId w:val="9"/>
        </w:numPr>
        <w:spacing w:after="200" w:line="276" w:lineRule="auto"/>
        <w:jc w:val="both"/>
        <w:rPr>
          <w:rFonts w:ascii="Arial" w:hAnsi="Arial" w:cs="Arial"/>
        </w:rPr>
      </w:pPr>
      <w:r w:rsidRPr="002875EC">
        <w:rPr>
          <w:rFonts w:ascii="Arial" w:hAnsi="Arial" w:cs="Arial"/>
        </w:rPr>
        <w:t xml:space="preserve">6 à 9 chargés d’études (soit 2 à 3 par section). </w:t>
      </w:r>
    </w:p>
    <w:p w:rsidR="001474CD" w:rsidRPr="002875EC" w:rsidRDefault="001474CD" w:rsidP="001474CD">
      <w:pPr>
        <w:pStyle w:val="Paragraphedeliste"/>
        <w:numPr>
          <w:ilvl w:val="0"/>
          <w:numId w:val="9"/>
        </w:numPr>
        <w:spacing w:after="200" w:line="276" w:lineRule="auto"/>
        <w:jc w:val="both"/>
        <w:rPr>
          <w:rFonts w:ascii="Arial" w:hAnsi="Arial" w:cs="Arial"/>
        </w:rPr>
      </w:pPr>
      <w:r w:rsidRPr="002875EC">
        <w:rPr>
          <w:rFonts w:ascii="Arial" w:hAnsi="Arial" w:cs="Arial"/>
        </w:rPr>
        <w:t>1 à 2 secrétaires,</w:t>
      </w:r>
    </w:p>
    <w:p w:rsidR="001474CD" w:rsidRPr="002875EC" w:rsidRDefault="001474CD" w:rsidP="001474CD">
      <w:pPr>
        <w:pStyle w:val="Paragraphedeliste"/>
        <w:numPr>
          <w:ilvl w:val="0"/>
          <w:numId w:val="9"/>
        </w:numPr>
        <w:spacing w:after="200" w:line="276" w:lineRule="auto"/>
        <w:jc w:val="both"/>
        <w:rPr>
          <w:rFonts w:ascii="Arial" w:hAnsi="Arial" w:cs="Arial"/>
        </w:rPr>
      </w:pPr>
      <w:r w:rsidRPr="002875EC">
        <w:rPr>
          <w:rFonts w:ascii="Arial" w:hAnsi="Arial" w:cs="Arial"/>
        </w:rPr>
        <w:t xml:space="preserve">Personnel de soutien : 1 chauffeur et 1 planton. </w:t>
      </w:r>
    </w:p>
    <w:p w:rsidR="001474CD" w:rsidRPr="002875EC" w:rsidRDefault="001474CD" w:rsidP="001474CD">
      <w:pPr>
        <w:jc w:val="both"/>
        <w:rPr>
          <w:rFonts w:ascii="Arial" w:hAnsi="Arial" w:cs="Arial"/>
        </w:rPr>
      </w:pPr>
      <w:r w:rsidRPr="002875EC">
        <w:rPr>
          <w:rFonts w:ascii="Arial" w:hAnsi="Arial" w:cs="Arial"/>
        </w:rPr>
        <w:t xml:space="preserve">Tous les SGE ne sont pas au même niveau de fonctionnement : certains sont entièrement meublés et d’autres non, selon qu’il existe des locaux suffisants. Toutefois, l’on peut dire que tous les 37 ministères ont désigné au moins un point focal avec des assistants. </w:t>
      </w:r>
    </w:p>
    <w:p w:rsidR="001474CD" w:rsidRPr="002875EC" w:rsidRDefault="001474CD" w:rsidP="001474CD">
      <w:pPr>
        <w:pStyle w:val="Titre4"/>
        <w:rPr>
          <w:rFonts w:ascii="Arial" w:hAnsi="Arial" w:cs="Arial"/>
          <w:sz w:val="22"/>
        </w:rPr>
      </w:pPr>
      <w:bookmarkStart w:id="18" w:name="_Toc92776542"/>
      <w:r w:rsidRPr="002875EC">
        <w:rPr>
          <w:rFonts w:ascii="Arial" w:hAnsi="Arial" w:cs="Arial"/>
          <w:sz w:val="22"/>
        </w:rPr>
        <w:t>Fonctions</w:t>
      </w:r>
      <w:bookmarkEnd w:id="18"/>
    </w:p>
    <w:p w:rsidR="001474CD" w:rsidRPr="002875EC" w:rsidRDefault="001474CD" w:rsidP="001474CD">
      <w:pPr>
        <w:jc w:val="both"/>
        <w:rPr>
          <w:rFonts w:ascii="Arial" w:hAnsi="Arial" w:cs="Arial"/>
        </w:rPr>
      </w:pPr>
      <w:r w:rsidRPr="002875EC">
        <w:rPr>
          <w:rFonts w:ascii="Arial" w:hAnsi="Arial" w:cs="Arial"/>
        </w:rPr>
        <w:t xml:space="preserve">Les Services Genre et Équité ont pour fonction principale la mise en œuvre de la politique de Genre élaboré par le MASPFE au sein de leur Département ministériel respectif. </w:t>
      </w:r>
    </w:p>
    <w:p w:rsidR="001474CD" w:rsidRPr="002875EC" w:rsidRDefault="001474CD" w:rsidP="001474CD">
      <w:pPr>
        <w:pStyle w:val="Paragraphedeliste"/>
        <w:numPr>
          <w:ilvl w:val="0"/>
          <w:numId w:val="10"/>
        </w:numPr>
        <w:spacing w:after="200" w:line="276" w:lineRule="auto"/>
        <w:jc w:val="both"/>
        <w:rPr>
          <w:rFonts w:ascii="Arial" w:hAnsi="Arial" w:cs="Arial"/>
        </w:rPr>
      </w:pPr>
      <w:r w:rsidRPr="002875EC">
        <w:rPr>
          <w:rFonts w:ascii="Arial" w:hAnsi="Arial" w:cs="Arial"/>
        </w:rPr>
        <w:t xml:space="preserve">Le Chef de Service, est chargé de l’animation de l’équipe, de la gestion administrative du service, du suivi des activités, des résultats à atteindre selon les objectifs déterminés et de l’organisation de plaidoyers auprès des décideurs pour défendre la situation des femmes. </w:t>
      </w:r>
    </w:p>
    <w:p w:rsidR="001474CD" w:rsidRPr="002875EC" w:rsidRDefault="001474CD" w:rsidP="001474CD">
      <w:pPr>
        <w:jc w:val="both"/>
        <w:rPr>
          <w:rFonts w:ascii="Arial" w:hAnsi="Arial" w:cs="Arial"/>
        </w:rPr>
      </w:pPr>
      <w:r w:rsidRPr="002875EC">
        <w:rPr>
          <w:rFonts w:ascii="Arial" w:hAnsi="Arial" w:cs="Arial"/>
        </w:rPr>
        <w:t xml:space="preserve">Pour mener à bien leur mission, les SGE comprennent 3 cellules : </w:t>
      </w:r>
    </w:p>
    <w:p w:rsidR="001474CD" w:rsidRPr="002875EC" w:rsidRDefault="001474CD" w:rsidP="001474CD">
      <w:pPr>
        <w:pStyle w:val="Paragraphedeliste"/>
        <w:numPr>
          <w:ilvl w:val="0"/>
          <w:numId w:val="11"/>
        </w:numPr>
        <w:spacing w:after="200" w:line="276" w:lineRule="auto"/>
        <w:jc w:val="both"/>
        <w:rPr>
          <w:rFonts w:ascii="Arial" w:hAnsi="Arial" w:cs="Arial"/>
        </w:rPr>
      </w:pPr>
      <w:r w:rsidRPr="002875EC">
        <w:rPr>
          <w:rFonts w:ascii="Arial" w:hAnsi="Arial" w:cs="Arial"/>
        </w:rPr>
        <w:t>Une Cellule promotion de l’Équité et l’Égalité de Genre</w:t>
      </w:r>
    </w:p>
    <w:p w:rsidR="001474CD" w:rsidRPr="002875EC" w:rsidRDefault="001474CD" w:rsidP="001474CD">
      <w:pPr>
        <w:pStyle w:val="Paragraphedeliste"/>
        <w:numPr>
          <w:ilvl w:val="0"/>
          <w:numId w:val="11"/>
        </w:numPr>
        <w:spacing w:after="200" w:line="276" w:lineRule="auto"/>
        <w:jc w:val="both"/>
        <w:rPr>
          <w:rFonts w:ascii="Arial" w:hAnsi="Arial" w:cs="Arial"/>
        </w:rPr>
      </w:pPr>
      <w:r w:rsidRPr="002875EC">
        <w:rPr>
          <w:rFonts w:ascii="Arial" w:hAnsi="Arial" w:cs="Arial"/>
        </w:rPr>
        <w:t xml:space="preserve">Une cellule Études, Planification, suivi et contrôle des actions dans le domaine du genre </w:t>
      </w:r>
    </w:p>
    <w:p w:rsidR="001474CD" w:rsidRPr="002875EC" w:rsidRDefault="001474CD" w:rsidP="001474CD">
      <w:pPr>
        <w:pStyle w:val="Paragraphedeliste"/>
        <w:numPr>
          <w:ilvl w:val="0"/>
          <w:numId w:val="11"/>
        </w:numPr>
        <w:spacing w:after="200" w:line="276" w:lineRule="auto"/>
        <w:jc w:val="both"/>
        <w:rPr>
          <w:rFonts w:ascii="Arial" w:hAnsi="Arial" w:cs="Arial"/>
        </w:rPr>
      </w:pPr>
      <w:r w:rsidRPr="002875EC">
        <w:rPr>
          <w:rFonts w:ascii="Arial" w:hAnsi="Arial" w:cs="Arial"/>
        </w:rPr>
        <w:t xml:space="preserve">Une Cellule Formation et Sensibilisation </w:t>
      </w:r>
    </w:p>
    <w:p w:rsidR="001474CD" w:rsidRPr="002875EC" w:rsidRDefault="001474CD" w:rsidP="001474CD">
      <w:pPr>
        <w:jc w:val="both"/>
        <w:rPr>
          <w:rFonts w:ascii="Arial" w:hAnsi="Arial" w:cs="Arial"/>
        </w:rPr>
      </w:pPr>
      <w:r w:rsidRPr="002875EC">
        <w:rPr>
          <w:rFonts w:ascii="Arial" w:hAnsi="Arial" w:cs="Arial"/>
        </w:rPr>
        <w:t xml:space="preserve">Pour les aspects financiers, les SGE n’étant pas des Directions, ne bénéficient pas de budget dédié. Seules des requêtes via le Cabinet leur permettent de fonctionner. Une grande partie de leurs activités se font grâce au soutien des programmes et projets financés par les PTF. </w:t>
      </w:r>
    </w:p>
    <w:p w:rsidR="001474CD" w:rsidRPr="002875EC" w:rsidRDefault="001474CD" w:rsidP="001474CD">
      <w:pPr>
        <w:jc w:val="both"/>
        <w:rPr>
          <w:rFonts w:ascii="Arial" w:hAnsi="Arial" w:cs="Arial"/>
        </w:rPr>
      </w:pPr>
      <w:r w:rsidRPr="002875EC">
        <w:rPr>
          <w:rFonts w:ascii="Arial" w:hAnsi="Arial" w:cs="Arial"/>
        </w:rPr>
        <w:t xml:space="preserve">La présentation des SGE étudiés se fait selon leurs domaines d’interventions classées en trois volets : Autonomisation Sociale, Autonomisation </w:t>
      </w:r>
      <w:proofErr w:type="spellStart"/>
      <w:r w:rsidRPr="002875EC">
        <w:rPr>
          <w:rFonts w:ascii="Arial" w:hAnsi="Arial" w:cs="Arial"/>
        </w:rPr>
        <w:t>Economique</w:t>
      </w:r>
      <w:proofErr w:type="spellEnd"/>
      <w:r w:rsidRPr="002875EC">
        <w:rPr>
          <w:rFonts w:ascii="Arial" w:hAnsi="Arial" w:cs="Arial"/>
        </w:rPr>
        <w:t xml:space="preserve"> et Autonomisation Politique.</w:t>
      </w:r>
    </w:p>
    <w:p w:rsidR="001474CD" w:rsidRPr="002875EC" w:rsidRDefault="001474CD" w:rsidP="001474CD">
      <w:pPr>
        <w:pStyle w:val="texte"/>
        <w:shd w:val="clear" w:color="auto" w:fill="FFFFFF"/>
        <w:spacing w:before="120" w:beforeAutospacing="0" w:after="120" w:afterAutospacing="0"/>
        <w:jc w:val="both"/>
        <w:rPr>
          <w:rFonts w:ascii="Arial" w:hAnsi="Arial" w:cs="Arial"/>
          <w:color w:val="353535"/>
          <w:sz w:val="22"/>
          <w:szCs w:val="22"/>
        </w:rPr>
      </w:pPr>
    </w:p>
    <w:p w:rsidR="001474CD" w:rsidRPr="002875EC" w:rsidRDefault="001474CD" w:rsidP="001474CD">
      <w:pPr>
        <w:pStyle w:val="texte"/>
        <w:shd w:val="clear" w:color="auto" w:fill="FFFFFF"/>
        <w:spacing w:before="120" w:after="120"/>
        <w:jc w:val="both"/>
        <w:rPr>
          <w:rFonts w:ascii="Arial" w:hAnsi="Arial" w:cs="Arial"/>
          <w:b/>
          <w:color w:val="353535"/>
        </w:rPr>
      </w:pPr>
      <w:r w:rsidRPr="002875EC">
        <w:rPr>
          <w:rFonts w:ascii="Arial" w:hAnsi="Arial" w:cs="Arial"/>
          <w:b/>
          <w:color w:val="353535"/>
        </w:rPr>
        <w:t>Ministère de la SANTE</w:t>
      </w:r>
    </w:p>
    <w:p w:rsidR="001474CD" w:rsidRPr="002875EC" w:rsidRDefault="001474CD" w:rsidP="001474CD">
      <w:pPr>
        <w:pStyle w:val="texte"/>
        <w:shd w:val="clear" w:color="auto" w:fill="FFFFFF"/>
        <w:spacing w:before="120" w:after="120"/>
        <w:jc w:val="both"/>
        <w:rPr>
          <w:rFonts w:ascii="Arial" w:hAnsi="Arial" w:cs="Arial"/>
          <w:color w:val="353535"/>
          <w:sz w:val="22"/>
          <w:szCs w:val="22"/>
        </w:rPr>
      </w:pPr>
      <w:r w:rsidRPr="002875EC">
        <w:rPr>
          <w:rFonts w:ascii="Arial" w:hAnsi="Arial" w:cs="Arial"/>
          <w:color w:val="353535"/>
          <w:sz w:val="22"/>
          <w:szCs w:val="22"/>
        </w:rPr>
        <w:t xml:space="preserve">Au Ministère de la Santé, le Service Genre et Équité a été meublé en Mars 2021. Bien avant la mise en place de ce service, le Département dispose de plusieurs programmes/projets où la question du genre est au centre de leurs activités tel que le programme Santé et Nutrition, Santé Sexuelle et Reproductive. </w:t>
      </w:r>
    </w:p>
    <w:p w:rsidR="001474CD" w:rsidRPr="00C61845" w:rsidRDefault="001474CD" w:rsidP="002A3046">
      <w:pPr>
        <w:pStyle w:val="texte"/>
        <w:shd w:val="clear" w:color="auto" w:fill="FFFFFF"/>
        <w:spacing w:before="120" w:beforeAutospacing="0" w:after="120" w:afterAutospacing="0"/>
        <w:jc w:val="both"/>
        <w:rPr>
          <w:rFonts w:ascii="Arial" w:hAnsi="Arial" w:cs="Arial"/>
          <w:b/>
        </w:rPr>
      </w:pPr>
      <w:r w:rsidRPr="002875EC">
        <w:rPr>
          <w:rFonts w:ascii="Arial" w:hAnsi="Arial" w:cs="Arial"/>
          <w:color w:val="353535"/>
          <w:sz w:val="22"/>
          <w:szCs w:val="22"/>
        </w:rPr>
        <w:t>Ainsi au sein du Ministère de la Santé, la Responsable en Santé Sexuelle et Santé de la Reproduction est un Médecin de santé publique, impliquée dans une stratégie de réduction de la pauvreté. Il existe une section genre en conformité avec les objectifs nationaux mais elle est peu fonctionnelle ou opérationnelle. Le Ministère a pour objectif d’aider les femmes à être autonomes car c’est la femme qui porte le foyer. Il faut une réelle implication des femmes intellectuelles pour que les femmes dans leur ensemble puissent bénéficier de meilleures conditions d’éducation, d’autonomie et d’accès aux services de santé .</w:t>
      </w:r>
      <w:r>
        <w:t xml:space="preserve"> </w:t>
      </w:r>
    </w:p>
    <w:sectPr w:rsidR="001474CD" w:rsidRPr="00C61845" w:rsidSect="003E5B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DB" w:rsidRDefault="00CA6EDB" w:rsidP="003820BD">
      <w:pPr>
        <w:spacing w:after="0" w:line="240" w:lineRule="auto"/>
      </w:pPr>
      <w:r>
        <w:separator/>
      </w:r>
    </w:p>
  </w:endnote>
  <w:endnote w:type="continuationSeparator" w:id="0">
    <w:p w:rsidR="00CA6EDB" w:rsidRDefault="00CA6EDB" w:rsidP="0038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02850"/>
      <w:docPartObj>
        <w:docPartGallery w:val="Page Numbers (Bottom of Page)"/>
        <w:docPartUnique/>
      </w:docPartObj>
    </w:sdtPr>
    <w:sdtEndPr/>
    <w:sdtContent>
      <w:p w:rsidR="003820BD" w:rsidRDefault="00AA5DB2">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0" b="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820BD" w:rsidRDefault="00767EE2">
                              <w:pPr>
                                <w:jc w:val="center"/>
                              </w:pPr>
                              <w:r>
                                <w:fldChar w:fldCharType="begin"/>
                              </w:r>
                              <w:r w:rsidR="003820BD">
                                <w:instrText>PAGE    \* MERGEFORMAT</w:instrText>
                              </w:r>
                              <w:r>
                                <w:fldChar w:fldCharType="separate"/>
                              </w:r>
                              <w:r w:rsidR="00063596" w:rsidRPr="00063596">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3820BD" w:rsidRDefault="00767EE2">
                        <w:pPr>
                          <w:jc w:val="center"/>
                        </w:pPr>
                        <w:r>
                          <w:fldChar w:fldCharType="begin"/>
                        </w:r>
                        <w:r w:rsidR="003820BD">
                          <w:instrText>PAGE    \* MERGEFORMAT</w:instrText>
                        </w:r>
                        <w:r>
                          <w:fldChar w:fldCharType="separate"/>
                        </w:r>
                        <w:r w:rsidR="00063596" w:rsidRPr="00063596">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DB" w:rsidRDefault="00CA6EDB" w:rsidP="003820BD">
      <w:pPr>
        <w:spacing w:after="0" w:line="240" w:lineRule="auto"/>
      </w:pPr>
      <w:r>
        <w:separator/>
      </w:r>
    </w:p>
  </w:footnote>
  <w:footnote w:type="continuationSeparator" w:id="0">
    <w:p w:rsidR="00CA6EDB" w:rsidRDefault="00CA6EDB" w:rsidP="003820BD">
      <w:pPr>
        <w:spacing w:after="0" w:line="240" w:lineRule="auto"/>
      </w:pPr>
      <w:r>
        <w:continuationSeparator/>
      </w:r>
    </w:p>
  </w:footnote>
  <w:footnote w:id="1">
    <w:p w:rsidR="001474CD" w:rsidRDefault="001474CD" w:rsidP="001474CD">
      <w:pPr>
        <w:pStyle w:val="Notedebasdepage"/>
      </w:pPr>
      <w:r>
        <w:rPr>
          <w:rStyle w:val="Appelnotedebasdep"/>
        </w:rPr>
        <w:footnoteRef/>
      </w:r>
      <w:r>
        <w:t xml:space="preserve"> </w:t>
      </w:r>
      <w:r w:rsidRPr="00BD06CB">
        <w:rPr>
          <w:i/>
          <w:sz w:val="18"/>
          <w:szCs w:val="18"/>
        </w:rPr>
        <w:t>MASPFE BP- 527 Conakry – Tél. Bur. (+224) 30.45.10.81–Tél. SP: (+224) 30.45.35.18 E-mail: maspfe@sotelgui.net.gn – République de Guinée</w:t>
      </w:r>
      <w:r w:rsidRPr="00BD06C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A5A"/>
    <w:multiLevelType w:val="hybridMultilevel"/>
    <w:tmpl w:val="B9F6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76AE5"/>
    <w:multiLevelType w:val="hybridMultilevel"/>
    <w:tmpl w:val="AC9E967A"/>
    <w:lvl w:ilvl="0" w:tplc="4588F80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0673D2"/>
    <w:multiLevelType w:val="hybridMultilevel"/>
    <w:tmpl w:val="25767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AD057F"/>
    <w:multiLevelType w:val="multilevel"/>
    <w:tmpl w:val="F16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57445"/>
    <w:multiLevelType w:val="hybridMultilevel"/>
    <w:tmpl w:val="AC360D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08018D"/>
    <w:multiLevelType w:val="hybridMultilevel"/>
    <w:tmpl w:val="7B9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F09BC"/>
    <w:multiLevelType w:val="hybridMultilevel"/>
    <w:tmpl w:val="29E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9475D"/>
    <w:multiLevelType w:val="hybridMultilevel"/>
    <w:tmpl w:val="0D34F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600CED"/>
    <w:multiLevelType w:val="hybridMultilevel"/>
    <w:tmpl w:val="4D621C0E"/>
    <w:lvl w:ilvl="0" w:tplc="75300D4A">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066F9"/>
    <w:multiLevelType w:val="hybridMultilevel"/>
    <w:tmpl w:val="97AADAE0"/>
    <w:lvl w:ilvl="0" w:tplc="FFFC0F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EC332C"/>
    <w:multiLevelType w:val="hybridMultilevel"/>
    <w:tmpl w:val="2750A7F2"/>
    <w:lvl w:ilvl="0" w:tplc="E564CF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16469D"/>
    <w:multiLevelType w:val="hybridMultilevel"/>
    <w:tmpl w:val="8A229A4E"/>
    <w:lvl w:ilvl="0" w:tplc="1550F542">
      <w:numFmt w:val="bullet"/>
      <w:lvlText w:val="-"/>
      <w:lvlJc w:val="left"/>
      <w:pPr>
        <w:ind w:left="720" w:hanging="360"/>
      </w:pPr>
      <w:rPr>
        <w:rFonts w:ascii="Times New Roman" w:eastAsia="Arial Unicode MS"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E534F6"/>
    <w:multiLevelType w:val="hybridMultilevel"/>
    <w:tmpl w:val="6520FDDE"/>
    <w:lvl w:ilvl="0" w:tplc="3A484F80">
      <w:numFmt w:val="bullet"/>
      <w:lvlText w:val="-"/>
      <w:lvlJc w:val="left"/>
      <w:pPr>
        <w:ind w:left="720" w:hanging="360"/>
      </w:pPr>
      <w:rPr>
        <w:rFonts w:ascii="Arial" w:eastAsia="Times New Roman" w:hAnsi="Arial" w:cs="Arial" w:hint="default"/>
      </w:rPr>
    </w:lvl>
    <w:lvl w:ilvl="1" w:tplc="0C28ADB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2D0F3B"/>
    <w:multiLevelType w:val="hybridMultilevel"/>
    <w:tmpl w:val="9DE6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10"/>
  </w:num>
  <w:num w:numId="5">
    <w:abstractNumId w:val="6"/>
  </w:num>
  <w:num w:numId="6">
    <w:abstractNumId w:val="13"/>
  </w:num>
  <w:num w:numId="7">
    <w:abstractNumId w:val="0"/>
  </w:num>
  <w:num w:numId="8">
    <w:abstractNumId w:val="1"/>
  </w:num>
  <w:num w:numId="9">
    <w:abstractNumId w:val="2"/>
  </w:num>
  <w:num w:numId="10">
    <w:abstractNumId w:val="12"/>
  </w:num>
  <w:num w:numId="11">
    <w:abstractNumId w:val="4"/>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7B"/>
    <w:rsid w:val="0004638F"/>
    <w:rsid w:val="00046CE1"/>
    <w:rsid w:val="00063596"/>
    <w:rsid w:val="000A5CF1"/>
    <w:rsid w:val="000C18A6"/>
    <w:rsid w:val="000E1DC4"/>
    <w:rsid w:val="00107FD9"/>
    <w:rsid w:val="001474CD"/>
    <w:rsid w:val="001C0D20"/>
    <w:rsid w:val="0023290F"/>
    <w:rsid w:val="00234031"/>
    <w:rsid w:val="00241201"/>
    <w:rsid w:val="002452E8"/>
    <w:rsid w:val="00285BCD"/>
    <w:rsid w:val="002875EC"/>
    <w:rsid w:val="002A3046"/>
    <w:rsid w:val="002C0B7E"/>
    <w:rsid w:val="002E7DC5"/>
    <w:rsid w:val="00354349"/>
    <w:rsid w:val="0037163C"/>
    <w:rsid w:val="003820BD"/>
    <w:rsid w:val="0039244D"/>
    <w:rsid w:val="003B7AA1"/>
    <w:rsid w:val="003E5B4F"/>
    <w:rsid w:val="00444020"/>
    <w:rsid w:val="00454E4F"/>
    <w:rsid w:val="004619DC"/>
    <w:rsid w:val="00470A61"/>
    <w:rsid w:val="004B494E"/>
    <w:rsid w:val="00560B1F"/>
    <w:rsid w:val="00582D51"/>
    <w:rsid w:val="00585C1F"/>
    <w:rsid w:val="00585DD6"/>
    <w:rsid w:val="005F546B"/>
    <w:rsid w:val="00610773"/>
    <w:rsid w:val="006408EA"/>
    <w:rsid w:val="00681465"/>
    <w:rsid w:val="006A1711"/>
    <w:rsid w:val="006C3CC6"/>
    <w:rsid w:val="006F3663"/>
    <w:rsid w:val="00767EE2"/>
    <w:rsid w:val="00781E33"/>
    <w:rsid w:val="00841309"/>
    <w:rsid w:val="00860250"/>
    <w:rsid w:val="0086556F"/>
    <w:rsid w:val="00867DA3"/>
    <w:rsid w:val="00885D26"/>
    <w:rsid w:val="00891590"/>
    <w:rsid w:val="008A0735"/>
    <w:rsid w:val="008C46DE"/>
    <w:rsid w:val="00951F67"/>
    <w:rsid w:val="00976A68"/>
    <w:rsid w:val="00A31C57"/>
    <w:rsid w:val="00A33DA5"/>
    <w:rsid w:val="00A77A61"/>
    <w:rsid w:val="00AA5DB2"/>
    <w:rsid w:val="00AD33E8"/>
    <w:rsid w:val="00AE00F4"/>
    <w:rsid w:val="00B716F4"/>
    <w:rsid w:val="00B810A5"/>
    <w:rsid w:val="00B8681E"/>
    <w:rsid w:val="00BA12FB"/>
    <w:rsid w:val="00BC16D1"/>
    <w:rsid w:val="00BC7DEC"/>
    <w:rsid w:val="00BD33E0"/>
    <w:rsid w:val="00C17BE7"/>
    <w:rsid w:val="00C43F7B"/>
    <w:rsid w:val="00C61845"/>
    <w:rsid w:val="00C96343"/>
    <w:rsid w:val="00CA6EDB"/>
    <w:rsid w:val="00D0390D"/>
    <w:rsid w:val="00D4661F"/>
    <w:rsid w:val="00D56E46"/>
    <w:rsid w:val="00D72ED5"/>
    <w:rsid w:val="00D867AC"/>
    <w:rsid w:val="00DC3D15"/>
    <w:rsid w:val="00DF4351"/>
    <w:rsid w:val="00E01238"/>
    <w:rsid w:val="00E728EC"/>
    <w:rsid w:val="00EA6193"/>
    <w:rsid w:val="00EF626D"/>
    <w:rsid w:val="00F361E4"/>
    <w:rsid w:val="00F477ED"/>
    <w:rsid w:val="00FF368E"/>
    <w:rsid w:val="00FF7F2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6932C-2D46-43A1-AE52-67C0E659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B4F"/>
  </w:style>
  <w:style w:type="paragraph" w:styleId="Titre1">
    <w:name w:val="heading 1"/>
    <w:basedOn w:val="Normal"/>
    <w:next w:val="Normal"/>
    <w:link w:val="Titre1Car"/>
    <w:uiPriority w:val="9"/>
    <w:qFormat/>
    <w:rsid w:val="00147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474CD"/>
    <w:pPr>
      <w:keepNext/>
      <w:keepLines/>
      <w:spacing w:before="40" w:after="120"/>
      <w:outlineLvl w:val="1"/>
    </w:pPr>
    <w:rPr>
      <w:rFonts w:ascii="Arial" w:eastAsiaTheme="majorEastAsia" w:hAnsi="Arial" w:cstheme="majorBidi"/>
      <w:b/>
      <w:color w:val="2E74B5" w:themeColor="accent1" w:themeShade="BF"/>
      <w:sz w:val="26"/>
      <w:szCs w:val="26"/>
    </w:rPr>
  </w:style>
  <w:style w:type="paragraph" w:styleId="Titre3">
    <w:name w:val="heading 3"/>
    <w:basedOn w:val="Normal"/>
    <w:next w:val="Normal"/>
    <w:link w:val="Titre3Car"/>
    <w:uiPriority w:val="9"/>
    <w:unhideWhenUsed/>
    <w:qFormat/>
    <w:rsid w:val="00585C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474CD"/>
    <w:pPr>
      <w:keepNext/>
      <w:keepLines/>
      <w:spacing w:before="40" w:after="120"/>
      <w:outlineLvl w:val="3"/>
    </w:pPr>
    <w:rPr>
      <w:rFonts w:asciiTheme="majorHAnsi" w:eastAsiaTheme="majorEastAsia" w:hAnsiTheme="majorHAnsi" w:cstheme="majorBidi"/>
      <w:b/>
      <w:i/>
      <w:iCs/>
      <w:color w:val="2E74B5" w:themeColor="accent1" w:themeShade="BF"/>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C43F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10A5"/>
    <w:rPr>
      <w:b/>
      <w:bCs/>
    </w:rPr>
  </w:style>
  <w:style w:type="paragraph" w:styleId="Paragraphedeliste">
    <w:name w:val="List Paragraph"/>
    <w:aliases w:val="List Paragraph (numbered (a)),Lapis Bulleted List,List Paragraph1,F5 List Paragraph,Dot pt,No Spacing1,List Paragraph Char Char Char,Indicator Text,Colorful List - Accent 11,Numbered Para 1,Bullet 1,Bullet Points,References"/>
    <w:basedOn w:val="Normal"/>
    <w:link w:val="ParagraphedelisteCar"/>
    <w:uiPriority w:val="34"/>
    <w:qFormat/>
    <w:rsid w:val="00D72ED5"/>
    <w:pPr>
      <w:ind w:left="720"/>
      <w:contextualSpacing/>
    </w:pPr>
  </w:style>
  <w:style w:type="character" w:customStyle="1" w:styleId="ParagraphedelisteCar">
    <w:name w:val="Paragraphe de liste Car"/>
    <w:aliases w:val="List Paragraph (numbered (a)) Car,Lapis Bulleted List Car,List Paragraph1 Car,F5 List Paragraph Car,Dot pt Car,No Spacing1 Car,List Paragraph Char Char Char Car,Indicator Text Car,Colorful List - Accent 11 Car,Numbered Para 1 Car"/>
    <w:link w:val="Paragraphedeliste"/>
    <w:uiPriority w:val="34"/>
    <w:qFormat/>
    <w:locked/>
    <w:rsid w:val="0004638F"/>
  </w:style>
  <w:style w:type="table" w:styleId="Grilledutableau">
    <w:name w:val="Table Grid"/>
    <w:aliases w:val="TabelEcorys"/>
    <w:basedOn w:val="TableauNormal"/>
    <w:uiPriority w:val="39"/>
    <w:rsid w:val="000C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20BD"/>
    <w:pPr>
      <w:tabs>
        <w:tab w:val="center" w:pos="4536"/>
        <w:tab w:val="right" w:pos="9072"/>
      </w:tabs>
      <w:spacing w:after="0" w:line="240" w:lineRule="auto"/>
    </w:pPr>
  </w:style>
  <w:style w:type="character" w:customStyle="1" w:styleId="En-tteCar">
    <w:name w:val="En-tête Car"/>
    <w:basedOn w:val="Policepardfaut"/>
    <w:link w:val="En-tte"/>
    <w:uiPriority w:val="99"/>
    <w:rsid w:val="003820BD"/>
  </w:style>
  <w:style w:type="paragraph" w:styleId="Pieddepage">
    <w:name w:val="footer"/>
    <w:basedOn w:val="Normal"/>
    <w:link w:val="PieddepageCar"/>
    <w:uiPriority w:val="99"/>
    <w:unhideWhenUsed/>
    <w:rsid w:val="003820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0BD"/>
  </w:style>
  <w:style w:type="paragraph" w:styleId="Textedebulles">
    <w:name w:val="Balloon Text"/>
    <w:basedOn w:val="Normal"/>
    <w:link w:val="TextedebullesCar"/>
    <w:uiPriority w:val="99"/>
    <w:semiHidden/>
    <w:unhideWhenUsed/>
    <w:rsid w:val="005F5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46B"/>
    <w:rPr>
      <w:rFonts w:ascii="Tahoma" w:hAnsi="Tahoma" w:cs="Tahoma"/>
      <w:sz w:val="16"/>
      <w:szCs w:val="16"/>
    </w:rPr>
  </w:style>
  <w:style w:type="character" w:customStyle="1" w:styleId="Titre2Car">
    <w:name w:val="Titre 2 Car"/>
    <w:basedOn w:val="Policepardfaut"/>
    <w:link w:val="Titre2"/>
    <w:uiPriority w:val="9"/>
    <w:rsid w:val="001474CD"/>
    <w:rPr>
      <w:rFonts w:ascii="Arial" w:eastAsiaTheme="majorEastAsia" w:hAnsi="Arial" w:cstheme="majorBidi"/>
      <w:b/>
      <w:color w:val="2E74B5" w:themeColor="accent1" w:themeShade="BF"/>
      <w:sz w:val="26"/>
      <w:szCs w:val="26"/>
    </w:rPr>
  </w:style>
  <w:style w:type="character" w:customStyle="1" w:styleId="Titre4Car">
    <w:name w:val="Titre 4 Car"/>
    <w:basedOn w:val="Policepardfaut"/>
    <w:link w:val="Titre4"/>
    <w:uiPriority w:val="9"/>
    <w:rsid w:val="001474CD"/>
    <w:rPr>
      <w:rFonts w:asciiTheme="majorHAnsi" w:eastAsiaTheme="majorEastAsia" w:hAnsiTheme="majorHAnsi" w:cstheme="majorBidi"/>
      <w:b/>
      <w:i/>
      <w:iCs/>
      <w:color w:val="2E74B5" w:themeColor="accent1" w:themeShade="BF"/>
      <w:sz w:val="26"/>
    </w:rPr>
  </w:style>
  <w:style w:type="paragraph" w:styleId="Notedebasdepage">
    <w:name w:val="footnote text"/>
    <w:aliases w:val="FOOTNOTES,fn,single space,footnote text,Texte de note de bas de page,footnote text Car,Texte de note de bas de page Car,footnote text Car Car Car,footnote text Car1 Car,Note de bas de page Car Car Car Car Car"/>
    <w:basedOn w:val="Normal"/>
    <w:link w:val="NotedebasdepageCar"/>
    <w:unhideWhenUsed/>
    <w:rsid w:val="001474CD"/>
    <w:pPr>
      <w:spacing w:after="0" w:line="240" w:lineRule="auto"/>
    </w:pPr>
    <w:rPr>
      <w:rFonts w:ascii="Arial" w:hAnsi="Arial"/>
      <w:sz w:val="20"/>
      <w:szCs w:val="20"/>
    </w:rPr>
  </w:style>
  <w:style w:type="character" w:customStyle="1" w:styleId="NotedebasdepageCar">
    <w:name w:val="Note de bas de page Car"/>
    <w:aliases w:val="FOOTNOTES Car,fn Car,single space Car,footnote text Car1,Texte de note de bas de page Car1,footnote text Car Car,Texte de note de bas de page Car Car,footnote text Car Car Car Car,footnote text Car1 Car Car"/>
    <w:basedOn w:val="Policepardfaut"/>
    <w:link w:val="Notedebasdepage"/>
    <w:rsid w:val="001474CD"/>
    <w:rPr>
      <w:rFonts w:ascii="Arial" w:hAnsi="Arial"/>
      <w:sz w:val="20"/>
      <w:szCs w:val="20"/>
    </w:rPr>
  </w:style>
  <w:style w:type="character" w:styleId="Appelnotedebasdep">
    <w:name w:val="footnote reference"/>
    <w:aliases w:val="note bp"/>
    <w:basedOn w:val="Policepardfaut"/>
    <w:uiPriority w:val="99"/>
    <w:semiHidden/>
    <w:unhideWhenUsed/>
    <w:rsid w:val="001474CD"/>
    <w:rPr>
      <w:vertAlign w:val="superscript"/>
    </w:rPr>
  </w:style>
  <w:style w:type="character" w:customStyle="1" w:styleId="Titre1Car">
    <w:name w:val="Titre 1 Car"/>
    <w:basedOn w:val="Policepardfaut"/>
    <w:link w:val="Titre1"/>
    <w:uiPriority w:val="9"/>
    <w:rsid w:val="001474CD"/>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585C1F"/>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2875EC"/>
    <w:pPr>
      <w:spacing w:after="100"/>
    </w:pPr>
  </w:style>
  <w:style w:type="paragraph" w:styleId="TM2">
    <w:name w:val="toc 2"/>
    <w:basedOn w:val="Normal"/>
    <w:next w:val="Normal"/>
    <w:autoRedefine/>
    <w:uiPriority w:val="39"/>
    <w:unhideWhenUsed/>
    <w:rsid w:val="002875EC"/>
    <w:pPr>
      <w:spacing w:after="100"/>
      <w:ind w:left="220"/>
    </w:pPr>
  </w:style>
  <w:style w:type="character" w:styleId="Lienhypertexte">
    <w:name w:val="Hyperlink"/>
    <w:basedOn w:val="Policepardfaut"/>
    <w:uiPriority w:val="99"/>
    <w:unhideWhenUsed/>
    <w:rsid w:val="00287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99414">
      <w:bodyDiv w:val="1"/>
      <w:marLeft w:val="0"/>
      <w:marRight w:val="0"/>
      <w:marTop w:val="0"/>
      <w:marBottom w:val="0"/>
      <w:divBdr>
        <w:top w:val="none" w:sz="0" w:space="0" w:color="auto"/>
        <w:left w:val="none" w:sz="0" w:space="0" w:color="auto"/>
        <w:bottom w:val="none" w:sz="0" w:space="0" w:color="auto"/>
        <w:right w:val="none" w:sz="0" w:space="0" w:color="auto"/>
      </w:divBdr>
    </w:div>
    <w:div w:id="17943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file:///C:\Users\Huber%20Goetz\Documents\15_Volet4\40_Tbl-Intervent-PTF-AmbassFrance\ULT-VF-DEC21-Inclus-UNFPA\211229_Matrice%20VBG%20Guin&#233;e%202021_GIZVolet1+3+AmbassFr_vol4+5_She%20Decides_UNFPA_vf_corr2.xlsx"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0988-DCF6-4853-A063-B3B1AB32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3065</Words>
  <Characters>16860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Huber, Goetz GIZ GN</cp:lastModifiedBy>
  <cp:revision>3</cp:revision>
  <dcterms:created xsi:type="dcterms:W3CDTF">2022-09-21T12:16:00Z</dcterms:created>
  <dcterms:modified xsi:type="dcterms:W3CDTF">2022-12-29T10:13:00Z</dcterms:modified>
</cp:coreProperties>
</file>