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E2B" w:rsidRDefault="00014E2B" w:rsidP="00014E2B">
      <w:pPr>
        <w:jc w:val="center"/>
        <w:rPr>
          <w:b/>
          <w:bCs/>
        </w:rPr>
      </w:pPr>
      <w:bookmarkStart w:id="0" w:name="_GoBack"/>
      <w:bookmarkEnd w:id="0"/>
      <w:r w:rsidRPr="00014E2B">
        <w:rPr>
          <w:b/>
          <w:bCs/>
        </w:rPr>
        <w:t>RAPPORT DE L’ATELIER DE</w:t>
      </w:r>
      <w:r>
        <w:rPr>
          <w:b/>
          <w:bCs/>
        </w:rPr>
        <w:t xml:space="preserve"> </w:t>
      </w:r>
      <w:r w:rsidRPr="00014E2B">
        <w:rPr>
          <w:b/>
          <w:bCs/>
        </w:rPr>
        <w:t>FORMATION DES PARTENAIRES DE LA ZONE PASA2 SUR LES PROCEDURES ADMINISTRATIVES DE LA GIZ</w:t>
      </w:r>
    </w:p>
    <w:p w:rsidR="00014E2B" w:rsidRPr="00014E2B" w:rsidRDefault="00014E2B" w:rsidP="00014E2B">
      <w:pPr>
        <w:jc w:val="center"/>
        <w:rPr>
          <w:b/>
          <w:bCs/>
        </w:rPr>
      </w:pPr>
    </w:p>
    <w:p w:rsidR="00014E2B" w:rsidRPr="00014E2B" w:rsidRDefault="00014E2B" w:rsidP="00014E2B">
      <w:pPr>
        <w:rPr>
          <w:b/>
          <w:bCs/>
        </w:rPr>
      </w:pPr>
      <w:r w:rsidRPr="00014E2B">
        <w:rPr>
          <w:b/>
          <w:bCs/>
        </w:rPr>
        <w:t>Contexte et justification</w:t>
      </w:r>
    </w:p>
    <w:p w:rsidR="00014E2B" w:rsidRPr="00014E2B" w:rsidRDefault="00014E2B" w:rsidP="00CA799D">
      <w:pPr>
        <w:jc w:val="both"/>
      </w:pPr>
      <w:r w:rsidRPr="00014E2B">
        <w:t>Dans le cadre de la mise en œuvre des micro-projets (appuis ponctuels), la GIZ travaille directement avec les établissements de santé (centres de santé, hôpitaux préfectoraux et régionaux, districts préfectoraux et directions régionales de la santé), les COSAH, les CECOJE et les ONG locales dans les régions d’intervention du projet, à travers les subventions locales.</w:t>
      </w:r>
    </w:p>
    <w:p w:rsidR="00014E2B" w:rsidRPr="00014E2B" w:rsidRDefault="00014E2B" w:rsidP="00CA799D">
      <w:pPr>
        <w:jc w:val="both"/>
      </w:pPr>
      <w:r w:rsidRPr="00014E2B">
        <w:t xml:space="preserve">En 2020, plusieurs contrats de subvention locale (micro projet) devaient être signés avec les bénéficiaires, mais le retard de cette formation sur la gestion administrative des subventions a occasionné beaucoup de difficultés dans la mise en œuvre de ces subventions locales. Parmi les difficultés rencontrées par les bénéficiaires qui avaient déjà reçu des subventions locales de la GIZ, nous avons entre autres : faire une requête de financement et les documents à fournir, procédures de la GIZ notamment la gestion administrative et financière des subventions locales, les règles relatives aux frais de mission, les critères d’une pièce justificative acceptable, la présentation des pièces justificatives et les mentions obligatoires qui doivent y figurer, le remplissage des listes des dépenses, le traitement d’un processus d’achat dans le cas d’un paiement direct aux fournisseurs. </w:t>
      </w:r>
    </w:p>
    <w:p w:rsidR="00014E2B" w:rsidRPr="00014E2B" w:rsidRDefault="00014E2B" w:rsidP="00CA799D">
      <w:pPr>
        <w:jc w:val="both"/>
      </w:pPr>
      <w:r w:rsidRPr="00014E2B">
        <w:t xml:space="preserve">Ainsi, pour l’atteinte des objectifs fixés par la Coopération Guinéo Allemande, la GIZ utilise des outils tels que des financements (4 types) accordés aux Organisations Partenaires (OP) pour la mise en œuvre des activités conjointes qui contribuent à la réalisation des résultats du PASA2. </w:t>
      </w:r>
    </w:p>
    <w:p w:rsidR="00014E2B" w:rsidRPr="00014E2B" w:rsidRDefault="00014E2B" w:rsidP="00014E2B">
      <w:pPr>
        <w:rPr>
          <w:b/>
          <w:bCs/>
        </w:rPr>
      </w:pPr>
      <w:r w:rsidRPr="00014E2B">
        <w:rPr>
          <w:b/>
        </w:rPr>
        <w:t>Objectif global de la formation</w:t>
      </w:r>
    </w:p>
    <w:p w:rsidR="00014E2B" w:rsidRPr="00014E2B" w:rsidRDefault="00014E2B" w:rsidP="00CA799D">
      <w:pPr>
        <w:jc w:val="both"/>
      </w:pPr>
      <w:r w:rsidRPr="00014E2B">
        <w:t>Renforcer les capacités des partenaires du PASA2 sur les procédures administratives et financières de la GIZ notamment dans la gestion des subventions locales.</w:t>
      </w:r>
    </w:p>
    <w:p w:rsidR="00014E2B" w:rsidRPr="00014E2B" w:rsidRDefault="00014E2B" w:rsidP="00014E2B">
      <w:pPr>
        <w:rPr>
          <w:b/>
          <w:bCs/>
        </w:rPr>
      </w:pPr>
      <w:r w:rsidRPr="00014E2B">
        <w:rPr>
          <w:b/>
          <w:bCs/>
        </w:rPr>
        <w:t xml:space="preserve">Résultats obtenus </w:t>
      </w:r>
    </w:p>
    <w:p w:rsidR="00014E2B" w:rsidRPr="00014E2B" w:rsidRDefault="00014E2B" w:rsidP="00CA799D">
      <w:pPr>
        <w:numPr>
          <w:ilvl w:val="0"/>
          <w:numId w:val="1"/>
        </w:numPr>
        <w:jc w:val="both"/>
      </w:pPr>
      <w:r w:rsidRPr="00014E2B">
        <w:t>Les partenaires sont capables de faire une requête de financement et connaissent les documents à fournir ;</w:t>
      </w:r>
    </w:p>
    <w:p w:rsidR="00014E2B" w:rsidRPr="00014E2B" w:rsidRDefault="00014E2B" w:rsidP="00CA799D">
      <w:pPr>
        <w:numPr>
          <w:ilvl w:val="0"/>
          <w:numId w:val="1"/>
        </w:numPr>
        <w:jc w:val="both"/>
      </w:pPr>
      <w:r w:rsidRPr="00014E2B">
        <w:t>La définition et le cycle d’une subvention locale sont compris par les partenaires ;</w:t>
      </w:r>
    </w:p>
    <w:p w:rsidR="00014E2B" w:rsidRPr="00014E2B" w:rsidRDefault="00014E2B" w:rsidP="00CA799D">
      <w:pPr>
        <w:numPr>
          <w:ilvl w:val="0"/>
          <w:numId w:val="1"/>
        </w:numPr>
        <w:jc w:val="both"/>
      </w:pPr>
      <w:r w:rsidRPr="00014E2B">
        <w:t>Les procédures de la GIZ notamment la gestion administrative et financière des subventions locales, le processus d’achat, les règles relatives aux frais de mission, les critères d’une pièce justificative acceptable sont bien assimilés et appliqués par les partenaires ;</w:t>
      </w:r>
    </w:p>
    <w:p w:rsidR="00014E2B" w:rsidRPr="00014E2B" w:rsidRDefault="00014E2B" w:rsidP="00CA799D">
      <w:pPr>
        <w:numPr>
          <w:ilvl w:val="0"/>
          <w:numId w:val="1"/>
        </w:numPr>
        <w:jc w:val="both"/>
      </w:pPr>
      <w:r w:rsidRPr="00014E2B">
        <w:t xml:space="preserve">Les partenaires sont capables d’exécuter de façon autonome les contrats de subventions locales jusqu’à la rédaction des rapports d’exécution. </w:t>
      </w:r>
    </w:p>
    <w:p w:rsidR="00014E2B" w:rsidRPr="00014E2B" w:rsidRDefault="00014E2B" w:rsidP="00014E2B">
      <w:pPr>
        <w:rPr>
          <w:b/>
          <w:bCs/>
        </w:rPr>
      </w:pPr>
      <w:r w:rsidRPr="00014E2B">
        <w:rPr>
          <w:b/>
          <w:bCs/>
        </w:rPr>
        <w:t xml:space="preserve">Lieux et dates </w:t>
      </w:r>
    </w:p>
    <w:p w:rsidR="00014E2B" w:rsidRPr="00014E2B" w:rsidRDefault="00014E2B" w:rsidP="00CA799D">
      <w:pPr>
        <w:jc w:val="both"/>
      </w:pPr>
      <w:r w:rsidRPr="00014E2B">
        <w:t xml:space="preserve">Elle s’est tenue le 02 Septembre 2021 et se poursuivi jusqu’au 03 Septembre 2021 à la bibliothèque régionale de N’Zérékoré. </w:t>
      </w:r>
    </w:p>
    <w:p w:rsidR="00014E2B" w:rsidRDefault="00014E2B" w:rsidP="00014E2B">
      <w:pPr>
        <w:rPr>
          <w:b/>
        </w:rPr>
      </w:pPr>
      <w:r w:rsidRPr="00014E2B">
        <w:rPr>
          <w:b/>
        </w:rPr>
        <w:t xml:space="preserve">Participants : </w:t>
      </w:r>
    </w:p>
    <w:p w:rsidR="00014E2B" w:rsidRPr="00014E2B" w:rsidRDefault="00014E2B" w:rsidP="00014E2B">
      <w:pPr>
        <w:spacing w:after="0" w:line="240" w:lineRule="auto"/>
        <w:rPr>
          <w:rFonts w:ascii="Calibri" w:hAnsi="Calibri" w:cs="Calibri"/>
          <w:b/>
          <w:sz w:val="28"/>
          <w:lang w:eastAsia="fr-FR"/>
        </w:rPr>
      </w:pPr>
      <w:r w:rsidRPr="00014E2B">
        <w:rPr>
          <w:rFonts w:ascii="Calibri" w:hAnsi="Calibri" w:cs="Calibri"/>
          <w:b/>
          <w:sz w:val="28"/>
          <w:lang w:eastAsia="fr-FR"/>
        </w:rPr>
        <w:t xml:space="preserve">Tableau de répartition des participants en </w:t>
      </w:r>
      <w:r>
        <w:rPr>
          <w:rFonts w:ascii="Calibri" w:hAnsi="Calibri" w:cs="Calibri"/>
          <w:b/>
          <w:sz w:val="28"/>
          <w:lang w:eastAsia="fr-FR"/>
        </w:rPr>
        <w:t xml:space="preserve">2 sessions </w:t>
      </w:r>
    </w:p>
    <w:p w:rsidR="00014E2B" w:rsidRPr="00014E2B" w:rsidRDefault="00014E2B" w:rsidP="00014E2B">
      <w:pPr>
        <w:spacing w:after="0" w:line="240" w:lineRule="auto"/>
        <w:rPr>
          <w:rFonts w:ascii="Calibri" w:hAnsi="Calibri" w:cs="Calibri"/>
          <w:lang w:eastAsia="fr-FR"/>
        </w:rPr>
      </w:pPr>
    </w:p>
    <w:tbl>
      <w:tblPr>
        <w:tblW w:w="5000" w:type="pct"/>
        <w:tblCellMar>
          <w:left w:w="0" w:type="dxa"/>
          <w:right w:w="0" w:type="dxa"/>
        </w:tblCellMar>
        <w:tblLook w:val="04A0" w:firstRow="1" w:lastRow="0" w:firstColumn="1" w:lastColumn="0" w:noHBand="0" w:noVBand="1"/>
      </w:tblPr>
      <w:tblGrid>
        <w:gridCol w:w="2101"/>
        <w:gridCol w:w="2662"/>
        <w:gridCol w:w="3403"/>
        <w:gridCol w:w="1878"/>
      </w:tblGrid>
      <w:tr w:rsidR="00014E2B" w:rsidRPr="00014E2B" w:rsidTr="00CA799D">
        <w:trPr>
          <w:trHeight w:val="570"/>
        </w:trPr>
        <w:tc>
          <w:tcPr>
            <w:tcW w:w="1046"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N°</w:t>
            </w:r>
          </w:p>
        </w:tc>
        <w:tc>
          <w:tcPr>
            <w:tcW w:w="1325"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Structure</w:t>
            </w:r>
          </w:p>
        </w:tc>
        <w:tc>
          <w:tcPr>
            <w:tcW w:w="1694"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Région / Préfecture</w:t>
            </w:r>
          </w:p>
        </w:tc>
        <w:tc>
          <w:tcPr>
            <w:tcW w:w="935"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b/>
                <w:bCs/>
                <w:color w:val="C00000"/>
                <w:sz w:val="24"/>
                <w:szCs w:val="24"/>
                <w:lang w:eastAsia="fr-FR"/>
              </w:rPr>
            </w:pPr>
            <w:r w:rsidRPr="00014E2B">
              <w:rPr>
                <w:rFonts w:ascii="Arial" w:hAnsi="Arial" w:cs="Arial"/>
                <w:b/>
                <w:bCs/>
                <w:color w:val="C00000"/>
                <w:sz w:val="24"/>
                <w:szCs w:val="24"/>
                <w:lang w:eastAsia="fr-FR"/>
              </w:rPr>
              <w:t>Groupe I</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1</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 xml:space="preserve">DRS </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N’Zérékoré</w:t>
            </w:r>
          </w:p>
        </w:tc>
        <w:tc>
          <w:tcPr>
            <w:tcW w:w="935" w:type="pct"/>
            <w:tcBorders>
              <w:top w:val="nil"/>
              <w:left w:val="nil"/>
              <w:bottom w:val="single" w:sz="8" w:space="0" w:color="auto"/>
              <w:right w:val="single" w:sz="8" w:space="0" w:color="auto"/>
            </w:tcBorders>
            <w:tcMar>
              <w:top w:w="0" w:type="dxa"/>
              <w:left w:w="70" w:type="dxa"/>
              <w:bottom w:w="0" w:type="dxa"/>
              <w:right w:w="70" w:type="dxa"/>
            </w:tcMar>
            <w:hideMark/>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2</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 xml:space="preserve">DRS </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 xml:space="preserve">Kankan </w:t>
            </w:r>
          </w:p>
        </w:tc>
        <w:tc>
          <w:tcPr>
            <w:tcW w:w="935" w:type="pct"/>
            <w:tcBorders>
              <w:top w:val="nil"/>
              <w:left w:val="nil"/>
              <w:bottom w:val="single" w:sz="8" w:space="0" w:color="auto"/>
              <w:right w:val="single" w:sz="8" w:space="0" w:color="auto"/>
            </w:tcBorders>
            <w:tcMar>
              <w:top w:w="0" w:type="dxa"/>
              <w:left w:w="70" w:type="dxa"/>
              <w:bottom w:w="0" w:type="dxa"/>
              <w:right w:w="70" w:type="dxa"/>
            </w:tcMar>
            <w:hideMark/>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lastRenderedPageBreak/>
              <w:t>3</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DPS</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 xml:space="preserve">N’Zérékoré </w:t>
            </w:r>
          </w:p>
        </w:tc>
        <w:tc>
          <w:tcPr>
            <w:tcW w:w="935" w:type="pct"/>
            <w:tcBorders>
              <w:top w:val="nil"/>
              <w:left w:val="nil"/>
              <w:bottom w:val="single" w:sz="8" w:space="0" w:color="auto"/>
              <w:right w:val="single" w:sz="8" w:space="0" w:color="auto"/>
            </w:tcBorders>
            <w:tcMar>
              <w:top w:w="0" w:type="dxa"/>
              <w:left w:w="70" w:type="dxa"/>
              <w:bottom w:w="0" w:type="dxa"/>
              <w:right w:w="70" w:type="dxa"/>
            </w:tcMar>
            <w:hideMark/>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4</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DPS</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Lola</w:t>
            </w:r>
          </w:p>
        </w:tc>
        <w:tc>
          <w:tcPr>
            <w:tcW w:w="935" w:type="pct"/>
            <w:tcBorders>
              <w:top w:val="nil"/>
              <w:left w:val="nil"/>
              <w:bottom w:val="single" w:sz="8" w:space="0" w:color="auto"/>
              <w:right w:val="single" w:sz="8" w:space="0" w:color="auto"/>
            </w:tcBorders>
            <w:tcMar>
              <w:top w:w="0" w:type="dxa"/>
              <w:left w:w="70" w:type="dxa"/>
              <w:bottom w:w="0" w:type="dxa"/>
              <w:right w:w="70" w:type="dxa"/>
            </w:tcMar>
            <w:hideMark/>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5</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DPS</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Yomou</w:t>
            </w:r>
          </w:p>
        </w:tc>
        <w:tc>
          <w:tcPr>
            <w:tcW w:w="935" w:type="pct"/>
            <w:tcBorders>
              <w:top w:val="nil"/>
              <w:left w:val="nil"/>
              <w:bottom w:val="single" w:sz="8" w:space="0" w:color="auto"/>
              <w:right w:val="single" w:sz="8" w:space="0" w:color="auto"/>
            </w:tcBorders>
            <w:tcMar>
              <w:top w:w="0" w:type="dxa"/>
              <w:left w:w="70" w:type="dxa"/>
              <w:bottom w:w="0" w:type="dxa"/>
              <w:right w:w="70" w:type="dxa"/>
            </w:tcMar>
            <w:hideMark/>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nil"/>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6</w:t>
            </w:r>
          </w:p>
        </w:tc>
        <w:tc>
          <w:tcPr>
            <w:tcW w:w="1325" w:type="pct"/>
            <w:tcBorders>
              <w:top w:val="nil"/>
              <w:left w:val="nil"/>
              <w:bottom w:val="nil"/>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DPS</w:t>
            </w:r>
          </w:p>
        </w:tc>
        <w:tc>
          <w:tcPr>
            <w:tcW w:w="1694" w:type="pct"/>
            <w:tcBorders>
              <w:top w:val="nil"/>
              <w:left w:val="nil"/>
              <w:bottom w:val="nil"/>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 xml:space="preserve">Beyla </w:t>
            </w:r>
          </w:p>
        </w:tc>
        <w:tc>
          <w:tcPr>
            <w:tcW w:w="935" w:type="pct"/>
            <w:tcBorders>
              <w:top w:val="nil"/>
              <w:left w:val="nil"/>
              <w:bottom w:val="nil"/>
              <w:right w:val="single" w:sz="8" w:space="0" w:color="auto"/>
            </w:tcBorders>
            <w:tcMar>
              <w:top w:w="0" w:type="dxa"/>
              <w:left w:w="70" w:type="dxa"/>
              <w:bottom w:w="0" w:type="dxa"/>
              <w:right w:w="70" w:type="dxa"/>
            </w:tcMar>
            <w:hideMark/>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7</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HR</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 xml:space="preserve">N’Zérékoré </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8</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HP</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Lola</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9</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HP</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Beyla</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10</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HP</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Yomou</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11</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CMC</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Koulé</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nil"/>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12</w:t>
            </w:r>
          </w:p>
        </w:tc>
        <w:tc>
          <w:tcPr>
            <w:tcW w:w="1325" w:type="pct"/>
            <w:tcBorders>
              <w:top w:val="nil"/>
              <w:left w:val="nil"/>
              <w:bottom w:val="nil"/>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CMC</w:t>
            </w:r>
          </w:p>
        </w:tc>
        <w:tc>
          <w:tcPr>
            <w:tcW w:w="1694" w:type="pct"/>
            <w:tcBorders>
              <w:top w:val="nil"/>
              <w:left w:val="nil"/>
              <w:bottom w:val="nil"/>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Sinko</w:t>
            </w:r>
          </w:p>
        </w:tc>
        <w:tc>
          <w:tcPr>
            <w:tcW w:w="935" w:type="pct"/>
            <w:tcBorders>
              <w:top w:val="nil"/>
              <w:left w:val="nil"/>
              <w:bottom w:val="nil"/>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4065" w:type="pct"/>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b/>
                <w:color w:val="000000"/>
                <w:sz w:val="24"/>
                <w:szCs w:val="24"/>
                <w:lang w:eastAsia="fr-FR"/>
              </w:rPr>
            </w:pPr>
            <w:r w:rsidRPr="00014E2B">
              <w:rPr>
                <w:rFonts w:ascii="Arial" w:hAnsi="Arial" w:cs="Arial"/>
                <w:b/>
                <w:color w:val="000000"/>
                <w:sz w:val="24"/>
                <w:szCs w:val="24"/>
                <w:lang w:eastAsia="fr-FR"/>
              </w:rPr>
              <w:t>Total groupe I</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24</w:t>
            </w:r>
          </w:p>
        </w:tc>
      </w:tr>
      <w:tr w:rsidR="00014E2B" w:rsidRPr="00014E2B" w:rsidTr="00CA799D">
        <w:trPr>
          <w:trHeight w:val="570"/>
        </w:trPr>
        <w:tc>
          <w:tcPr>
            <w:tcW w:w="1046"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N°</w:t>
            </w:r>
          </w:p>
        </w:tc>
        <w:tc>
          <w:tcPr>
            <w:tcW w:w="1325"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Structure</w:t>
            </w:r>
          </w:p>
        </w:tc>
        <w:tc>
          <w:tcPr>
            <w:tcW w:w="1694"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Région / Préfecture</w:t>
            </w:r>
          </w:p>
        </w:tc>
        <w:tc>
          <w:tcPr>
            <w:tcW w:w="935"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b/>
                <w:bCs/>
                <w:color w:val="C00000"/>
                <w:sz w:val="24"/>
                <w:szCs w:val="24"/>
                <w:lang w:eastAsia="fr-FR"/>
              </w:rPr>
            </w:pPr>
            <w:r w:rsidRPr="00014E2B">
              <w:rPr>
                <w:rFonts w:ascii="Arial" w:hAnsi="Arial" w:cs="Arial"/>
                <w:b/>
                <w:bCs/>
                <w:color w:val="C00000"/>
                <w:sz w:val="24"/>
                <w:szCs w:val="24"/>
                <w:lang w:eastAsia="fr-FR"/>
              </w:rPr>
              <w:t>Groupe II</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1</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DPS</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Macenta</w:t>
            </w:r>
          </w:p>
        </w:tc>
        <w:tc>
          <w:tcPr>
            <w:tcW w:w="935" w:type="pct"/>
            <w:tcBorders>
              <w:top w:val="nil"/>
              <w:left w:val="nil"/>
              <w:bottom w:val="single" w:sz="8" w:space="0" w:color="auto"/>
              <w:right w:val="single" w:sz="8" w:space="0" w:color="auto"/>
            </w:tcBorders>
            <w:tcMar>
              <w:top w:w="0" w:type="dxa"/>
              <w:left w:w="70" w:type="dxa"/>
              <w:bottom w:w="0" w:type="dxa"/>
              <w:right w:w="70" w:type="dxa"/>
            </w:tcMar>
            <w:hideMark/>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2</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DPS</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Guéckédou</w:t>
            </w:r>
          </w:p>
        </w:tc>
        <w:tc>
          <w:tcPr>
            <w:tcW w:w="935" w:type="pct"/>
            <w:tcBorders>
              <w:top w:val="nil"/>
              <w:left w:val="nil"/>
              <w:bottom w:val="single" w:sz="8" w:space="0" w:color="auto"/>
              <w:right w:val="single" w:sz="8" w:space="0" w:color="auto"/>
            </w:tcBorders>
            <w:tcMar>
              <w:top w:w="0" w:type="dxa"/>
              <w:left w:w="70" w:type="dxa"/>
              <w:bottom w:w="0" w:type="dxa"/>
              <w:right w:w="70" w:type="dxa"/>
            </w:tcMar>
            <w:hideMark/>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3</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DPS</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Kérouané</w:t>
            </w:r>
          </w:p>
        </w:tc>
        <w:tc>
          <w:tcPr>
            <w:tcW w:w="935" w:type="pct"/>
            <w:tcBorders>
              <w:top w:val="nil"/>
              <w:left w:val="nil"/>
              <w:bottom w:val="single" w:sz="8" w:space="0" w:color="auto"/>
              <w:right w:val="single" w:sz="8" w:space="0" w:color="auto"/>
            </w:tcBorders>
            <w:tcMar>
              <w:top w:w="0" w:type="dxa"/>
              <w:left w:w="70" w:type="dxa"/>
              <w:bottom w:w="0" w:type="dxa"/>
              <w:right w:w="70" w:type="dxa"/>
            </w:tcMar>
            <w:hideMark/>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4</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HP</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Macenta</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5</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HP</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Guéckédou</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6</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HP</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Kérouané</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7</w:t>
            </w:r>
          </w:p>
        </w:tc>
        <w:tc>
          <w:tcPr>
            <w:tcW w:w="1325"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CHRS</w:t>
            </w:r>
          </w:p>
        </w:tc>
        <w:tc>
          <w:tcPr>
            <w:tcW w:w="1694" w:type="pct"/>
            <w:tcBorders>
              <w:top w:val="nil"/>
              <w:left w:val="nil"/>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Macenta</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nil"/>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8</w:t>
            </w:r>
          </w:p>
        </w:tc>
        <w:tc>
          <w:tcPr>
            <w:tcW w:w="1325" w:type="pct"/>
            <w:tcBorders>
              <w:top w:val="nil"/>
              <w:left w:val="nil"/>
              <w:bottom w:val="nil"/>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CMC</w:t>
            </w:r>
          </w:p>
        </w:tc>
        <w:tc>
          <w:tcPr>
            <w:tcW w:w="1694" w:type="pct"/>
            <w:tcBorders>
              <w:top w:val="nil"/>
              <w:left w:val="nil"/>
              <w:bottom w:val="nil"/>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Ouende Kenema</w:t>
            </w:r>
          </w:p>
        </w:tc>
        <w:tc>
          <w:tcPr>
            <w:tcW w:w="935" w:type="pct"/>
            <w:tcBorders>
              <w:top w:val="nil"/>
              <w:left w:val="nil"/>
              <w:bottom w:val="nil"/>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w:t>
            </w:r>
          </w:p>
        </w:tc>
      </w:tr>
      <w:tr w:rsidR="00014E2B" w:rsidRPr="00014E2B" w:rsidTr="00CA799D">
        <w:trPr>
          <w:trHeight w:val="320"/>
        </w:trPr>
        <w:tc>
          <w:tcPr>
            <w:tcW w:w="1046" w:type="pct"/>
            <w:tcBorders>
              <w:top w:val="nil"/>
              <w:left w:val="single" w:sz="8" w:space="0" w:color="auto"/>
              <w:bottom w:val="nil"/>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color w:val="000000"/>
                <w:sz w:val="24"/>
                <w:szCs w:val="24"/>
                <w:lang w:eastAsia="fr-FR"/>
              </w:rPr>
            </w:pPr>
            <w:r w:rsidRPr="00014E2B">
              <w:rPr>
                <w:rFonts w:ascii="Arial" w:hAnsi="Arial" w:cs="Arial"/>
                <w:color w:val="000000"/>
                <w:sz w:val="24"/>
                <w:szCs w:val="24"/>
                <w:lang w:eastAsia="fr-FR"/>
              </w:rPr>
              <w:t>9</w:t>
            </w:r>
          </w:p>
        </w:tc>
        <w:tc>
          <w:tcPr>
            <w:tcW w:w="1325" w:type="pct"/>
            <w:tcBorders>
              <w:top w:val="nil"/>
              <w:left w:val="nil"/>
              <w:bottom w:val="nil"/>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GIZ/PASA2</w:t>
            </w:r>
          </w:p>
        </w:tc>
        <w:tc>
          <w:tcPr>
            <w:tcW w:w="1694" w:type="pct"/>
            <w:tcBorders>
              <w:top w:val="nil"/>
              <w:left w:val="nil"/>
              <w:bottom w:val="nil"/>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both"/>
              <w:rPr>
                <w:rFonts w:ascii="Arial" w:hAnsi="Arial" w:cs="Arial"/>
                <w:color w:val="000000"/>
                <w:sz w:val="24"/>
                <w:szCs w:val="24"/>
                <w:lang w:eastAsia="fr-FR"/>
              </w:rPr>
            </w:pPr>
            <w:r w:rsidRPr="00014E2B">
              <w:rPr>
                <w:rFonts w:ascii="Arial" w:hAnsi="Arial" w:cs="Arial"/>
                <w:color w:val="000000"/>
                <w:sz w:val="24"/>
                <w:szCs w:val="24"/>
                <w:lang w:eastAsia="fr-FR"/>
              </w:rPr>
              <w:t>N’Zérékoré</w:t>
            </w:r>
          </w:p>
        </w:tc>
        <w:tc>
          <w:tcPr>
            <w:tcW w:w="935" w:type="pct"/>
            <w:tcBorders>
              <w:top w:val="nil"/>
              <w:left w:val="nil"/>
              <w:bottom w:val="nil"/>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9</w:t>
            </w:r>
          </w:p>
        </w:tc>
      </w:tr>
      <w:tr w:rsidR="00014E2B" w:rsidRPr="00014E2B" w:rsidTr="00CA799D">
        <w:trPr>
          <w:trHeight w:val="320"/>
        </w:trPr>
        <w:tc>
          <w:tcPr>
            <w:tcW w:w="4065" w:type="pct"/>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14E2B" w:rsidRPr="00014E2B" w:rsidRDefault="00014E2B" w:rsidP="00014E2B">
            <w:pPr>
              <w:spacing w:after="0" w:line="240" w:lineRule="auto"/>
              <w:jc w:val="center"/>
              <w:rPr>
                <w:rFonts w:ascii="Arial" w:hAnsi="Arial" w:cs="Arial"/>
                <w:b/>
                <w:color w:val="000000"/>
                <w:sz w:val="24"/>
                <w:szCs w:val="24"/>
                <w:lang w:eastAsia="fr-FR"/>
              </w:rPr>
            </w:pPr>
            <w:r w:rsidRPr="00014E2B">
              <w:rPr>
                <w:rFonts w:ascii="Arial" w:hAnsi="Arial" w:cs="Arial"/>
                <w:b/>
                <w:color w:val="000000"/>
                <w:sz w:val="24"/>
                <w:szCs w:val="24"/>
                <w:lang w:eastAsia="fr-FR"/>
              </w:rPr>
              <w:t>Total groupe II</w:t>
            </w:r>
          </w:p>
        </w:tc>
        <w:tc>
          <w:tcPr>
            <w:tcW w:w="935" w:type="pct"/>
            <w:tcBorders>
              <w:top w:val="nil"/>
              <w:left w:val="nil"/>
              <w:bottom w:val="single" w:sz="8" w:space="0" w:color="auto"/>
              <w:right w:val="single" w:sz="8" w:space="0" w:color="auto"/>
            </w:tcBorders>
            <w:tcMar>
              <w:top w:w="0" w:type="dxa"/>
              <w:left w:w="70" w:type="dxa"/>
              <w:bottom w:w="0" w:type="dxa"/>
              <w:right w:w="70" w:type="dxa"/>
            </w:tcMar>
          </w:tcPr>
          <w:p w:rsidR="00014E2B" w:rsidRPr="00014E2B" w:rsidRDefault="00014E2B" w:rsidP="00014E2B">
            <w:pPr>
              <w:spacing w:after="0" w:line="240" w:lineRule="auto"/>
              <w:jc w:val="center"/>
              <w:rPr>
                <w:rFonts w:ascii="Arial" w:hAnsi="Arial" w:cs="Arial"/>
                <w:b/>
                <w:bCs/>
                <w:color w:val="000000"/>
                <w:sz w:val="24"/>
                <w:szCs w:val="24"/>
                <w:lang w:eastAsia="fr-FR"/>
              </w:rPr>
            </w:pPr>
            <w:r w:rsidRPr="00014E2B">
              <w:rPr>
                <w:rFonts w:ascii="Arial" w:hAnsi="Arial" w:cs="Arial"/>
                <w:b/>
                <w:bCs/>
                <w:color w:val="000000"/>
                <w:sz w:val="24"/>
                <w:szCs w:val="24"/>
                <w:lang w:eastAsia="fr-FR"/>
              </w:rPr>
              <w:t>25</w:t>
            </w:r>
          </w:p>
        </w:tc>
      </w:tr>
    </w:tbl>
    <w:p w:rsidR="00014E2B" w:rsidRPr="00014E2B" w:rsidRDefault="00014E2B" w:rsidP="00CA799D">
      <w:pPr>
        <w:jc w:val="both"/>
      </w:pPr>
      <w:r>
        <w:rPr>
          <w:b/>
        </w:rPr>
        <w:t xml:space="preserve">Commentaire : </w:t>
      </w:r>
      <w:r w:rsidRPr="00014E2B">
        <w:t xml:space="preserve">cette formation à regroupé les cadres des 7 districts sanitaires de la zone PASA 2, soit un total de 49 présents sur 49 invités, soit 100% </w:t>
      </w:r>
    </w:p>
    <w:p w:rsidR="00014E2B" w:rsidRPr="00014E2B" w:rsidRDefault="00014E2B" w:rsidP="00014E2B">
      <w:pPr>
        <w:rPr>
          <w:b/>
          <w:bCs/>
        </w:rPr>
      </w:pPr>
      <w:r w:rsidRPr="00014E2B">
        <w:rPr>
          <w:b/>
          <w:bCs/>
        </w:rPr>
        <w:t xml:space="preserve">Déroulement de la formation </w:t>
      </w:r>
    </w:p>
    <w:p w:rsidR="00014E2B" w:rsidRPr="00014E2B" w:rsidRDefault="00014E2B" w:rsidP="00CA799D">
      <w:pPr>
        <w:jc w:val="both"/>
        <w:rPr>
          <w:bCs/>
        </w:rPr>
      </w:pPr>
      <w:r w:rsidRPr="00014E2B">
        <w:rPr>
          <w:bCs/>
        </w:rPr>
        <w:t xml:space="preserve">Accueil et installation des participants, déroulement de l’agenda qui a été adopté, suivi de la cérémonie d’ouverture qui a connu deux interventions </w:t>
      </w:r>
    </w:p>
    <w:p w:rsidR="00014E2B" w:rsidRPr="00014E2B" w:rsidRDefault="00014E2B" w:rsidP="00CA799D">
      <w:pPr>
        <w:pStyle w:val="Paragraphedeliste"/>
        <w:numPr>
          <w:ilvl w:val="0"/>
          <w:numId w:val="6"/>
        </w:numPr>
        <w:jc w:val="both"/>
        <w:rPr>
          <w:bCs/>
        </w:rPr>
      </w:pPr>
      <w:r w:rsidRPr="00014E2B">
        <w:rPr>
          <w:bCs/>
        </w:rPr>
        <w:t>Celui du coordinateur du projet PASA2, qui a rappeler les petits conflits rencontrés dans les procédures administratives avant de décliner l’objectif de cette formation qui vise à résoudre ce problème à travers la maîtrise des outils de finance de la GIZ par les partenaires.</w:t>
      </w:r>
    </w:p>
    <w:p w:rsidR="00014E2B" w:rsidRPr="00014E2B" w:rsidRDefault="00014E2B" w:rsidP="00CA799D">
      <w:pPr>
        <w:pStyle w:val="Paragraphedeliste"/>
        <w:numPr>
          <w:ilvl w:val="0"/>
          <w:numId w:val="6"/>
        </w:numPr>
        <w:jc w:val="both"/>
        <w:rPr>
          <w:bCs/>
        </w:rPr>
      </w:pPr>
      <w:r w:rsidRPr="00014E2B">
        <w:rPr>
          <w:bCs/>
        </w:rPr>
        <w:t xml:space="preserve">En fin celui du DRS de N’zérékoré, qui a souhaité la bienvenue aux participants avant de leurs inviter à s’approprier du contenu de la formation pour une meilleure gestion des subventions données par la GIZ, et c’est sur ces mots qu’il a déclaré ouvert la présente session. </w:t>
      </w:r>
    </w:p>
    <w:p w:rsidR="00014E2B" w:rsidRDefault="00014E2B" w:rsidP="00CA799D">
      <w:pPr>
        <w:jc w:val="both"/>
        <w:rPr>
          <w:bCs/>
        </w:rPr>
      </w:pPr>
      <w:r w:rsidRPr="00014E2B">
        <w:rPr>
          <w:bCs/>
        </w:rPr>
        <w:t xml:space="preserve">Au cours de </w:t>
      </w:r>
      <w:r w:rsidR="00EA1178">
        <w:rPr>
          <w:bCs/>
        </w:rPr>
        <w:t xml:space="preserve">ses jours de formation, </w:t>
      </w:r>
      <w:r w:rsidRPr="00014E2B">
        <w:rPr>
          <w:bCs/>
        </w:rPr>
        <w:t>différents modules ont été déroulés</w:t>
      </w:r>
      <w:r w:rsidR="00EA1178">
        <w:rPr>
          <w:bCs/>
        </w:rPr>
        <w:t xml:space="preserve"> selon le plan de présentation suivant : </w:t>
      </w:r>
    </w:p>
    <w:p w:rsidR="00EA1178" w:rsidRPr="00EA1178" w:rsidRDefault="00EA1178" w:rsidP="00CA799D">
      <w:pPr>
        <w:pStyle w:val="Paragraphedeliste"/>
        <w:numPr>
          <w:ilvl w:val="0"/>
          <w:numId w:val="7"/>
        </w:numPr>
        <w:jc w:val="both"/>
        <w:rPr>
          <w:bCs/>
        </w:rPr>
      </w:pPr>
      <w:r w:rsidRPr="00EA1178">
        <w:rPr>
          <w:bCs/>
        </w:rPr>
        <w:t>Organisation atelier</w:t>
      </w:r>
    </w:p>
    <w:p w:rsidR="00EA1178" w:rsidRPr="00EA1178" w:rsidRDefault="00EA1178" w:rsidP="00CA799D">
      <w:pPr>
        <w:pStyle w:val="Paragraphedeliste"/>
        <w:numPr>
          <w:ilvl w:val="0"/>
          <w:numId w:val="8"/>
        </w:numPr>
        <w:jc w:val="both"/>
        <w:rPr>
          <w:bCs/>
        </w:rPr>
      </w:pPr>
      <w:r w:rsidRPr="00EA1178">
        <w:rPr>
          <w:bCs/>
        </w:rPr>
        <w:t xml:space="preserve">Organisation mission </w:t>
      </w:r>
    </w:p>
    <w:p w:rsidR="00EA1178" w:rsidRPr="00EA1178" w:rsidRDefault="00EA1178" w:rsidP="00CA799D">
      <w:pPr>
        <w:pStyle w:val="Paragraphedeliste"/>
        <w:numPr>
          <w:ilvl w:val="0"/>
          <w:numId w:val="8"/>
        </w:numPr>
        <w:jc w:val="both"/>
        <w:rPr>
          <w:bCs/>
        </w:rPr>
      </w:pPr>
      <w:r w:rsidRPr="00EA1178">
        <w:rPr>
          <w:bCs/>
        </w:rPr>
        <w:t>Gestion des fournitures</w:t>
      </w:r>
    </w:p>
    <w:p w:rsidR="00EA1178" w:rsidRPr="00EA1178" w:rsidRDefault="00EA1178" w:rsidP="00CA799D">
      <w:pPr>
        <w:pStyle w:val="Paragraphedeliste"/>
        <w:numPr>
          <w:ilvl w:val="0"/>
          <w:numId w:val="8"/>
        </w:numPr>
        <w:jc w:val="both"/>
        <w:rPr>
          <w:bCs/>
        </w:rPr>
      </w:pPr>
      <w:r w:rsidRPr="00EA1178">
        <w:rPr>
          <w:bCs/>
        </w:rPr>
        <w:t>Achat de biens et contrats</w:t>
      </w:r>
    </w:p>
    <w:p w:rsidR="00EA1178" w:rsidRPr="00EA1178" w:rsidRDefault="00EA1178" w:rsidP="00CA799D">
      <w:pPr>
        <w:pStyle w:val="Paragraphedeliste"/>
        <w:numPr>
          <w:ilvl w:val="0"/>
          <w:numId w:val="9"/>
        </w:numPr>
        <w:jc w:val="both"/>
        <w:rPr>
          <w:bCs/>
        </w:rPr>
      </w:pPr>
      <w:r w:rsidRPr="00EA1178">
        <w:rPr>
          <w:bCs/>
        </w:rPr>
        <w:t>Achat de biens</w:t>
      </w:r>
    </w:p>
    <w:p w:rsidR="00EA1178" w:rsidRPr="00EA1178" w:rsidRDefault="00EA1178" w:rsidP="00CA799D">
      <w:pPr>
        <w:pStyle w:val="Paragraphedeliste"/>
        <w:numPr>
          <w:ilvl w:val="0"/>
          <w:numId w:val="9"/>
        </w:numPr>
        <w:jc w:val="both"/>
        <w:rPr>
          <w:bCs/>
        </w:rPr>
      </w:pPr>
      <w:r w:rsidRPr="00EA1178">
        <w:rPr>
          <w:bCs/>
        </w:rPr>
        <w:t>Contrat de prestation</w:t>
      </w:r>
    </w:p>
    <w:p w:rsidR="00EA1178" w:rsidRPr="00EA1178" w:rsidRDefault="00EA1178" w:rsidP="00CA799D">
      <w:pPr>
        <w:pStyle w:val="Paragraphedeliste"/>
        <w:numPr>
          <w:ilvl w:val="0"/>
          <w:numId w:val="9"/>
        </w:numPr>
        <w:jc w:val="both"/>
        <w:rPr>
          <w:bCs/>
        </w:rPr>
      </w:pPr>
      <w:r w:rsidRPr="00EA1178">
        <w:rPr>
          <w:bCs/>
        </w:rPr>
        <w:t>Contrat de financement</w:t>
      </w:r>
    </w:p>
    <w:p w:rsidR="00014E2B" w:rsidRPr="00014E2B" w:rsidRDefault="00014E2B" w:rsidP="00014E2B">
      <w:pPr>
        <w:numPr>
          <w:ilvl w:val="0"/>
          <w:numId w:val="5"/>
        </w:numPr>
        <w:rPr>
          <w:bCs/>
        </w:rPr>
      </w:pPr>
      <w:r w:rsidRPr="00014E2B">
        <w:rPr>
          <w:b/>
          <w:bCs/>
        </w:rPr>
        <w:t xml:space="preserve">FINANCEMENTS : </w:t>
      </w:r>
      <w:r w:rsidRPr="00014E2B">
        <w:rPr>
          <w:bCs/>
        </w:rPr>
        <w:t>il existe 2 types</w:t>
      </w:r>
    </w:p>
    <w:p w:rsidR="00014E2B" w:rsidRPr="00014E2B" w:rsidRDefault="00014E2B" w:rsidP="00CA799D">
      <w:pPr>
        <w:numPr>
          <w:ilvl w:val="0"/>
          <w:numId w:val="2"/>
        </w:numPr>
        <w:jc w:val="both"/>
        <w:rPr>
          <w:bCs/>
        </w:rPr>
      </w:pPr>
      <w:r w:rsidRPr="00014E2B">
        <w:rPr>
          <w:bCs/>
        </w:rPr>
        <w:lastRenderedPageBreak/>
        <w:t>La subvention locale est une prestation directe :(qualification, conseil, pilotage de l’utilisation des fonds par la GIZ), destinée pour les OP non qualifiées, peu qualifiées ou même si qualifiées mais pas connues</w:t>
      </w:r>
    </w:p>
    <w:p w:rsidR="00014E2B" w:rsidRPr="00014E2B" w:rsidRDefault="00014E2B" w:rsidP="00CA799D">
      <w:pPr>
        <w:numPr>
          <w:ilvl w:val="0"/>
          <w:numId w:val="2"/>
        </w:numPr>
        <w:jc w:val="both"/>
        <w:rPr>
          <w:bCs/>
        </w:rPr>
      </w:pPr>
      <w:r w:rsidRPr="00014E2B">
        <w:rPr>
          <w:bCs/>
        </w:rPr>
        <w:t>Le contrat de financement est une donation (responsabilité de pilotage et d’utilisation des fonds par l’OP) est destiné aux OP suffisamment qualifiés sur le plan technique, financier, organisationnel et administratif</w:t>
      </w:r>
    </w:p>
    <w:p w:rsidR="00014E2B" w:rsidRPr="00014E2B" w:rsidRDefault="00014E2B" w:rsidP="00014E2B">
      <w:pPr>
        <w:rPr>
          <w:b/>
          <w:bCs/>
        </w:rPr>
      </w:pPr>
      <w:r w:rsidRPr="00014E2B">
        <w:rPr>
          <w:b/>
          <w:bCs/>
        </w:rPr>
        <w:t>1.1 Les types de financement :</w:t>
      </w:r>
    </w:p>
    <w:p w:rsidR="00014E2B" w:rsidRPr="00014E2B" w:rsidRDefault="00014E2B" w:rsidP="00CA799D">
      <w:pPr>
        <w:numPr>
          <w:ilvl w:val="0"/>
          <w:numId w:val="3"/>
        </w:numPr>
        <w:jc w:val="both"/>
        <w:rPr>
          <w:bCs/>
        </w:rPr>
      </w:pPr>
      <w:r w:rsidRPr="00014E2B">
        <w:rPr>
          <w:b/>
          <w:bCs/>
        </w:rPr>
        <w:t>Convention pour les subventions locales (CSL/SL)</w:t>
      </w:r>
      <w:r w:rsidRPr="00014E2B">
        <w:rPr>
          <w:bCs/>
        </w:rPr>
        <w:t> : Organisation locale, pas encore assez qualifiée pour implémenter sans aide les mesures planifiées au niveau administratif, technique, organisationnel, c’est un contrat conclu par le Bureau, à partir de 50.000 EUR il faut l’autorisation du siège</w:t>
      </w:r>
    </w:p>
    <w:p w:rsidR="00014E2B" w:rsidRPr="00014E2B" w:rsidRDefault="00014E2B" w:rsidP="00CA799D">
      <w:pPr>
        <w:numPr>
          <w:ilvl w:val="0"/>
          <w:numId w:val="3"/>
        </w:numPr>
        <w:jc w:val="both"/>
        <w:rPr>
          <w:bCs/>
        </w:rPr>
      </w:pPr>
      <w:r w:rsidRPr="00014E2B">
        <w:rPr>
          <w:b/>
          <w:bCs/>
        </w:rPr>
        <w:t>Contrat de financement (CF)</w:t>
      </w:r>
      <w:r w:rsidRPr="00014E2B">
        <w:rPr>
          <w:bCs/>
        </w:rPr>
        <w:t> : Partenaire du projet ou une structure décentralisée du partenaire qui implémente dans sa responsabilité le projet. Petit contrat de financement jusqu’à 100.000 EUR conclu par le Bureau, à partir de 100.000 EUR par le siège</w:t>
      </w:r>
    </w:p>
    <w:p w:rsidR="00014E2B" w:rsidRPr="00014E2B" w:rsidRDefault="00014E2B" w:rsidP="00CA799D">
      <w:pPr>
        <w:numPr>
          <w:ilvl w:val="0"/>
          <w:numId w:val="3"/>
        </w:numPr>
        <w:jc w:val="both"/>
        <w:rPr>
          <w:bCs/>
        </w:rPr>
      </w:pPr>
      <w:r w:rsidRPr="00014E2B">
        <w:rPr>
          <w:b/>
          <w:bCs/>
        </w:rPr>
        <w:t>Accord de subvention (Grant Agreement) :</w:t>
      </w:r>
      <w:r w:rsidRPr="00014E2B">
        <w:rPr>
          <w:bCs/>
        </w:rPr>
        <w:t xml:space="preserve"> Institution en dehors de l‘Allemagne, institution locale (ONG) qualifiée, le contrat est conclu par le Siège, tout montant</w:t>
      </w:r>
    </w:p>
    <w:p w:rsidR="00014E2B" w:rsidRPr="00014E2B" w:rsidRDefault="00014E2B" w:rsidP="00CA799D">
      <w:pPr>
        <w:numPr>
          <w:ilvl w:val="0"/>
          <w:numId w:val="3"/>
        </w:numPr>
        <w:jc w:val="both"/>
        <w:rPr>
          <w:bCs/>
        </w:rPr>
      </w:pPr>
      <w:r w:rsidRPr="00014E2B">
        <w:rPr>
          <w:b/>
          <w:bCs/>
        </w:rPr>
        <w:t>Contrat de subvention (</w:t>
      </w:r>
      <w:proofErr w:type="spellStart"/>
      <w:r w:rsidRPr="00014E2B">
        <w:rPr>
          <w:b/>
          <w:bCs/>
        </w:rPr>
        <w:t>Zuschussvertrag</w:t>
      </w:r>
      <w:proofErr w:type="spellEnd"/>
      <w:r w:rsidRPr="00014E2B">
        <w:rPr>
          <w:b/>
          <w:bCs/>
        </w:rPr>
        <w:t>)</w:t>
      </w:r>
      <w:r w:rsidRPr="00014E2B">
        <w:rPr>
          <w:bCs/>
        </w:rPr>
        <w:t> : Institution allemande contrat conclu par le Siège, tout montant</w:t>
      </w:r>
    </w:p>
    <w:p w:rsidR="00014E2B" w:rsidRPr="00014E2B" w:rsidRDefault="00014E2B" w:rsidP="00014E2B">
      <w:pPr>
        <w:rPr>
          <w:b/>
          <w:bCs/>
        </w:rPr>
      </w:pPr>
      <w:r w:rsidRPr="00014E2B">
        <w:rPr>
          <w:b/>
          <w:bCs/>
        </w:rPr>
        <w:t>Différence entre subvention locale et contrat de financement :</w:t>
      </w:r>
    </w:p>
    <w:tbl>
      <w:tblPr>
        <w:tblW w:w="5000" w:type="pct"/>
        <w:tblCellMar>
          <w:left w:w="0" w:type="dxa"/>
          <w:right w:w="0" w:type="dxa"/>
        </w:tblCellMar>
        <w:tblLook w:val="0420" w:firstRow="1" w:lastRow="0" w:firstColumn="0" w:lastColumn="0" w:noHBand="0" w:noVBand="1"/>
      </w:tblPr>
      <w:tblGrid>
        <w:gridCol w:w="3071"/>
        <w:gridCol w:w="3084"/>
        <w:gridCol w:w="3889"/>
      </w:tblGrid>
      <w:tr w:rsidR="00014E2B" w:rsidRPr="00014E2B" w:rsidTr="00CA799D">
        <w:trPr>
          <w:trHeight w:val="441"/>
        </w:trPr>
        <w:tc>
          <w:tcPr>
            <w:tcW w:w="1529" w:type="pct"/>
            <w:tcBorders>
              <w:top w:val="single" w:sz="8" w:space="0" w:color="FFFFFF"/>
              <w:left w:val="single" w:sz="8" w:space="0" w:color="FFFFFF"/>
              <w:bottom w:val="single" w:sz="24" w:space="0" w:color="FFFFFF"/>
              <w:right w:val="single" w:sz="8" w:space="0" w:color="FFFFFF"/>
            </w:tcBorders>
            <w:shd w:val="clear" w:color="auto" w:fill="C80F0F"/>
            <w:tcMar>
              <w:top w:w="72" w:type="dxa"/>
              <w:left w:w="144" w:type="dxa"/>
              <w:bottom w:w="72" w:type="dxa"/>
              <w:right w:w="144" w:type="dxa"/>
            </w:tcMar>
            <w:hideMark/>
          </w:tcPr>
          <w:p w:rsidR="00014E2B" w:rsidRPr="00014E2B" w:rsidRDefault="00014E2B" w:rsidP="00014E2B"/>
        </w:tc>
        <w:tc>
          <w:tcPr>
            <w:tcW w:w="1535" w:type="pct"/>
            <w:tcBorders>
              <w:top w:val="single" w:sz="8" w:space="0" w:color="FFFFFF"/>
              <w:left w:val="single" w:sz="8" w:space="0" w:color="FFFFFF"/>
              <w:bottom w:val="single" w:sz="24" w:space="0" w:color="FFFFFF"/>
              <w:right w:val="single" w:sz="8" w:space="0" w:color="FFFFFF"/>
            </w:tcBorders>
            <w:shd w:val="clear" w:color="auto" w:fill="C80F0F"/>
            <w:tcMar>
              <w:top w:w="72" w:type="dxa"/>
              <w:left w:w="144" w:type="dxa"/>
              <w:bottom w:w="72" w:type="dxa"/>
              <w:right w:w="144" w:type="dxa"/>
            </w:tcMar>
            <w:vAlign w:val="center"/>
            <w:hideMark/>
          </w:tcPr>
          <w:p w:rsidR="00014E2B" w:rsidRPr="00014E2B" w:rsidRDefault="00014E2B" w:rsidP="00014E2B">
            <w:r w:rsidRPr="00014E2B">
              <w:rPr>
                <w:b/>
                <w:bCs/>
              </w:rPr>
              <w:t>Subvention locale</w:t>
            </w:r>
          </w:p>
        </w:tc>
        <w:tc>
          <w:tcPr>
            <w:tcW w:w="1936" w:type="pct"/>
            <w:tcBorders>
              <w:top w:val="single" w:sz="8" w:space="0" w:color="FFFFFF"/>
              <w:left w:val="single" w:sz="8" w:space="0" w:color="FFFFFF"/>
              <w:bottom w:val="single" w:sz="24" w:space="0" w:color="FFFFFF"/>
              <w:right w:val="single" w:sz="8" w:space="0" w:color="FFFFFF"/>
            </w:tcBorders>
            <w:shd w:val="clear" w:color="auto" w:fill="C80F0F"/>
            <w:tcMar>
              <w:top w:w="72" w:type="dxa"/>
              <w:left w:w="144" w:type="dxa"/>
              <w:bottom w:w="72" w:type="dxa"/>
              <w:right w:w="144" w:type="dxa"/>
            </w:tcMar>
            <w:vAlign w:val="center"/>
            <w:hideMark/>
          </w:tcPr>
          <w:p w:rsidR="00014E2B" w:rsidRPr="00014E2B" w:rsidRDefault="00014E2B" w:rsidP="00014E2B">
            <w:r w:rsidRPr="00014E2B">
              <w:rPr>
                <w:b/>
                <w:bCs/>
              </w:rPr>
              <w:t>Contrat de Financement</w:t>
            </w:r>
          </w:p>
        </w:tc>
      </w:tr>
      <w:tr w:rsidR="00014E2B" w:rsidRPr="00014E2B" w:rsidTr="00CA799D">
        <w:trPr>
          <w:trHeight w:val="315"/>
        </w:trPr>
        <w:tc>
          <w:tcPr>
            <w:tcW w:w="1529" w:type="pct"/>
            <w:tcBorders>
              <w:top w:val="single" w:sz="24"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Type d’organisation</w:t>
            </w:r>
          </w:p>
        </w:tc>
        <w:tc>
          <w:tcPr>
            <w:tcW w:w="1535" w:type="pct"/>
            <w:tcBorders>
              <w:top w:val="single" w:sz="24"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 xml:space="preserve">Bénéficiaire d’utilité publique (Organisation locale, </w:t>
            </w:r>
            <w:proofErr w:type="spellStart"/>
            <w:r w:rsidRPr="00014E2B">
              <w:rPr>
                <w:b/>
                <w:bCs/>
              </w:rPr>
              <w:t>ONGs</w:t>
            </w:r>
            <w:proofErr w:type="spellEnd"/>
            <w:r w:rsidRPr="00014E2B">
              <w:rPr>
                <w:b/>
                <w:bCs/>
              </w:rPr>
              <w:t xml:space="preserve"> locales)</w:t>
            </w:r>
          </w:p>
        </w:tc>
        <w:tc>
          <w:tcPr>
            <w:tcW w:w="1936" w:type="pct"/>
            <w:tcBorders>
              <w:top w:val="single" w:sz="24"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Bénéficiaire d’utilité publique (Partenaire du projet)</w:t>
            </w:r>
          </w:p>
        </w:tc>
      </w:tr>
      <w:tr w:rsidR="00014E2B" w:rsidRPr="00014E2B" w:rsidTr="00CA799D">
        <w:trPr>
          <w:trHeight w:val="581"/>
        </w:trPr>
        <w:tc>
          <w:tcPr>
            <w:tcW w:w="1529" w:type="pct"/>
            <w:tcBorders>
              <w:top w:val="single" w:sz="8" w:space="0" w:color="FFFFFF"/>
              <w:left w:val="single" w:sz="8" w:space="0" w:color="FFFFFF"/>
              <w:bottom w:val="single" w:sz="8" w:space="0" w:color="FFFFFF"/>
              <w:right w:val="single" w:sz="8" w:space="0" w:color="FFFFFF"/>
            </w:tcBorders>
            <w:shd w:val="clear" w:color="auto" w:fill="F5E7E7"/>
            <w:tcMar>
              <w:top w:w="72" w:type="dxa"/>
              <w:left w:w="144" w:type="dxa"/>
              <w:bottom w:w="72" w:type="dxa"/>
              <w:right w:w="144" w:type="dxa"/>
            </w:tcMar>
            <w:vAlign w:val="center"/>
            <w:hideMark/>
          </w:tcPr>
          <w:p w:rsidR="00014E2B" w:rsidRPr="00014E2B" w:rsidRDefault="00014E2B" w:rsidP="00014E2B">
            <w:r w:rsidRPr="00014E2B">
              <w:rPr>
                <w:b/>
                <w:bCs/>
              </w:rPr>
              <w:t>Qualifications techniques et administratives</w:t>
            </w:r>
          </w:p>
        </w:tc>
        <w:tc>
          <w:tcPr>
            <w:tcW w:w="1535" w:type="pct"/>
            <w:tcBorders>
              <w:top w:val="single" w:sz="8" w:space="0" w:color="FFFFFF"/>
              <w:left w:val="single" w:sz="8" w:space="0" w:color="FFFFFF"/>
              <w:bottom w:val="single" w:sz="8" w:space="0" w:color="FFFFFF"/>
              <w:right w:val="single" w:sz="8" w:space="0" w:color="FFFFFF"/>
            </w:tcBorders>
            <w:shd w:val="clear" w:color="auto" w:fill="F5E7E7"/>
            <w:tcMar>
              <w:top w:w="72" w:type="dxa"/>
              <w:left w:w="144" w:type="dxa"/>
              <w:bottom w:w="72" w:type="dxa"/>
              <w:right w:w="144" w:type="dxa"/>
            </w:tcMar>
            <w:vAlign w:val="center"/>
            <w:hideMark/>
          </w:tcPr>
          <w:p w:rsidR="00014E2B" w:rsidRPr="00014E2B" w:rsidRDefault="00014E2B" w:rsidP="00014E2B">
            <w:r w:rsidRPr="00014E2B">
              <w:rPr>
                <w:b/>
                <w:bCs/>
              </w:rPr>
              <w:t>Faible ou limité</w:t>
            </w:r>
          </w:p>
        </w:tc>
        <w:tc>
          <w:tcPr>
            <w:tcW w:w="1936" w:type="pct"/>
            <w:tcBorders>
              <w:top w:val="single" w:sz="8" w:space="0" w:color="FFFFFF"/>
              <w:left w:val="single" w:sz="8" w:space="0" w:color="FFFFFF"/>
              <w:bottom w:val="single" w:sz="8" w:space="0" w:color="FFFFFF"/>
              <w:right w:val="single" w:sz="8" w:space="0" w:color="FFFFFF"/>
            </w:tcBorders>
            <w:shd w:val="clear" w:color="auto" w:fill="F5E7E7"/>
            <w:tcMar>
              <w:top w:w="72" w:type="dxa"/>
              <w:left w:w="144" w:type="dxa"/>
              <w:bottom w:w="72" w:type="dxa"/>
              <w:right w:w="144" w:type="dxa"/>
            </w:tcMar>
            <w:vAlign w:val="center"/>
            <w:hideMark/>
          </w:tcPr>
          <w:p w:rsidR="00014E2B" w:rsidRPr="00014E2B" w:rsidRDefault="00014E2B" w:rsidP="00014E2B">
            <w:r w:rsidRPr="00014E2B">
              <w:rPr>
                <w:b/>
                <w:bCs/>
              </w:rPr>
              <w:t>Forte</w:t>
            </w:r>
          </w:p>
        </w:tc>
      </w:tr>
      <w:tr w:rsidR="00014E2B" w:rsidRPr="00014E2B" w:rsidTr="00CA799D">
        <w:trPr>
          <w:trHeight w:val="361"/>
        </w:trPr>
        <w:tc>
          <w:tcPr>
            <w:tcW w:w="1529" w:type="pct"/>
            <w:tcBorders>
              <w:top w:val="single" w:sz="8"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Responsabilité de la mise en œuvre, avec justification des fonds</w:t>
            </w:r>
          </w:p>
        </w:tc>
        <w:tc>
          <w:tcPr>
            <w:tcW w:w="1535" w:type="pct"/>
            <w:tcBorders>
              <w:top w:val="single" w:sz="8"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GIZ (Responsable de marché)</w:t>
            </w:r>
          </w:p>
        </w:tc>
        <w:tc>
          <w:tcPr>
            <w:tcW w:w="1936" w:type="pct"/>
            <w:tcBorders>
              <w:top w:val="single" w:sz="8"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Bénéficiaire (supervisé par la GIZ</w:t>
            </w:r>
          </w:p>
        </w:tc>
      </w:tr>
      <w:tr w:rsidR="00014E2B" w:rsidRPr="00014E2B" w:rsidTr="00CA799D">
        <w:trPr>
          <w:trHeight w:val="586"/>
        </w:trPr>
        <w:tc>
          <w:tcPr>
            <w:tcW w:w="1529" w:type="pct"/>
            <w:tcBorders>
              <w:top w:val="single" w:sz="8" w:space="0" w:color="FFFFFF"/>
              <w:left w:val="single" w:sz="8" w:space="0" w:color="FFFFFF"/>
              <w:bottom w:val="single" w:sz="8" w:space="0" w:color="FFFFFF"/>
              <w:right w:val="single" w:sz="8" w:space="0" w:color="FFFFFF"/>
            </w:tcBorders>
            <w:shd w:val="clear" w:color="auto" w:fill="F5E7E7"/>
            <w:tcMar>
              <w:top w:w="72" w:type="dxa"/>
              <w:left w:w="144" w:type="dxa"/>
              <w:bottom w:w="72" w:type="dxa"/>
              <w:right w:w="144" w:type="dxa"/>
            </w:tcMar>
            <w:vAlign w:val="center"/>
            <w:hideMark/>
          </w:tcPr>
          <w:p w:rsidR="00014E2B" w:rsidRPr="00014E2B" w:rsidRDefault="00014E2B" w:rsidP="00014E2B">
            <w:r w:rsidRPr="00014E2B">
              <w:rPr>
                <w:b/>
                <w:bCs/>
              </w:rPr>
              <w:t>Classification (avec BMZ)</w:t>
            </w:r>
          </w:p>
        </w:tc>
        <w:tc>
          <w:tcPr>
            <w:tcW w:w="1535" w:type="pct"/>
            <w:tcBorders>
              <w:top w:val="single" w:sz="8" w:space="0" w:color="FFFFFF"/>
              <w:left w:val="single" w:sz="8" w:space="0" w:color="FFFFFF"/>
              <w:bottom w:val="single" w:sz="8" w:space="0" w:color="FFFFFF"/>
              <w:right w:val="single" w:sz="8" w:space="0" w:color="FFFFFF"/>
            </w:tcBorders>
            <w:shd w:val="clear" w:color="auto" w:fill="F5E7E7"/>
            <w:tcMar>
              <w:top w:w="72" w:type="dxa"/>
              <w:left w:w="144" w:type="dxa"/>
              <w:bottom w:w="72" w:type="dxa"/>
              <w:right w:w="144" w:type="dxa"/>
            </w:tcMar>
            <w:vAlign w:val="center"/>
            <w:hideMark/>
          </w:tcPr>
          <w:p w:rsidR="00014E2B" w:rsidRPr="00014E2B" w:rsidRDefault="00014E2B" w:rsidP="00014E2B">
            <w:r w:rsidRPr="00014E2B">
              <w:rPr>
                <w:b/>
                <w:bCs/>
              </w:rPr>
              <w:t>Prestation Directe</w:t>
            </w:r>
          </w:p>
        </w:tc>
        <w:tc>
          <w:tcPr>
            <w:tcW w:w="1936" w:type="pct"/>
            <w:tcBorders>
              <w:top w:val="single" w:sz="8" w:space="0" w:color="FFFFFF"/>
              <w:left w:val="single" w:sz="8" w:space="0" w:color="FFFFFF"/>
              <w:bottom w:val="single" w:sz="8" w:space="0" w:color="FFFFFF"/>
              <w:right w:val="single" w:sz="8" w:space="0" w:color="FFFFFF"/>
            </w:tcBorders>
            <w:shd w:val="clear" w:color="auto" w:fill="F5E7E7"/>
            <w:tcMar>
              <w:top w:w="72" w:type="dxa"/>
              <w:left w:w="144" w:type="dxa"/>
              <w:bottom w:w="72" w:type="dxa"/>
              <w:right w:w="144" w:type="dxa"/>
            </w:tcMar>
            <w:vAlign w:val="center"/>
            <w:hideMark/>
          </w:tcPr>
          <w:p w:rsidR="00014E2B" w:rsidRPr="00014E2B" w:rsidRDefault="00014E2B" w:rsidP="00014E2B">
            <w:r w:rsidRPr="00014E2B">
              <w:rPr>
                <w:b/>
                <w:bCs/>
              </w:rPr>
              <w:t>Donation</w:t>
            </w:r>
          </w:p>
        </w:tc>
      </w:tr>
      <w:tr w:rsidR="00014E2B" w:rsidRPr="00014E2B" w:rsidTr="00CA799D">
        <w:trPr>
          <w:trHeight w:val="18"/>
        </w:trPr>
        <w:tc>
          <w:tcPr>
            <w:tcW w:w="1529" w:type="pct"/>
            <w:tcBorders>
              <w:top w:val="single" w:sz="8"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Plafond</w:t>
            </w:r>
          </w:p>
        </w:tc>
        <w:tc>
          <w:tcPr>
            <w:tcW w:w="1535" w:type="pct"/>
            <w:tcBorders>
              <w:top w:val="single" w:sz="8"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Jusqu’à 100 000 Euros</w:t>
            </w:r>
          </w:p>
        </w:tc>
        <w:tc>
          <w:tcPr>
            <w:tcW w:w="1936" w:type="pct"/>
            <w:tcBorders>
              <w:top w:val="single" w:sz="8"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 xml:space="preserve"> Pas de limite</w:t>
            </w:r>
          </w:p>
        </w:tc>
      </w:tr>
      <w:tr w:rsidR="00014E2B" w:rsidRPr="00014E2B" w:rsidTr="00CA799D">
        <w:trPr>
          <w:trHeight w:val="347"/>
        </w:trPr>
        <w:tc>
          <w:tcPr>
            <w:tcW w:w="1529" w:type="pct"/>
            <w:tcBorders>
              <w:top w:val="single" w:sz="8" w:space="0" w:color="FFFFFF"/>
              <w:left w:val="single" w:sz="8" w:space="0" w:color="FFFFFF"/>
              <w:bottom w:val="single" w:sz="8" w:space="0" w:color="FFFFFF"/>
              <w:right w:val="single" w:sz="8" w:space="0" w:color="FFFFFF"/>
            </w:tcBorders>
            <w:shd w:val="clear" w:color="auto" w:fill="F5E7E7"/>
            <w:tcMar>
              <w:top w:w="72" w:type="dxa"/>
              <w:left w:w="144" w:type="dxa"/>
              <w:bottom w:w="72" w:type="dxa"/>
              <w:right w:w="144" w:type="dxa"/>
            </w:tcMar>
            <w:vAlign w:val="center"/>
            <w:hideMark/>
          </w:tcPr>
          <w:p w:rsidR="00014E2B" w:rsidRPr="00014E2B" w:rsidRDefault="00014E2B" w:rsidP="00014E2B">
            <w:r w:rsidRPr="00014E2B">
              <w:rPr>
                <w:b/>
                <w:bCs/>
              </w:rPr>
              <w:t>Paiement d’avance</w:t>
            </w:r>
          </w:p>
        </w:tc>
        <w:tc>
          <w:tcPr>
            <w:tcW w:w="1535" w:type="pct"/>
            <w:tcBorders>
              <w:top w:val="single" w:sz="8" w:space="0" w:color="FFFFFF"/>
              <w:left w:val="single" w:sz="8" w:space="0" w:color="FFFFFF"/>
              <w:bottom w:val="single" w:sz="8" w:space="0" w:color="FFFFFF"/>
              <w:right w:val="single" w:sz="8" w:space="0" w:color="FFFFFF"/>
            </w:tcBorders>
            <w:shd w:val="clear" w:color="auto" w:fill="F5E7E7"/>
            <w:tcMar>
              <w:top w:w="72" w:type="dxa"/>
              <w:left w:w="144" w:type="dxa"/>
              <w:bottom w:w="72" w:type="dxa"/>
              <w:right w:w="144" w:type="dxa"/>
            </w:tcMar>
            <w:vAlign w:val="center"/>
            <w:hideMark/>
          </w:tcPr>
          <w:p w:rsidR="00014E2B" w:rsidRPr="00014E2B" w:rsidRDefault="00014E2B" w:rsidP="00014E2B">
            <w:r w:rsidRPr="00014E2B">
              <w:rPr>
                <w:b/>
                <w:bCs/>
              </w:rPr>
              <w:t>Besoins mensuels (Max 3 mois)</w:t>
            </w:r>
          </w:p>
        </w:tc>
        <w:tc>
          <w:tcPr>
            <w:tcW w:w="1936" w:type="pct"/>
            <w:tcBorders>
              <w:top w:val="single" w:sz="8" w:space="0" w:color="FFFFFF"/>
              <w:left w:val="single" w:sz="8" w:space="0" w:color="FFFFFF"/>
              <w:bottom w:val="single" w:sz="8" w:space="0" w:color="FFFFFF"/>
              <w:right w:val="single" w:sz="8" w:space="0" w:color="FFFFFF"/>
            </w:tcBorders>
            <w:shd w:val="clear" w:color="auto" w:fill="F5E7E7"/>
            <w:tcMar>
              <w:top w:w="72" w:type="dxa"/>
              <w:left w:w="144" w:type="dxa"/>
              <w:bottom w:w="72" w:type="dxa"/>
              <w:right w:w="144" w:type="dxa"/>
            </w:tcMar>
            <w:vAlign w:val="center"/>
            <w:hideMark/>
          </w:tcPr>
          <w:p w:rsidR="00014E2B" w:rsidRPr="00014E2B" w:rsidRDefault="00014E2B" w:rsidP="00014E2B">
            <w:r w:rsidRPr="00014E2B">
              <w:rPr>
                <w:b/>
                <w:bCs/>
              </w:rPr>
              <w:t xml:space="preserve">Besoins trimestriels </w:t>
            </w:r>
          </w:p>
        </w:tc>
      </w:tr>
      <w:tr w:rsidR="00014E2B" w:rsidRPr="00014E2B" w:rsidTr="00CA799D">
        <w:trPr>
          <w:trHeight w:val="285"/>
        </w:trPr>
        <w:tc>
          <w:tcPr>
            <w:tcW w:w="1529" w:type="pct"/>
            <w:tcBorders>
              <w:top w:val="single" w:sz="8"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 xml:space="preserve">Présentation justificatifs </w:t>
            </w:r>
          </w:p>
        </w:tc>
        <w:tc>
          <w:tcPr>
            <w:tcW w:w="1535" w:type="pct"/>
            <w:tcBorders>
              <w:top w:val="single" w:sz="8"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Toutes les pièces originales</w:t>
            </w:r>
          </w:p>
        </w:tc>
        <w:tc>
          <w:tcPr>
            <w:tcW w:w="1936" w:type="pct"/>
            <w:tcBorders>
              <w:top w:val="single" w:sz="8" w:space="0" w:color="FFFFFF"/>
              <w:left w:val="single" w:sz="8" w:space="0" w:color="FFFFFF"/>
              <w:bottom w:val="single" w:sz="8" w:space="0" w:color="FFFFFF"/>
              <w:right w:val="single" w:sz="8" w:space="0" w:color="FFFFFF"/>
            </w:tcBorders>
            <w:shd w:val="clear" w:color="auto" w:fill="EBCCCC"/>
            <w:tcMar>
              <w:top w:w="72" w:type="dxa"/>
              <w:left w:w="144" w:type="dxa"/>
              <w:bottom w:w="72" w:type="dxa"/>
              <w:right w:w="144" w:type="dxa"/>
            </w:tcMar>
            <w:vAlign w:val="center"/>
            <w:hideMark/>
          </w:tcPr>
          <w:p w:rsidR="00014E2B" w:rsidRPr="00014E2B" w:rsidRDefault="00014E2B" w:rsidP="00014E2B">
            <w:r w:rsidRPr="00014E2B">
              <w:rPr>
                <w:b/>
                <w:bCs/>
              </w:rPr>
              <w:t>Copie jusqu’à 2 500 Euro</w:t>
            </w:r>
          </w:p>
        </w:tc>
      </w:tr>
    </w:tbl>
    <w:p w:rsidR="00014E2B" w:rsidRPr="00014E2B" w:rsidRDefault="00014E2B" w:rsidP="00E65BD4">
      <w:pPr>
        <w:jc w:val="both"/>
        <w:rPr>
          <w:bCs/>
        </w:rPr>
      </w:pPr>
      <w:r w:rsidRPr="00014E2B">
        <w:rPr>
          <w:b/>
          <w:bCs/>
        </w:rPr>
        <w:t xml:space="preserve">Le cycle d’une subvention locale : </w:t>
      </w:r>
      <w:r w:rsidRPr="00014E2B">
        <w:rPr>
          <w:bCs/>
        </w:rPr>
        <w:t>comprend 8 étapes (élaboration du projet, soumission du projet, analyse du projet et feedback,</w:t>
      </w:r>
      <w:r w:rsidRPr="00014E2B">
        <w:rPr>
          <w:b/>
          <w:bCs/>
        </w:rPr>
        <w:t xml:space="preserve"> </w:t>
      </w:r>
      <w:r w:rsidRPr="00014E2B">
        <w:rPr>
          <w:bCs/>
        </w:rPr>
        <w:t>signature du contrat validé, mise en œuvre du projet, validation des pièces justificatives pour la 1</w:t>
      </w:r>
      <w:r w:rsidRPr="00014E2B">
        <w:rPr>
          <w:bCs/>
          <w:vertAlign w:val="superscript"/>
        </w:rPr>
        <w:t>ère</w:t>
      </w:r>
      <w:r w:rsidRPr="00014E2B">
        <w:rPr>
          <w:bCs/>
        </w:rPr>
        <w:t xml:space="preserve"> tranche, reprise de l’’étape 5, élaboration du rapport final). La mise en œuvre des SL nécessite deux types de dossiers, les documents administratifs et les dossiers techniques </w:t>
      </w:r>
    </w:p>
    <w:p w:rsidR="00014E2B" w:rsidRPr="00014E2B" w:rsidRDefault="00014E2B" w:rsidP="00E65BD4">
      <w:pPr>
        <w:jc w:val="both"/>
        <w:rPr>
          <w:b/>
          <w:bCs/>
        </w:rPr>
      </w:pPr>
      <w:r w:rsidRPr="00014E2B">
        <w:rPr>
          <w:b/>
          <w:bCs/>
        </w:rPr>
        <w:t>Rôle et Responsabilité de la GIZ</w:t>
      </w:r>
    </w:p>
    <w:p w:rsidR="00014E2B" w:rsidRPr="00014E2B" w:rsidRDefault="00014E2B" w:rsidP="00E65BD4">
      <w:pPr>
        <w:jc w:val="both"/>
        <w:rPr>
          <w:bCs/>
        </w:rPr>
      </w:pPr>
      <w:r w:rsidRPr="00014E2B">
        <w:rPr>
          <w:bCs/>
        </w:rPr>
        <w:lastRenderedPageBreak/>
        <w:t>Responsabilité de la mise en œuvre incombe à la GIZ (AV) : utilisation conforme des fonds, justification exhaustive de l’utilisation des fonds (justificatifs complets)</w:t>
      </w:r>
    </w:p>
    <w:p w:rsidR="00014E2B" w:rsidRPr="00014E2B" w:rsidRDefault="00014E2B" w:rsidP="00E65BD4">
      <w:pPr>
        <w:jc w:val="both"/>
        <w:rPr>
          <w:bCs/>
        </w:rPr>
      </w:pPr>
      <w:r w:rsidRPr="00014E2B">
        <w:rPr>
          <w:bCs/>
        </w:rPr>
        <w:t>Fonction de contrôle et de conseil pour ce qui concerne la mise en œuvre de l’action et les questions commerciales notamment le respect des règles de passation de marché (achat de biens et services) et le décompte correct des fonds mis à disposition</w:t>
      </w:r>
    </w:p>
    <w:p w:rsidR="00014E2B" w:rsidRPr="00014E2B" w:rsidRDefault="00014E2B" w:rsidP="00E65BD4">
      <w:pPr>
        <w:jc w:val="both"/>
        <w:rPr>
          <w:b/>
          <w:bCs/>
        </w:rPr>
      </w:pPr>
      <w:r w:rsidRPr="00014E2B">
        <w:rPr>
          <w:b/>
          <w:bCs/>
        </w:rPr>
        <w:t>Utilisation des fonds</w:t>
      </w:r>
    </w:p>
    <w:p w:rsidR="00014E2B" w:rsidRPr="00014E2B" w:rsidRDefault="00014E2B" w:rsidP="00E65BD4">
      <w:pPr>
        <w:jc w:val="both"/>
        <w:rPr>
          <w:bCs/>
        </w:rPr>
      </w:pPr>
      <w:r w:rsidRPr="00014E2B">
        <w:rPr>
          <w:bCs/>
        </w:rPr>
        <w:t>La SL ne doit être utilisée pour financer les coûts suivants :</w:t>
      </w:r>
    </w:p>
    <w:p w:rsidR="00014E2B" w:rsidRPr="00014E2B" w:rsidRDefault="00014E2B" w:rsidP="00E65BD4">
      <w:pPr>
        <w:numPr>
          <w:ilvl w:val="0"/>
          <w:numId w:val="3"/>
        </w:numPr>
        <w:jc w:val="both"/>
        <w:rPr>
          <w:bCs/>
        </w:rPr>
      </w:pPr>
      <w:r w:rsidRPr="00014E2B">
        <w:rPr>
          <w:bCs/>
        </w:rPr>
        <w:t xml:space="preserve"> Achats de matériels et équipements (y compris les prestation) qui ont été déjà convenus avec le client ou commettant comme prestations directes du projet</w:t>
      </w:r>
    </w:p>
    <w:p w:rsidR="00014E2B" w:rsidRPr="00014E2B" w:rsidRDefault="00014E2B" w:rsidP="00E65BD4">
      <w:pPr>
        <w:numPr>
          <w:ilvl w:val="0"/>
          <w:numId w:val="3"/>
        </w:numPr>
        <w:jc w:val="both"/>
        <w:rPr>
          <w:bCs/>
        </w:rPr>
      </w:pPr>
      <w:r w:rsidRPr="00014E2B">
        <w:rPr>
          <w:bCs/>
        </w:rPr>
        <w:t xml:space="preserve"> Médicaments et produits agrochimiques (dans certains cas sauf en cas de dérogation accordée par l’acheteur compétent) au sein des sections « Achats » de la GIZ,</w:t>
      </w:r>
    </w:p>
    <w:p w:rsidR="00014E2B" w:rsidRPr="00014E2B" w:rsidRDefault="00014E2B" w:rsidP="00E65BD4">
      <w:pPr>
        <w:numPr>
          <w:ilvl w:val="0"/>
          <w:numId w:val="3"/>
        </w:numPr>
        <w:jc w:val="both"/>
        <w:rPr>
          <w:bCs/>
        </w:rPr>
      </w:pPr>
      <w:r w:rsidRPr="00014E2B">
        <w:rPr>
          <w:bCs/>
        </w:rPr>
        <w:t xml:space="preserve"> Avances sur achats et les versements dans une caisse annexe</w:t>
      </w:r>
    </w:p>
    <w:p w:rsidR="00014E2B" w:rsidRPr="00014E2B" w:rsidRDefault="00014E2B" w:rsidP="00E65BD4">
      <w:pPr>
        <w:jc w:val="both"/>
        <w:rPr>
          <w:b/>
          <w:bCs/>
        </w:rPr>
      </w:pPr>
      <w:r w:rsidRPr="00014E2B">
        <w:rPr>
          <w:b/>
          <w:bCs/>
        </w:rPr>
        <w:t xml:space="preserve">Les taches du bénéficiaire </w:t>
      </w:r>
    </w:p>
    <w:p w:rsidR="00014E2B" w:rsidRPr="00014E2B" w:rsidRDefault="00014E2B" w:rsidP="00E65BD4">
      <w:pPr>
        <w:numPr>
          <w:ilvl w:val="0"/>
          <w:numId w:val="3"/>
        </w:numPr>
        <w:jc w:val="both"/>
        <w:rPr>
          <w:bCs/>
        </w:rPr>
      </w:pPr>
      <w:r w:rsidRPr="00014E2B">
        <w:rPr>
          <w:bCs/>
        </w:rPr>
        <w:t>Adresser une requête complète (Dossiers technique et administratif) au projet</w:t>
      </w:r>
    </w:p>
    <w:p w:rsidR="00014E2B" w:rsidRPr="00014E2B" w:rsidRDefault="00014E2B" w:rsidP="00E65BD4">
      <w:pPr>
        <w:numPr>
          <w:ilvl w:val="0"/>
          <w:numId w:val="3"/>
        </w:numPr>
        <w:jc w:val="both"/>
        <w:rPr>
          <w:bCs/>
        </w:rPr>
      </w:pPr>
      <w:r w:rsidRPr="00014E2B">
        <w:rPr>
          <w:bCs/>
        </w:rPr>
        <w:t>Signature et transmission du contrat de subvention locale à la GIZ</w:t>
      </w:r>
    </w:p>
    <w:p w:rsidR="00014E2B" w:rsidRPr="00014E2B" w:rsidRDefault="00014E2B" w:rsidP="00E65BD4">
      <w:pPr>
        <w:numPr>
          <w:ilvl w:val="0"/>
          <w:numId w:val="3"/>
        </w:numPr>
        <w:jc w:val="both"/>
        <w:rPr>
          <w:bCs/>
        </w:rPr>
      </w:pPr>
      <w:r w:rsidRPr="00014E2B">
        <w:rPr>
          <w:bCs/>
        </w:rPr>
        <w:t>Tenir un dossier du contrat distinct pour la subvention locale</w:t>
      </w:r>
    </w:p>
    <w:p w:rsidR="00014E2B" w:rsidRPr="00014E2B" w:rsidRDefault="00014E2B" w:rsidP="00E65BD4">
      <w:pPr>
        <w:numPr>
          <w:ilvl w:val="0"/>
          <w:numId w:val="3"/>
        </w:numPr>
        <w:jc w:val="both"/>
        <w:rPr>
          <w:bCs/>
        </w:rPr>
      </w:pPr>
      <w:r w:rsidRPr="00014E2B">
        <w:rPr>
          <w:bCs/>
        </w:rPr>
        <w:t>Tenir une liste des dépenses avec tous les justificatifs originaux (selon modèle)</w:t>
      </w:r>
    </w:p>
    <w:p w:rsidR="00014E2B" w:rsidRPr="00014E2B" w:rsidRDefault="00014E2B" w:rsidP="00E65BD4">
      <w:pPr>
        <w:numPr>
          <w:ilvl w:val="0"/>
          <w:numId w:val="3"/>
        </w:numPr>
        <w:jc w:val="both"/>
        <w:rPr>
          <w:bCs/>
        </w:rPr>
      </w:pPr>
      <w:r w:rsidRPr="00014E2B">
        <w:rPr>
          <w:bCs/>
        </w:rPr>
        <w:t>Vérifier l’exactitude et la conformité des justificatifs et les viser avant de les transmettre à la GIZ</w:t>
      </w:r>
    </w:p>
    <w:p w:rsidR="00014E2B" w:rsidRPr="00014E2B" w:rsidRDefault="00014E2B" w:rsidP="00E65BD4">
      <w:pPr>
        <w:numPr>
          <w:ilvl w:val="0"/>
          <w:numId w:val="3"/>
        </w:numPr>
        <w:jc w:val="both"/>
        <w:rPr>
          <w:bCs/>
        </w:rPr>
      </w:pPr>
      <w:r w:rsidRPr="00014E2B">
        <w:rPr>
          <w:bCs/>
        </w:rPr>
        <w:t>Communiquer régulièrement avec l’équipe du PSRF (Technique et Administration)</w:t>
      </w:r>
    </w:p>
    <w:p w:rsidR="00014E2B" w:rsidRPr="00014E2B" w:rsidRDefault="00014E2B" w:rsidP="00E65BD4">
      <w:pPr>
        <w:numPr>
          <w:ilvl w:val="0"/>
          <w:numId w:val="3"/>
        </w:numPr>
        <w:jc w:val="both"/>
        <w:rPr>
          <w:bCs/>
        </w:rPr>
      </w:pPr>
      <w:r w:rsidRPr="00014E2B">
        <w:rPr>
          <w:bCs/>
        </w:rPr>
        <w:t>Établir les justificatifs d’utilisation des fonds</w:t>
      </w:r>
    </w:p>
    <w:p w:rsidR="00014E2B" w:rsidRPr="00014E2B" w:rsidRDefault="00014E2B" w:rsidP="00E65BD4">
      <w:pPr>
        <w:numPr>
          <w:ilvl w:val="0"/>
          <w:numId w:val="3"/>
        </w:numPr>
        <w:jc w:val="both"/>
        <w:rPr>
          <w:bCs/>
        </w:rPr>
      </w:pPr>
      <w:r w:rsidRPr="00014E2B">
        <w:rPr>
          <w:bCs/>
        </w:rPr>
        <w:t>Demander les versements par écrit après la présentation d’au moins 80% de justificatifs de la tranche précédente</w:t>
      </w:r>
    </w:p>
    <w:p w:rsidR="00014E2B" w:rsidRPr="00014E2B" w:rsidRDefault="00014E2B" w:rsidP="00E65BD4">
      <w:pPr>
        <w:numPr>
          <w:ilvl w:val="0"/>
          <w:numId w:val="3"/>
        </w:numPr>
        <w:jc w:val="both"/>
        <w:rPr>
          <w:bCs/>
        </w:rPr>
      </w:pPr>
      <w:r w:rsidRPr="00014E2B">
        <w:rPr>
          <w:bCs/>
        </w:rPr>
        <w:t>Pour les subventions locales supérieures à 50.000 €, mettre en place un compte bancaire spécial et joindre les extraits de compte au décompte</w:t>
      </w:r>
    </w:p>
    <w:p w:rsidR="00014E2B" w:rsidRPr="00014E2B" w:rsidRDefault="00014E2B" w:rsidP="00E65BD4">
      <w:pPr>
        <w:jc w:val="both"/>
        <w:rPr>
          <w:b/>
          <w:bCs/>
        </w:rPr>
      </w:pPr>
      <w:r w:rsidRPr="00014E2B">
        <w:rPr>
          <w:b/>
          <w:bCs/>
        </w:rPr>
        <w:t>Les taches de la GIZ</w:t>
      </w:r>
    </w:p>
    <w:p w:rsidR="00014E2B" w:rsidRPr="00014E2B" w:rsidRDefault="00014E2B" w:rsidP="00E65BD4">
      <w:pPr>
        <w:numPr>
          <w:ilvl w:val="0"/>
          <w:numId w:val="3"/>
        </w:numPr>
        <w:jc w:val="both"/>
        <w:rPr>
          <w:bCs/>
        </w:rPr>
      </w:pPr>
      <w:r w:rsidRPr="00014E2B">
        <w:rPr>
          <w:bCs/>
        </w:rPr>
        <w:t>Élabore et fait signer le CSL par les parties concernées</w:t>
      </w:r>
    </w:p>
    <w:p w:rsidR="00014E2B" w:rsidRPr="00014E2B" w:rsidRDefault="00014E2B" w:rsidP="00E65BD4">
      <w:pPr>
        <w:numPr>
          <w:ilvl w:val="0"/>
          <w:numId w:val="3"/>
        </w:numPr>
        <w:jc w:val="both"/>
        <w:rPr>
          <w:bCs/>
        </w:rPr>
      </w:pPr>
      <w:r w:rsidRPr="00014E2B">
        <w:rPr>
          <w:bCs/>
        </w:rPr>
        <w:t>Assume la responsabilité de la réalisation de l’action</w:t>
      </w:r>
    </w:p>
    <w:p w:rsidR="00014E2B" w:rsidRPr="00014E2B" w:rsidRDefault="00014E2B" w:rsidP="00E65BD4">
      <w:pPr>
        <w:numPr>
          <w:ilvl w:val="0"/>
          <w:numId w:val="3"/>
        </w:numPr>
        <w:jc w:val="both"/>
        <w:rPr>
          <w:bCs/>
        </w:rPr>
      </w:pPr>
      <w:r w:rsidRPr="00014E2B">
        <w:rPr>
          <w:bCs/>
        </w:rPr>
        <w:t xml:space="preserve">Met à disposition les fonds à la demande du bénéficiaire et après justification d’au moins 80% de l’avance précédente </w:t>
      </w:r>
    </w:p>
    <w:p w:rsidR="00014E2B" w:rsidRPr="00014E2B" w:rsidRDefault="00014E2B" w:rsidP="00E65BD4">
      <w:pPr>
        <w:numPr>
          <w:ilvl w:val="0"/>
          <w:numId w:val="3"/>
        </w:numPr>
        <w:jc w:val="both"/>
        <w:rPr>
          <w:bCs/>
        </w:rPr>
      </w:pPr>
      <w:r w:rsidRPr="00014E2B">
        <w:rPr>
          <w:bCs/>
        </w:rPr>
        <w:t>Prête conseil au bénéficiaire concernant l’utilisation des fonds, la production des justificatifs, les règles en matière de passation de marchés,</w:t>
      </w:r>
    </w:p>
    <w:p w:rsidR="00014E2B" w:rsidRPr="00014E2B" w:rsidRDefault="00014E2B" w:rsidP="00E65BD4">
      <w:pPr>
        <w:jc w:val="both"/>
        <w:rPr>
          <w:b/>
          <w:bCs/>
        </w:rPr>
      </w:pPr>
      <w:r w:rsidRPr="00014E2B">
        <w:rPr>
          <w:b/>
          <w:bCs/>
        </w:rPr>
        <w:t>Procédure simplifiée de passation des marches (fournitures et prestations)</w:t>
      </w:r>
    </w:p>
    <w:p w:rsidR="00014E2B" w:rsidRPr="00014E2B" w:rsidRDefault="00014E2B" w:rsidP="00E65BD4">
      <w:pPr>
        <w:numPr>
          <w:ilvl w:val="0"/>
          <w:numId w:val="4"/>
        </w:numPr>
        <w:jc w:val="both"/>
        <w:rPr>
          <w:bCs/>
        </w:rPr>
      </w:pPr>
      <w:r w:rsidRPr="00014E2B">
        <w:rPr>
          <w:bCs/>
        </w:rPr>
        <w:t>Jusqu’à 1 000 euros, Informelle, possibilité d’achat direct, faire le Proforma/offre financière, bon de commande et facture finale</w:t>
      </w:r>
    </w:p>
    <w:p w:rsidR="00014E2B" w:rsidRPr="00014E2B" w:rsidRDefault="00014E2B" w:rsidP="00E65BD4">
      <w:pPr>
        <w:numPr>
          <w:ilvl w:val="0"/>
          <w:numId w:val="4"/>
        </w:numPr>
        <w:jc w:val="both"/>
        <w:rPr>
          <w:bCs/>
        </w:rPr>
      </w:pPr>
      <w:r w:rsidRPr="00014E2B">
        <w:rPr>
          <w:bCs/>
        </w:rPr>
        <w:t>De 1 000 euros à 20 000 euros :</w:t>
      </w:r>
      <w:r w:rsidRPr="00014E2B">
        <w:t xml:space="preserve"> </w:t>
      </w:r>
      <w:r w:rsidRPr="00014E2B">
        <w:rPr>
          <w:bCs/>
        </w:rPr>
        <w:t>Solliciter au moins trois offres écrites, ou Procédure d’appel d’offres officielle laissée à l’appréciation de la personne responsable</w:t>
      </w:r>
    </w:p>
    <w:p w:rsidR="00014E2B" w:rsidRPr="00014E2B" w:rsidRDefault="00014E2B" w:rsidP="00E65BD4">
      <w:pPr>
        <w:numPr>
          <w:ilvl w:val="0"/>
          <w:numId w:val="4"/>
        </w:numPr>
        <w:jc w:val="both"/>
        <w:rPr>
          <w:bCs/>
        </w:rPr>
      </w:pPr>
      <w:r w:rsidRPr="00014E2B">
        <w:rPr>
          <w:bCs/>
        </w:rPr>
        <w:lastRenderedPageBreak/>
        <w:t>Plus de 20 000 euros : Réaliser une procédure d’appel d’offres officielle : en règle générale, appel d’offres public ou appel d’offres restreint</w:t>
      </w:r>
    </w:p>
    <w:p w:rsidR="00014E2B" w:rsidRPr="00014E2B" w:rsidRDefault="00014E2B" w:rsidP="00E65BD4">
      <w:pPr>
        <w:jc w:val="both"/>
        <w:rPr>
          <w:bCs/>
        </w:rPr>
      </w:pPr>
      <w:r w:rsidRPr="00014E2B">
        <w:rPr>
          <w:b/>
          <w:bCs/>
        </w:rPr>
        <w:t>La liste de dépenses</w:t>
      </w:r>
      <w:r w:rsidRPr="00014E2B">
        <w:rPr>
          <w:bCs/>
        </w:rPr>
        <w:t> :</w:t>
      </w:r>
    </w:p>
    <w:p w:rsidR="00014E2B" w:rsidRPr="00014E2B" w:rsidRDefault="00014E2B" w:rsidP="00E65BD4">
      <w:pPr>
        <w:jc w:val="both"/>
        <w:rPr>
          <w:bCs/>
        </w:rPr>
      </w:pPr>
      <w:r w:rsidRPr="00014E2B">
        <w:rPr>
          <w:bCs/>
        </w:rPr>
        <w:t>La classification chronologique des dépenses indiquant toutes les entrées et sorties d’argent.</w:t>
      </w:r>
    </w:p>
    <w:p w:rsidR="00014E2B" w:rsidRPr="00014E2B" w:rsidRDefault="00014E2B" w:rsidP="00E65BD4">
      <w:pPr>
        <w:jc w:val="both"/>
        <w:rPr>
          <w:bCs/>
        </w:rPr>
      </w:pPr>
      <w:r w:rsidRPr="00014E2B">
        <w:rPr>
          <w:bCs/>
        </w:rPr>
        <w:t xml:space="preserve">Toutes les dépenses doivent être classées, datées et numérotées de façon à renvoyer directement à la pièces jointe correspondante, </w:t>
      </w:r>
    </w:p>
    <w:p w:rsidR="00014E2B" w:rsidRPr="00014E2B" w:rsidRDefault="00014E2B" w:rsidP="00E65BD4">
      <w:pPr>
        <w:jc w:val="both"/>
        <w:rPr>
          <w:bCs/>
        </w:rPr>
      </w:pPr>
      <w:r w:rsidRPr="00014E2B">
        <w:rPr>
          <w:bCs/>
        </w:rPr>
        <w:t>Toutes les pièces doivent être paraphées « Vu et approuvé » et signées par le représentant de l’OP avant soumission à la GIZ.</w:t>
      </w:r>
    </w:p>
    <w:p w:rsidR="00014E2B" w:rsidRPr="00014E2B" w:rsidRDefault="00014E2B" w:rsidP="00E65BD4">
      <w:pPr>
        <w:jc w:val="both"/>
        <w:rPr>
          <w:bCs/>
        </w:rPr>
      </w:pPr>
      <w:r w:rsidRPr="00014E2B">
        <w:rPr>
          <w:bCs/>
        </w:rPr>
        <w:t>NB : Les changements de ligne Budgétaire doivent être approuvés par la GIZ et un dépassement de 20% est autorisé entre les lignes sans pour autant dépasser le budget total. Toute dépense supplémentaire sera à la charge du bénéficiaire.</w:t>
      </w:r>
    </w:p>
    <w:p w:rsidR="00014E2B" w:rsidRPr="00014E2B" w:rsidRDefault="00014E2B" w:rsidP="00E65BD4">
      <w:pPr>
        <w:jc w:val="both"/>
        <w:rPr>
          <w:b/>
          <w:bCs/>
        </w:rPr>
      </w:pPr>
      <w:r w:rsidRPr="00014E2B">
        <w:rPr>
          <w:b/>
          <w:bCs/>
        </w:rPr>
        <w:t xml:space="preserve">Rapport d’activité et d’accompagnement </w:t>
      </w:r>
    </w:p>
    <w:p w:rsidR="00014E2B" w:rsidRPr="00014E2B" w:rsidRDefault="00014E2B" w:rsidP="00E65BD4">
      <w:pPr>
        <w:jc w:val="both"/>
        <w:rPr>
          <w:bCs/>
        </w:rPr>
      </w:pPr>
      <w:r w:rsidRPr="00014E2B">
        <w:rPr>
          <w:bCs/>
        </w:rPr>
        <w:t>A la fin des activités, un rapport accompagné de photos devra être transmis à la GIZ pour l’approbation du CTR qui a accompagné la mise en œuvre du microprojet.</w:t>
      </w:r>
    </w:p>
    <w:p w:rsidR="00014E2B" w:rsidRPr="00014E2B" w:rsidRDefault="00014E2B" w:rsidP="00E65BD4">
      <w:pPr>
        <w:jc w:val="both"/>
        <w:rPr>
          <w:bCs/>
        </w:rPr>
      </w:pPr>
      <w:r w:rsidRPr="00014E2B">
        <w:rPr>
          <w:bCs/>
        </w:rPr>
        <w:t xml:space="preserve">Le conseiller technique devra également rédiger un rapport d’accompagnement. </w:t>
      </w:r>
    </w:p>
    <w:p w:rsidR="00014E2B" w:rsidRPr="00014E2B" w:rsidRDefault="00014E2B" w:rsidP="00E65BD4">
      <w:pPr>
        <w:jc w:val="both"/>
        <w:rPr>
          <w:bCs/>
        </w:rPr>
      </w:pPr>
      <w:r w:rsidRPr="00014E2B">
        <w:rPr>
          <w:bCs/>
        </w:rPr>
        <w:t>NB : Un contrat de subvention locale ne sera clôturé que lorsque les rapports d’activités et d’accompagnement auront été soumis et validés par la GIZ.</w:t>
      </w:r>
    </w:p>
    <w:p w:rsidR="00014E2B" w:rsidRPr="00014E2B" w:rsidRDefault="00014E2B" w:rsidP="00E65BD4">
      <w:pPr>
        <w:jc w:val="both"/>
        <w:rPr>
          <w:bCs/>
        </w:rPr>
      </w:pPr>
      <w:r w:rsidRPr="00014E2B">
        <w:rPr>
          <w:bCs/>
        </w:rPr>
        <w:t>Tout reliquat de fonds devra être reversé à la GIZ.</w:t>
      </w:r>
    </w:p>
    <w:p w:rsidR="00014E2B" w:rsidRPr="00014E2B" w:rsidRDefault="00014E2B" w:rsidP="00E65BD4">
      <w:pPr>
        <w:jc w:val="both"/>
        <w:rPr>
          <w:b/>
          <w:bCs/>
        </w:rPr>
      </w:pPr>
      <w:r w:rsidRPr="00014E2B">
        <w:rPr>
          <w:b/>
          <w:bCs/>
        </w:rPr>
        <w:t>Contrat de financement :</w:t>
      </w:r>
    </w:p>
    <w:p w:rsidR="00014E2B" w:rsidRPr="00014E2B" w:rsidRDefault="00014E2B" w:rsidP="00E65BD4">
      <w:pPr>
        <w:jc w:val="both"/>
        <w:rPr>
          <w:bCs/>
        </w:rPr>
      </w:pPr>
      <w:r w:rsidRPr="00014E2B">
        <w:rPr>
          <w:bCs/>
        </w:rPr>
        <w:t xml:space="preserve"> La GIZ est responsable de la vérification et de l’appréciation de la qualification du bénéficiaire, de la conclusion du contrat et de la supervision</w:t>
      </w:r>
    </w:p>
    <w:p w:rsidR="00014E2B" w:rsidRPr="00014E2B" w:rsidRDefault="00014E2B" w:rsidP="00E65BD4">
      <w:pPr>
        <w:jc w:val="both"/>
        <w:rPr>
          <w:bCs/>
        </w:rPr>
      </w:pPr>
      <w:r w:rsidRPr="00014E2B">
        <w:rPr>
          <w:bCs/>
        </w:rPr>
        <w:t>Le bénéficiaire est responsable de l’utilisation conforme des fonds et de l’exécution des actions</w:t>
      </w:r>
    </w:p>
    <w:p w:rsidR="00014E2B" w:rsidRPr="00014E2B" w:rsidRDefault="00014E2B" w:rsidP="00E65BD4">
      <w:pPr>
        <w:jc w:val="both"/>
        <w:rPr>
          <w:bCs/>
        </w:rPr>
      </w:pPr>
      <w:r w:rsidRPr="00014E2B">
        <w:rPr>
          <w:bCs/>
        </w:rPr>
        <w:t>Tous ces thèmes ont fait l’objet de débats fructueux entre participants et facilitateurs ;</w:t>
      </w:r>
    </w:p>
    <w:p w:rsidR="00014E2B" w:rsidRDefault="00014E2B" w:rsidP="00E65BD4">
      <w:pPr>
        <w:jc w:val="both"/>
        <w:rPr>
          <w:bCs/>
        </w:rPr>
      </w:pPr>
      <w:r w:rsidRPr="00014E2B">
        <w:rPr>
          <w:bCs/>
        </w:rPr>
        <w:t xml:space="preserve">Les travaux de la </w:t>
      </w:r>
      <w:r w:rsidR="00EA1178">
        <w:rPr>
          <w:bCs/>
        </w:rPr>
        <w:t>formation</w:t>
      </w:r>
      <w:r w:rsidRPr="00014E2B">
        <w:rPr>
          <w:bCs/>
        </w:rPr>
        <w:t xml:space="preserve"> ont pris fin par une série de questions et réponses</w:t>
      </w:r>
      <w:r w:rsidR="00EA1178">
        <w:rPr>
          <w:bCs/>
        </w:rPr>
        <w:t xml:space="preserve">, suivi d’une cérémonie de clôture par le DRS de N’zérékoré. </w:t>
      </w:r>
    </w:p>
    <w:p w:rsidR="000B636B" w:rsidRPr="000B636B" w:rsidRDefault="000B636B" w:rsidP="00E65BD4">
      <w:pPr>
        <w:jc w:val="both"/>
        <w:rPr>
          <w:b/>
          <w:bCs/>
        </w:rPr>
      </w:pPr>
      <w:r w:rsidRPr="000B636B">
        <w:rPr>
          <w:b/>
          <w:bCs/>
        </w:rPr>
        <w:t xml:space="preserve">Quelques photos de l’atelier : </w:t>
      </w:r>
    </w:p>
    <w:tbl>
      <w:tblPr>
        <w:tblStyle w:val="Grilledutableau"/>
        <w:tblW w:w="0" w:type="auto"/>
        <w:tblLook w:val="04A0" w:firstRow="1" w:lastRow="0" w:firstColumn="1" w:lastColumn="0" w:noHBand="0" w:noVBand="1"/>
      </w:tblPr>
      <w:tblGrid>
        <w:gridCol w:w="5027"/>
        <w:gridCol w:w="5027"/>
      </w:tblGrid>
      <w:tr w:rsidR="000B636B" w:rsidTr="000B636B">
        <w:tc>
          <w:tcPr>
            <w:tcW w:w="5027" w:type="dxa"/>
          </w:tcPr>
          <w:p w:rsidR="000B636B" w:rsidRDefault="000B636B"/>
        </w:tc>
        <w:tc>
          <w:tcPr>
            <w:tcW w:w="5027" w:type="dxa"/>
          </w:tcPr>
          <w:p w:rsidR="000B636B" w:rsidRDefault="000B636B"/>
        </w:tc>
      </w:tr>
      <w:tr w:rsidR="000B636B" w:rsidTr="000B636B">
        <w:tc>
          <w:tcPr>
            <w:tcW w:w="5027" w:type="dxa"/>
          </w:tcPr>
          <w:p w:rsidR="000B636B" w:rsidRDefault="000B636B"/>
        </w:tc>
        <w:tc>
          <w:tcPr>
            <w:tcW w:w="5027" w:type="dxa"/>
          </w:tcPr>
          <w:p w:rsidR="000B636B" w:rsidRDefault="000B636B"/>
        </w:tc>
      </w:tr>
      <w:tr w:rsidR="000B636B" w:rsidTr="000B636B">
        <w:tc>
          <w:tcPr>
            <w:tcW w:w="5027" w:type="dxa"/>
          </w:tcPr>
          <w:p w:rsidR="000B636B" w:rsidRDefault="000B636B"/>
        </w:tc>
        <w:tc>
          <w:tcPr>
            <w:tcW w:w="5027" w:type="dxa"/>
          </w:tcPr>
          <w:p w:rsidR="000B636B" w:rsidRDefault="000B636B"/>
        </w:tc>
      </w:tr>
    </w:tbl>
    <w:p w:rsidR="00014E2B" w:rsidRDefault="00014E2B"/>
    <w:sectPr w:rsidR="00014E2B" w:rsidSect="00014E2B">
      <w:headerReference w:type="default" r:id="rId7"/>
      <w:footerReference w:type="default" r:id="rId8"/>
      <w:pgSz w:w="11909" w:h="16834" w:code="9"/>
      <w:pgMar w:top="709" w:right="852" w:bottom="1134" w:left="993" w:header="6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33B" w:rsidRDefault="0042633B" w:rsidP="00014E2B">
      <w:pPr>
        <w:spacing w:after="0" w:line="240" w:lineRule="auto"/>
      </w:pPr>
      <w:r>
        <w:separator/>
      </w:r>
    </w:p>
  </w:endnote>
  <w:endnote w:type="continuationSeparator" w:id="0">
    <w:p w:rsidR="0042633B" w:rsidRDefault="0042633B" w:rsidP="0001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4D9" w:rsidRPr="001E64DA" w:rsidRDefault="0042633B" w:rsidP="00153079">
    <w:pPr>
      <w:pStyle w:val="Pieddepage"/>
      <w:jc w:val="righ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33B" w:rsidRDefault="0042633B" w:rsidP="00014E2B">
      <w:pPr>
        <w:spacing w:after="0" w:line="240" w:lineRule="auto"/>
      </w:pPr>
      <w:r>
        <w:separator/>
      </w:r>
    </w:p>
  </w:footnote>
  <w:footnote w:type="continuationSeparator" w:id="0">
    <w:p w:rsidR="0042633B" w:rsidRDefault="0042633B" w:rsidP="0001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4D9" w:rsidRDefault="0042633B">
    <w:pPr>
      <w:pStyle w:val="En-tte"/>
      <w:tabs>
        <w:tab w:val="right" w:pos="8222"/>
      </w:tabs>
      <w:spacing w:after="30" w:line="220" w:lineRule="atLeast"/>
      <w:rPr>
        <w:rFonts w:ascii="Arial" w:hAnsi="Arial" w:cs="Arial"/>
        <w:b/>
        <w:position w:val="-4"/>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EF9"/>
    <w:multiLevelType w:val="hybridMultilevel"/>
    <w:tmpl w:val="E9FAD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D07E14"/>
    <w:multiLevelType w:val="hybridMultilevel"/>
    <w:tmpl w:val="E7D8F0BE"/>
    <w:lvl w:ilvl="0" w:tplc="207A5CC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096FB1"/>
    <w:multiLevelType w:val="hybridMultilevel"/>
    <w:tmpl w:val="3160ACFC"/>
    <w:lvl w:ilvl="0" w:tplc="084EF99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2E67A4"/>
    <w:multiLevelType w:val="hybridMultilevel"/>
    <w:tmpl w:val="89BA1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2D4AE5"/>
    <w:multiLevelType w:val="hybridMultilevel"/>
    <w:tmpl w:val="00FE5AB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D62A46"/>
    <w:multiLevelType w:val="hybridMultilevel"/>
    <w:tmpl w:val="EFAADA66"/>
    <w:lvl w:ilvl="0" w:tplc="F1865E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B57B84"/>
    <w:multiLevelType w:val="hybridMultilevel"/>
    <w:tmpl w:val="617087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D15FC5"/>
    <w:multiLevelType w:val="hybridMultilevel"/>
    <w:tmpl w:val="D518AF1C"/>
    <w:lvl w:ilvl="0" w:tplc="683EAC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97392"/>
    <w:multiLevelType w:val="hybridMultilevel"/>
    <w:tmpl w:val="8500C81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3"/>
  </w:num>
  <w:num w:numId="5">
    <w:abstractNumId w:val="5"/>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2B"/>
    <w:rsid w:val="00014E2B"/>
    <w:rsid w:val="000B636B"/>
    <w:rsid w:val="0042633B"/>
    <w:rsid w:val="00896378"/>
    <w:rsid w:val="00A4013A"/>
    <w:rsid w:val="00CA799D"/>
    <w:rsid w:val="00CF5495"/>
    <w:rsid w:val="00E65BD4"/>
    <w:rsid w:val="00EA1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96F53-B514-4D6A-9ED5-C22556A8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4E2B"/>
    <w:pPr>
      <w:tabs>
        <w:tab w:val="center" w:pos="4513"/>
        <w:tab w:val="right" w:pos="9026"/>
      </w:tabs>
      <w:spacing w:after="0" w:line="240" w:lineRule="auto"/>
    </w:pPr>
  </w:style>
  <w:style w:type="character" w:customStyle="1" w:styleId="En-tteCar">
    <w:name w:val="En-tête Car"/>
    <w:basedOn w:val="Policepardfaut"/>
    <w:link w:val="En-tte"/>
    <w:uiPriority w:val="99"/>
    <w:rsid w:val="00014E2B"/>
  </w:style>
  <w:style w:type="paragraph" w:styleId="Pieddepage">
    <w:name w:val="footer"/>
    <w:basedOn w:val="Normal"/>
    <w:link w:val="PieddepageCar"/>
    <w:uiPriority w:val="99"/>
    <w:unhideWhenUsed/>
    <w:rsid w:val="00014E2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14E2B"/>
  </w:style>
  <w:style w:type="paragraph" w:styleId="Paragraphedeliste">
    <w:name w:val="List Paragraph"/>
    <w:basedOn w:val="Normal"/>
    <w:uiPriority w:val="34"/>
    <w:qFormat/>
    <w:rsid w:val="00014E2B"/>
    <w:pPr>
      <w:ind w:left="720"/>
      <w:contextualSpacing/>
    </w:pPr>
  </w:style>
  <w:style w:type="table" w:styleId="Grilledutableau">
    <w:name w:val="Table Grid"/>
    <w:basedOn w:val="TableauNormal"/>
    <w:uiPriority w:val="39"/>
    <w:rsid w:val="000B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9368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Camara</dc:creator>
  <cp:keywords/>
  <dc:description/>
  <cp:lastModifiedBy>CAMARA, Adama GIZ GN</cp:lastModifiedBy>
  <cp:revision>2</cp:revision>
  <dcterms:created xsi:type="dcterms:W3CDTF">2023-03-20T15:13:00Z</dcterms:created>
  <dcterms:modified xsi:type="dcterms:W3CDTF">2023-03-20T15:13:00Z</dcterms:modified>
</cp:coreProperties>
</file>